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5421DC">
      <w:pPr>
        <w:keepNext w:val="0"/>
        <w:keepLines w:val="0"/>
        <w:widowControl/>
        <w:suppressLineNumbers w:val="0"/>
        <w:spacing w:before="0" w:beforeAutospacing="0" w:after="240" w:afterAutospacing="0"/>
        <w:ind w:left="0" w:right="0"/>
        <w:jc w:val="center"/>
        <w:rPr>
          <w:rFonts w:hint="eastAsia" w:ascii="方正小标宋简体" w:hAnsi="方正小标宋简体" w:eastAsia="方正小标宋简体" w:cs="方正小标宋简体"/>
          <w:kern w:val="0"/>
          <w:sz w:val="44"/>
          <w:szCs w:val="44"/>
          <w:lang w:val="en-GB" w:eastAsia="zh-CN" w:bidi="ar"/>
        </w:rPr>
      </w:pPr>
      <w:r>
        <w:rPr>
          <w:rFonts w:hint="eastAsia" w:ascii="方正小标宋简体" w:hAnsi="方正小标宋简体" w:eastAsia="方正小标宋简体" w:cs="方正小标宋简体"/>
          <w:kern w:val="0"/>
          <w:sz w:val="44"/>
          <w:szCs w:val="44"/>
          <w:lang w:val="en-GB" w:eastAsia="zh-CN" w:bidi="ar"/>
        </w:rPr>
        <w:t>经营者集中简易案件公示表</w:t>
      </w:r>
    </w:p>
    <w:tbl>
      <w:tblPr>
        <w:tblStyle w:val="4"/>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476"/>
        <w:gridCol w:w="6224"/>
      </w:tblGrid>
      <w:tr w14:paraId="76872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940" w:type="dxa"/>
            <w:shd w:val="clear" w:color="auto" w:fill="D9D9D9"/>
            <w:vAlign w:val="center"/>
          </w:tcPr>
          <w:p w14:paraId="138F4EDA">
            <w:pPr>
              <w:pStyle w:val="3"/>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案件名称</w:t>
            </w:r>
          </w:p>
        </w:tc>
        <w:tc>
          <w:tcPr>
            <w:tcW w:w="7700" w:type="dxa"/>
            <w:gridSpan w:val="2"/>
            <w:vAlign w:val="center"/>
          </w:tcPr>
          <w:p w14:paraId="050E4129">
            <w:pPr>
              <w:widowControl/>
              <w:adjustRightInd w:val="0"/>
              <w:snapToGrid w:val="0"/>
              <w:rPr>
                <w:rFonts w:hint="default" w:ascii="Times New Roman" w:hAnsi="Times New Roman" w:cs="Times New Roman"/>
                <w:bCs/>
                <w:color w:val="000000"/>
                <w:sz w:val="24"/>
              </w:rPr>
            </w:pPr>
            <w:r>
              <w:rPr>
                <w:rFonts w:hint="default" w:ascii="Times New Roman" w:hAnsi="Times New Roman" w:cs="Times New Roman"/>
                <w:sz w:val="24"/>
              </w:rPr>
              <w:t>国信弘盛私募基金管理有限公司与北京爱博诺德投资管理有限公司新设合营企业案</w:t>
            </w:r>
          </w:p>
        </w:tc>
      </w:tr>
      <w:tr w14:paraId="0288B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1940" w:type="dxa"/>
            <w:shd w:val="clear" w:color="auto" w:fill="D9D9D9"/>
            <w:vAlign w:val="center"/>
          </w:tcPr>
          <w:p w14:paraId="001E95C7">
            <w:pPr>
              <w:pStyle w:val="3"/>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交易概况（限200字内）</w:t>
            </w:r>
          </w:p>
        </w:tc>
        <w:tc>
          <w:tcPr>
            <w:tcW w:w="7700" w:type="dxa"/>
            <w:gridSpan w:val="2"/>
            <w:vAlign w:val="center"/>
          </w:tcPr>
          <w:p w14:paraId="556FCE81">
            <w:pPr>
              <w:widowControl/>
              <w:adjustRightInd w:val="0"/>
              <w:snapToGrid w:val="0"/>
              <w:rPr>
                <w:rFonts w:hint="default" w:ascii="Times New Roman" w:hAnsi="Times New Roman" w:cs="Times New Roman"/>
                <w:sz w:val="24"/>
              </w:rPr>
            </w:pPr>
            <w:r>
              <w:rPr>
                <w:rFonts w:hint="default" w:ascii="Times New Roman" w:hAnsi="Times New Roman" w:cs="Times New Roman"/>
                <w:sz w:val="24"/>
              </w:rPr>
              <w:t>国信弘盛私募基金管理有限公司（“国信弘盛”）与北京爱博诺德投资管理有限公司（“爱博投资”）等签署协议，拟共同设立合营企业，合营企业主要从事私募股权投资基金业务。交易后，国信弘盛、爱博投资作为普通合伙人分别持有合伙企业30%、20%份额，将共同控制合营企业。。</w:t>
            </w:r>
          </w:p>
        </w:tc>
      </w:tr>
      <w:tr w14:paraId="24D18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restart"/>
            <w:shd w:val="clear" w:color="auto" w:fill="D9D9D9"/>
            <w:vAlign w:val="center"/>
          </w:tcPr>
          <w:p w14:paraId="46255944">
            <w:pPr>
              <w:pStyle w:val="3"/>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参与集中的经营者简介（每个限100字内）</w:t>
            </w:r>
          </w:p>
        </w:tc>
        <w:tc>
          <w:tcPr>
            <w:tcW w:w="1476" w:type="dxa"/>
            <w:vAlign w:val="center"/>
          </w:tcPr>
          <w:p w14:paraId="321428C1">
            <w:pPr>
              <w:pStyle w:val="3"/>
              <w:widowControl/>
              <w:adjustRightInd w:val="0"/>
              <w:snapToGrid w:val="0"/>
              <w:spacing w:after="0"/>
              <w:rPr>
                <w:rFonts w:hint="eastAsia" w:ascii="Times New Roman" w:hAnsi="Times New Roman" w:eastAsia="宋体" w:cs="Times New Roman"/>
                <w:bCs/>
                <w:color w:val="000000"/>
                <w:sz w:val="24"/>
                <w:lang w:val="en-US" w:eastAsia="zh-CN"/>
              </w:rPr>
            </w:pPr>
            <w:r>
              <w:rPr>
                <w:rFonts w:hint="default" w:ascii="Times New Roman" w:hAnsi="Times New Roman" w:cs="Times New Roman"/>
                <w:bCs/>
                <w:color w:val="000000"/>
                <w:sz w:val="24"/>
                <w:lang w:val="en-US" w:eastAsia="zh-CN"/>
              </w:rPr>
              <w:t>1</w:t>
            </w:r>
            <w:r>
              <w:rPr>
                <w:rFonts w:hint="default" w:ascii="Times New Roman" w:hAnsi="Times New Roman" w:cs="Times New Roman"/>
                <w:sz w:val="24"/>
              </w:rPr>
              <w:t>.国信弘盛</w:t>
            </w:r>
          </w:p>
        </w:tc>
        <w:tc>
          <w:tcPr>
            <w:tcW w:w="6224" w:type="dxa"/>
            <w:vAlign w:val="center"/>
          </w:tcPr>
          <w:p w14:paraId="17467732">
            <w:pPr>
              <w:pStyle w:val="3"/>
              <w:widowControl/>
              <w:adjustRightInd w:val="0"/>
              <w:snapToGrid w:val="0"/>
              <w:spacing w:after="0"/>
              <w:rPr>
                <w:rFonts w:hint="default" w:ascii="Times New Roman" w:hAnsi="Times New Roman" w:cs="Times New Roman"/>
                <w:sz w:val="24"/>
              </w:rPr>
            </w:pPr>
            <w:r>
              <w:rPr>
                <w:rFonts w:hint="default" w:ascii="Times New Roman" w:hAnsi="Times New Roman" w:cs="Times New Roman"/>
                <w:sz w:val="24"/>
              </w:rPr>
              <w:t>国信弘盛于2008年8月8日成立于广东省深圳市，主要业务为私募股权投资基金管理。</w:t>
            </w:r>
          </w:p>
          <w:p w14:paraId="1D29A9A9">
            <w:pPr>
              <w:pStyle w:val="3"/>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sz w:val="24"/>
              </w:rPr>
              <w:t>国信弘盛最终控制人为深圳市投资控股有限公司，主要业务包括科技金融、科技产业、商贸流通、城市运营四大板块。</w:t>
            </w:r>
          </w:p>
        </w:tc>
      </w:tr>
      <w:tr w14:paraId="464A7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14:paraId="6E924A02">
            <w:pPr>
              <w:pStyle w:val="3"/>
              <w:widowControl/>
              <w:adjustRightInd w:val="0"/>
              <w:snapToGrid w:val="0"/>
              <w:spacing w:after="0"/>
              <w:jc w:val="center"/>
              <w:rPr>
                <w:rFonts w:hint="default" w:ascii="Times New Roman" w:hAnsi="Times New Roman" w:cs="Times New Roman"/>
                <w:bCs/>
                <w:color w:val="000000"/>
                <w:sz w:val="24"/>
              </w:rPr>
            </w:pPr>
          </w:p>
        </w:tc>
        <w:tc>
          <w:tcPr>
            <w:tcW w:w="1476" w:type="dxa"/>
            <w:vAlign w:val="center"/>
          </w:tcPr>
          <w:p w14:paraId="2C9069EB">
            <w:pPr>
              <w:pStyle w:val="3"/>
              <w:widowControl/>
              <w:adjustRightInd w:val="0"/>
              <w:snapToGrid w:val="0"/>
              <w:spacing w:after="0"/>
              <w:rPr>
                <w:rFonts w:hint="default" w:ascii="Times New Roman" w:hAnsi="Times New Roman" w:cs="Times New Roman"/>
                <w:bCs/>
                <w:color w:val="000000"/>
                <w:sz w:val="24"/>
                <w:lang w:val="en-US" w:eastAsia="zh-CN"/>
              </w:rPr>
            </w:pPr>
            <w:r>
              <w:rPr>
                <w:rFonts w:hint="default" w:ascii="Times New Roman" w:hAnsi="Times New Roman" w:cs="Times New Roman"/>
                <w:bCs/>
                <w:color w:val="000000"/>
                <w:sz w:val="24"/>
                <w:lang w:val="en-US" w:eastAsia="zh-CN"/>
              </w:rPr>
              <w:t>2.爱博投资</w:t>
            </w:r>
          </w:p>
        </w:tc>
        <w:tc>
          <w:tcPr>
            <w:tcW w:w="6224" w:type="dxa"/>
            <w:vAlign w:val="center"/>
          </w:tcPr>
          <w:p w14:paraId="59675005">
            <w:pPr>
              <w:pStyle w:val="3"/>
              <w:widowControl/>
              <w:adjustRightInd w:val="0"/>
              <w:snapToGrid w:val="0"/>
              <w:spacing w:after="0"/>
              <w:rPr>
                <w:rFonts w:hint="default" w:ascii="Times New Roman" w:hAnsi="Times New Roman" w:cs="Times New Roman"/>
                <w:sz w:val="24"/>
              </w:rPr>
            </w:pPr>
            <w:r>
              <w:rPr>
                <w:rFonts w:hint="default" w:ascii="Times New Roman" w:hAnsi="Times New Roman" w:cs="Times New Roman"/>
                <w:sz w:val="24"/>
              </w:rPr>
              <w:t>爱博投资于2021年3月12日成立于北京市，主要业务为项目投资、投资管理、投资咨询、财务咨询等业务。</w:t>
            </w:r>
          </w:p>
          <w:p w14:paraId="1C4F7FF9">
            <w:pPr>
              <w:pStyle w:val="3"/>
              <w:widowControl/>
              <w:adjustRightInd w:val="0"/>
              <w:snapToGrid w:val="0"/>
              <w:spacing w:after="0"/>
              <w:rPr>
                <w:rFonts w:hint="default" w:ascii="Times New Roman" w:hAnsi="Times New Roman" w:cs="Times New Roman"/>
                <w:sz w:val="24"/>
              </w:rPr>
            </w:pPr>
            <w:r>
              <w:rPr>
                <w:rFonts w:hint="default" w:ascii="Times New Roman" w:hAnsi="Times New Roman" w:cs="Times New Roman"/>
                <w:sz w:val="24"/>
              </w:rPr>
              <w:t>爱博投资最终控制人为解江冰先生，其主要通过爱博诺德（北京）医疗科技股份有限公司等从事眼科医疗器械制造业务。</w:t>
            </w:r>
          </w:p>
        </w:tc>
      </w:tr>
      <w:tr w14:paraId="4A42E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40" w:type="dxa"/>
            <w:vMerge w:val="restart"/>
            <w:shd w:val="clear" w:color="auto" w:fill="D9D9D9"/>
            <w:vAlign w:val="center"/>
          </w:tcPr>
          <w:p w14:paraId="0FE177CD">
            <w:pPr>
              <w:pStyle w:val="3"/>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简易案件理由（可以单选，也可以多选）</w:t>
            </w:r>
          </w:p>
        </w:tc>
        <w:tc>
          <w:tcPr>
            <w:tcW w:w="7700" w:type="dxa"/>
            <w:gridSpan w:val="2"/>
            <w:vAlign w:val="center"/>
          </w:tcPr>
          <w:p w14:paraId="7E01ED67">
            <w:pPr>
              <w:pStyle w:val="3"/>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1、在同一相关市场，所有参与集中的经营者所占市场份额之和小于15%。</w:t>
            </w:r>
          </w:p>
        </w:tc>
      </w:tr>
      <w:tr w14:paraId="4648F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40" w:type="dxa"/>
            <w:vMerge w:val="continue"/>
            <w:shd w:val="clear" w:color="auto" w:fill="D9D9D9"/>
            <w:vAlign w:val="center"/>
          </w:tcPr>
          <w:p w14:paraId="0E87F37E">
            <w:pPr>
              <w:pStyle w:val="3"/>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48344D3E">
            <w:pPr>
              <w:pStyle w:val="3"/>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2、存在上下游关系的参与集中的经营者，在上下游市场所占的市场份额均小于25%。</w:t>
            </w:r>
          </w:p>
        </w:tc>
      </w:tr>
      <w:tr w14:paraId="7B674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40" w:type="dxa"/>
            <w:vMerge w:val="continue"/>
            <w:shd w:val="clear" w:color="auto" w:fill="D9D9D9"/>
            <w:vAlign w:val="center"/>
          </w:tcPr>
          <w:p w14:paraId="487BB887">
            <w:pPr>
              <w:pStyle w:val="3"/>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49FBDAF3">
            <w:pPr>
              <w:pStyle w:val="3"/>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FE"/>
            </w:r>
            <w:r>
              <w:rPr>
                <w:rFonts w:hint="default" w:ascii="Times New Roman" w:hAnsi="Times New Roman" w:cs="Times New Roman"/>
                <w:bCs/>
                <w:color w:val="000000"/>
                <w:sz w:val="24"/>
              </w:rPr>
              <w:t xml:space="preserve"> 3、不在同一相关市场、也不存在上下游关系的参与集中的经营者，在与交易有关的每个市场所占的份额均小于25%。</w:t>
            </w:r>
          </w:p>
        </w:tc>
      </w:tr>
      <w:tr w14:paraId="33182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940" w:type="dxa"/>
            <w:vMerge w:val="continue"/>
            <w:shd w:val="clear" w:color="auto" w:fill="D9D9D9"/>
            <w:vAlign w:val="center"/>
          </w:tcPr>
          <w:p w14:paraId="06CF0990">
            <w:pPr>
              <w:pStyle w:val="3"/>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5A371166">
            <w:pPr>
              <w:pStyle w:val="3"/>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4、参与集中的经营者在中国境外设立合营企业，合营企业不在中国境内从事经济活动。</w:t>
            </w:r>
          </w:p>
        </w:tc>
      </w:tr>
      <w:tr w14:paraId="1478B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40" w:type="dxa"/>
            <w:vMerge w:val="continue"/>
            <w:shd w:val="clear" w:color="auto" w:fill="D9D9D9"/>
            <w:vAlign w:val="center"/>
          </w:tcPr>
          <w:p w14:paraId="7AA2C8F2">
            <w:pPr>
              <w:pStyle w:val="3"/>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65713006">
            <w:pPr>
              <w:pStyle w:val="3"/>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5、参与集中的经营者收购境外企业股权或资产的，该境外企业不在中国境内从事经济活动。</w:t>
            </w:r>
          </w:p>
        </w:tc>
      </w:tr>
      <w:tr w14:paraId="7AA8E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0" w:type="dxa"/>
            <w:vMerge w:val="continue"/>
            <w:shd w:val="clear" w:color="auto" w:fill="D9D9D9"/>
            <w:vAlign w:val="center"/>
          </w:tcPr>
          <w:p w14:paraId="338065E8">
            <w:pPr>
              <w:pStyle w:val="3"/>
              <w:widowControl/>
              <w:adjustRightInd w:val="0"/>
              <w:snapToGrid w:val="0"/>
              <w:spacing w:after="0"/>
              <w:jc w:val="center"/>
              <w:rPr>
                <w:rFonts w:hint="default" w:ascii="Times New Roman" w:hAnsi="Times New Roman" w:cs="Times New Roman"/>
                <w:bCs/>
                <w:color w:val="000000"/>
                <w:sz w:val="24"/>
              </w:rPr>
            </w:pPr>
          </w:p>
        </w:tc>
        <w:tc>
          <w:tcPr>
            <w:tcW w:w="7700" w:type="dxa"/>
            <w:gridSpan w:val="2"/>
            <w:vAlign w:val="center"/>
          </w:tcPr>
          <w:p w14:paraId="7514A044">
            <w:pPr>
              <w:pStyle w:val="3"/>
              <w:widowControl/>
              <w:adjustRightInd w:val="0"/>
              <w:snapToGrid w:val="0"/>
              <w:spacing w:after="0"/>
              <w:rPr>
                <w:rFonts w:hint="default" w:ascii="Times New Roman" w:hAnsi="Times New Roman" w:cs="Times New Roman"/>
                <w:bCs/>
                <w:color w:val="000000"/>
                <w:sz w:val="24"/>
              </w:rPr>
            </w:pPr>
            <w:r>
              <w:rPr>
                <w:rFonts w:hint="default" w:ascii="Times New Roman" w:hAnsi="Times New Roman" w:cs="Times New Roman"/>
                <w:bCs/>
                <w:color w:val="000000"/>
                <w:sz w:val="24"/>
              </w:rPr>
              <w:sym w:font="Wingdings" w:char="00A8"/>
            </w:r>
            <w:r>
              <w:rPr>
                <w:rFonts w:hint="default" w:ascii="Times New Roman" w:hAnsi="Times New Roman" w:cs="Times New Roman"/>
                <w:bCs/>
                <w:color w:val="000000"/>
                <w:sz w:val="24"/>
              </w:rPr>
              <w:t xml:space="preserve"> 6、由两个以上的经营者共同控制的合营企业，通过集中被其中一个或一个以上经营者控制。</w:t>
            </w:r>
          </w:p>
        </w:tc>
      </w:tr>
      <w:tr w14:paraId="3C4AF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40" w:type="dxa"/>
            <w:shd w:val="clear" w:color="auto" w:fill="D9D9D9"/>
            <w:vAlign w:val="center"/>
          </w:tcPr>
          <w:p w14:paraId="0F8502C7">
            <w:pPr>
              <w:pStyle w:val="3"/>
              <w:widowControl/>
              <w:adjustRightInd w:val="0"/>
              <w:snapToGrid w:val="0"/>
              <w:spacing w:after="0"/>
              <w:jc w:val="center"/>
              <w:rPr>
                <w:rFonts w:hint="default" w:ascii="Times New Roman" w:hAnsi="Times New Roman" w:cs="Times New Roman"/>
                <w:bCs/>
                <w:color w:val="000000"/>
                <w:sz w:val="24"/>
              </w:rPr>
            </w:pPr>
            <w:r>
              <w:rPr>
                <w:rFonts w:hint="default" w:ascii="Times New Roman" w:hAnsi="Times New Roman" w:cs="Times New Roman"/>
                <w:bCs/>
                <w:color w:val="000000"/>
                <w:sz w:val="24"/>
              </w:rPr>
              <w:t>备注</w:t>
            </w:r>
          </w:p>
        </w:tc>
        <w:tc>
          <w:tcPr>
            <w:tcW w:w="7700" w:type="dxa"/>
            <w:gridSpan w:val="2"/>
            <w:vAlign w:val="center"/>
          </w:tcPr>
          <w:p w14:paraId="5EF11828">
            <w:pPr>
              <w:pStyle w:val="3"/>
              <w:adjustRightInd w:val="0"/>
              <w:snapToGrid w:val="0"/>
              <w:spacing w:after="0"/>
              <w:rPr>
                <w:rFonts w:hint="default" w:ascii="Times New Roman" w:hAnsi="Times New Roman" w:eastAsia="宋体" w:cs="Times New Roman"/>
                <w:b/>
                <w:color w:val="000000" w:themeColor="text1"/>
                <w:kern w:val="0"/>
                <w:sz w:val="24"/>
                <w:szCs w:val="24"/>
                <w:lang w:val="en-US" w:eastAsia="zh-CN" w:bidi="ar-SA"/>
                <w14:textFill>
                  <w14:solidFill>
                    <w14:schemeClr w14:val="tx1"/>
                  </w14:solidFill>
                </w14:textFill>
              </w:rPr>
            </w:pPr>
            <w:r>
              <w:rPr>
                <w:rFonts w:hint="eastAsia" w:cs="Times New Roman"/>
                <w:b/>
                <w:color w:val="000000" w:themeColor="text1"/>
                <w:kern w:val="0"/>
                <w:sz w:val="24"/>
                <w:szCs w:val="24"/>
                <w:lang w:val="en-US" w:eastAsia="zh-CN" w:bidi="ar-SA"/>
                <w14:textFill>
                  <w14:solidFill>
                    <w14:schemeClr w14:val="tx1"/>
                  </w14:solidFill>
                </w14:textFill>
              </w:rPr>
              <w:t>混合集中</w:t>
            </w:r>
            <w:r>
              <w:rPr>
                <w:rFonts w:hint="default" w:ascii="Times New Roman" w:hAnsi="Times New Roman" w:eastAsia="宋体" w:cs="Times New Roman"/>
                <w:b/>
                <w:color w:val="000000" w:themeColor="text1"/>
                <w:kern w:val="0"/>
                <w:sz w:val="24"/>
                <w:szCs w:val="24"/>
                <w:lang w:val="en-US" w:eastAsia="zh-CN" w:bidi="ar-SA"/>
                <w14:textFill>
                  <w14:solidFill>
                    <w14:schemeClr w14:val="tx1"/>
                  </w14:solidFill>
                </w14:textFill>
              </w:rPr>
              <w:t>：</w:t>
            </w:r>
          </w:p>
          <w:p w14:paraId="2B54FA82">
            <w:pPr>
              <w:pStyle w:val="3"/>
              <w:adjustRightInd w:val="0"/>
              <w:snapToGrid w:val="0"/>
              <w:spacing w:after="0"/>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2024年中国境内私募股权投资基金市场:</w:t>
            </w:r>
          </w:p>
          <w:p w14:paraId="0506106A">
            <w:pPr>
              <w:pStyle w:val="3"/>
              <w:adjustRightInd w:val="0"/>
              <w:snapToGrid w:val="0"/>
              <w:spacing w:after="0"/>
              <w:rPr>
                <w:rFonts w:hint="default" w:ascii="Times New Roman" w:hAnsi="Times New Roman" w:eastAsia="宋体" w:cs="Times New Roman"/>
                <w:b/>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0"/>
                <w:sz w:val="24"/>
                <w:szCs w:val="24"/>
                <w:lang w:val="en-US" w:eastAsia="zh-CN" w:bidi="ar-SA"/>
                <w14:textFill>
                  <w14:solidFill>
                    <w14:schemeClr w14:val="tx1"/>
                  </w14:solidFill>
                </w14:textFill>
              </w:rPr>
              <w:t>国信弘盛：0-5%</w:t>
            </w:r>
          </w:p>
        </w:tc>
      </w:tr>
    </w:tbl>
    <w:p w14:paraId="62134A86">
      <w:pPr>
        <w:keepNext w:val="0"/>
        <w:keepLines w:val="0"/>
        <w:pageBreakBefore w:val="0"/>
        <w:widowControl w:val="0"/>
        <w:kinsoku/>
        <w:wordWrap/>
        <w:overflowPunct/>
        <w:topLinePunct w:val="0"/>
        <w:autoSpaceDE/>
        <w:autoSpaceDN/>
        <w:bidi w:val="0"/>
        <w:adjustRightInd/>
        <w:snapToGrid/>
        <w:spacing w:line="20" w:lineRule="exact"/>
        <w:textAlignment w:val="auto"/>
        <w:rPr>
          <w:rFonts w:eastAsiaTheme="minorEastAsia"/>
        </w:rPr>
      </w:pPr>
    </w:p>
    <w:p w14:paraId="418DC0B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A347FF"/>
    <w:rsid w:val="16A347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2025-12-31T00:57:00Z</dcterms:created>
  <dc:creator>郑玉丽</dc:creator>
  <cp:lastModifiedBy>郑玉丽</cp:lastModifiedBy>
  <dcterms:modified xsi:type="dcterms:W3CDTF">2025-12-31T00:57:56Z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FB36E1D1C93441969F286BC117B3D374_11</vt:lpwstr>
  </property>
  <property fmtid="{D5CDD505-2E9C-101B-9397-08002B2CF9AE}" pid="4" name="KSOTemplateDocerSaveRecord">
    <vt:lpwstr>eyJoZGlkIjoiODNjM2VkZWUwYjdkZDYzZGY2NmZiZGNiZGIyMjFjYWIiLCJ1c2VySWQiOiIxMjE0ODEzMDc5In0=</vt:lpwstr>
  </property>
</Properties>
</file>