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055CA">
      <w:pPr>
        <w:widowControl/>
        <w:spacing w:after="240"/>
        <w:jc w:val="center"/>
        <w:rPr>
          <w:rFonts w:hint="default" w:ascii="Times New Roman" w:hAnsi="Times New Roman" w:eastAsia="方正小标宋简体" w:cs="Times New Roman"/>
          <w:bCs/>
          <w:kern w:val="0"/>
          <w:sz w:val="44"/>
          <w:szCs w:val="44"/>
          <w:lang w:val="en-GB" w:bidi="ar-AE"/>
        </w:rPr>
      </w:pPr>
      <w:r>
        <w:rPr>
          <w:rFonts w:hint="default" w:ascii="Times New Roman" w:hAnsi="Times New Roman" w:eastAsia="方正小标宋简体" w:cs="Times New Roman"/>
          <w:bCs/>
          <w:kern w:val="0"/>
          <w:sz w:val="44"/>
          <w:szCs w:val="44"/>
          <w:lang w:val="en-GB" w:bidi="ar-AE"/>
        </w:rPr>
        <w:t>经营者集中简易案件公示表</w:t>
      </w:r>
    </w:p>
    <w:tbl>
      <w:tblPr>
        <w:tblStyle w:val="5"/>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14:paraId="2ACC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940" w:type="dxa"/>
            <w:shd w:val="clear" w:color="auto" w:fill="D9D9D9"/>
            <w:vAlign w:val="center"/>
          </w:tcPr>
          <w:p w14:paraId="48575D8B">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r>
              <w:rPr>
                <w:rFonts w:hint="eastAsia" w:cs="宋体"/>
                <w:bCs/>
                <w:color w:val="000000"/>
                <w:sz w:val="24"/>
                <w:szCs w:val="24"/>
              </w:rPr>
              <w:t>案件名称</w:t>
            </w:r>
          </w:p>
        </w:tc>
        <w:tc>
          <w:tcPr>
            <w:tcW w:w="7700" w:type="dxa"/>
            <w:gridSpan w:val="2"/>
            <w:vAlign w:val="center"/>
          </w:tcPr>
          <w:p w14:paraId="2037C11A">
            <w:pPr>
              <w:keepNext w:val="0"/>
              <w:keepLines w:val="0"/>
              <w:suppressLineNumbers w:val="0"/>
              <w:adjustRightInd w:val="0"/>
              <w:snapToGrid w:val="0"/>
              <w:spacing w:before="0" w:beforeAutospacing="0" w:after="0" w:afterAutospacing="0"/>
              <w:ind w:left="0" w:right="0"/>
              <w:rPr>
                <w:rFonts w:hint="default"/>
              </w:rPr>
            </w:pPr>
            <w:r>
              <w:rPr>
                <w:rFonts w:hint="default"/>
                <w:sz w:val="24"/>
                <w:lang w:bidi="ar"/>
              </w:rPr>
              <w:t>潮州城市建设投资集团有限公司与广东电网能源投资有限公司新设合营企业案</w:t>
            </w:r>
          </w:p>
        </w:tc>
      </w:tr>
      <w:tr w14:paraId="1CDD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940" w:type="dxa"/>
            <w:shd w:val="clear" w:color="auto" w:fill="D9D9D9"/>
            <w:vAlign w:val="center"/>
          </w:tcPr>
          <w:p w14:paraId="70B80A2C">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r>
              <w:rPr>
                <w:rFonts w:hint="eastAsia" w:cs="宋体"/>
                <w:bCs/>
                <w:color w:val="000000"/>
                <w:sz w:val="24"/>
                <w:szCs w:val="24"/>
              </w:rPr>
              <w:t>交易概况（限200字内）</w:t>
            </w:r>
          </w:p>
        </w:tc>
        <w:tc>
          <w:tcPr>
            <w:tcW w:w="7700" w:type="dxa"/>
            <w:gridSpan w:val="2"/>
            <w:vAlign w:val="center"/>
          </w:tcPr>
          <w:p w14:paraId="32EDFC73">
            <w:pPr>
              <w:pStyle w:val="4"/>
              <w:keepNext w:val="0"/>
              <w:keepLines w:val="0"/>
              <w:suppressLineNumbers w:val="0"/>
              <w:spacing w:before="0" w:beforeAutospacing="0" w:after="0" w:afterAutospacing="0" w:line="360" w:lineRule="exact"/>
              <w:ind w:left="0" w:right="0"/>
              <w:rPr>
                <w:rFonts w:hint="default"/>
              </w:rPr>
            </w:pPr>
            <w:r>
              <w:rPr>
                <w:rFonts w:hint="default"/>
                <w:kern w:val="0"/>
                <w:sz w:val="24"/>
                <w:lang w:val="en-GB" w:bidi="ar-AE"/>
              </w:rPr>
              <w:t>潮州城市建设投资集团有限公司（“潮州城建”）与广东电网能源投资有限公司（“能源投资公司”）签订协议，拟在广东省潮州市设立一家合营企业，主要从事分布式光伏发电业务。交易后，潮州城建、能源投资公司将分别持有合营企业51%、49%的股权，双方共同控制合营企业。</w:t>
            </w:r>
          </w:p>
        </w:tc>
      </w:tr>
      <w:tr w14:paraId="7E0B6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940" w:type="dxa"/>
            <w:vMerge w:val="restart"/>
            <w:shd w:val="clear" w:color="auto" w:fill="D9D9D9"/>
            <w:vAlign w:val="center"/>
          </w:tcPr>
          <w:p w14:paraId="0B0547F0">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r>
              <w:rPr>
                <w:rFonts w:hint="default" w:cs="宋体"/>
                <w:bCs/>
                <w:color w:val="000000"/>
                <w:sz w:val="24"/>
              </w:rPr>
              <w:t>参与集中的经营者简介（每个限100字以内）</w:t>
            </w:r>
          </w:p>
        </w:tc>
        <w:tc>
          <w:tcPr>
            <w:tcW w:w="1607" w:type="dxa"/>
            <w:vAlign w:val="center"/>
          </w:tcPr>
          <w:p w14:paraId="761E2000">
            <w:pPr>
              <w:pStyle w:val="3"/>
              <w:keepNext w:val="0"/>
              <w:keepLines w:val="0"/>
              <w:suppressLineNumbers w:val="0"/>
              <w:adjustRightInd w:val="0"/>
              <w:snapToGrid w:val="0"/>
              <w:spacing w:before="0" w:beforeAutospacing="0" w:after="0" w:afterAutospacing="0"/>
              <w:ind w:left="0" w:right="0"/>
              <w:rPr>
                <w:rFonts w:hint="eastAsia" w:eastAsia="宋体" w:cs="宋体"/>
                <w:bCs/>
                <w:color w:val="000000"/>
                <w:sz w:val="24"/>
                <w:szCs w:val="24"/>
                <w:lang w:val="en-US" w:eastAsia="zh-CN"/>
              </w:rPr>
            </w:pPr>
            <w:r>
              <w:rPr>
                <w:rFonts w:hint="eastAsia" w:cs="宋体"/>
                <w:bCs/>
                <w:color w:val="000000"/>
                <w:sz w:val="24"/>
                <w:szCs w:val="24"/>
                <w:lang w:val="en-US" w:eastAsia="zh-CN"/>
              </w:rPr>
              <w:t>1.</w:t>
            </w:r>
            <w:r>
              <w:rPr>
                <w:rFonts w:hint="eastAsia"/>
                <w:sz w:val="24"/>
              </w:rPr>
              <w:t>潮州城建</w:t>
            </w:r>
          </w:p>
        </w:tc>
        <w:tc>
          <w:tcPr>
            <w:tcW w:w="6093" w:type="dxa"/>
            <w:vAlign w:val="center"/>
          </w:tcPr>
          <w:p w14:paraId="7A96FB22">
            <w:pPr>
              <w:keepNext w:val="0"/>
              <w:keepLines w:val="0"/>
              <w:suppressLineNumbers w:val="0"/>
              <w:adjustRightInd w:val="0"/>
              <w:snapToGrid w:val="0"/>
              <w:spacing w:before="0" w:beforeAutospacing="0" w:after="0" w:afterAutospacing="0"/>
              <w:ind w:left="0" w:right="0"/>
              <w:rPr>
                <w:rFonts w:hint="default" w:cs="宋体"/>
                <w:bCs/>
                <w:color w:val="000000"/>
                <w:sz w:val="24"/>
              </w:rPr>
            </w:pPr>
            <w:r>
              <w:rPr>
                <w:rFonts w:hint="eastAsia" w:cs="宋体"/>
                <w:bCs/>
                <w:color w:val="000000"/>
                <w:sz w:val="24"/>
              </w:rPr>
              <w:t>潮州城建于2017年6月26日成立于广东省潮州市，主要业务为工程建设、清洁能源、物流贸易、矿业开采、园区开发管理、房地产开发等。 </w:t>
            </w:r>
          </w:p>
          <w:p w14:paraId="5F8BB466">
            <w:pPr>
              <w:keepNext w:val="0"/>
              <w:keepLines w:val="0"/>
              <w:suppressLineNumbers w:val="0"/>
              <w:adjustRightInd w:val="0"/>
              <w:snapToGrid w:val="0"/>
              <w:spacing w:before="0" w:beforeAutospacing="0" w:after="0" w:afterAutospacing="0"/>
              <w:ind w:left="0" w:right="0"/>
              <w:rPr>
                <w:rFonts w:hint="default" w:eastAsia="宋体"/>
                <w:sz w:val="24"/>
                <w:szCs w:val="24"/>
                <w:lang w:val="en-US" w:eastAsia="zh-CN"/>
              </w:rPr>
            </w:pPr>
            <w:r>
              <w:rPr>
                <w:rFonts w:hint="eastAsia" w:cs="宋体"/>
                <w:bCs/>
                <w:color w:val="000000"/>
                <w:sz w:val="24"/>
              </w:rPr>
              <w:t>潮州城建为潮州市国资委下属企业。</w:t>
            </w:r>
          </w:p>
        </w:tc>
      </w:tr>
      <w:tr w14:paraId="5E5A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940" w:type="dxa"/>
            <w:vMerge w:val="continue"/>
            <w:shd w:val="clear" w:color="auto" w:fill="D9D9D9"/>
            <w:vAlign w:val="center"/>
          </w:tcPr>
          <w:p w14:paraId="0A5399DA">
            <w:pPr>
              <w:pStyle w:val="3"/>
              <w:keepNext w:val="0"/>
              <w:keepLines w:val="0"/>
              <w:suppressLineNumbers w:val="0"/>
              <w:adjustRightInd w:val="0"/>
              <w:snapToGrid w:val="0"/>
              <w:spacing w:before="0" w:beforeAutospacing="0" w:after="0" w:afterAutospacing="0"/>
              <w:ind w:left="0" w:right="0"/>
              <w:rPr>
                <w:rFonts w:hint="default"/>
              </w:rPr>
            </w:pPr>
          </w:p>
        </w:tc>
        <w:tc>
          <w:tcPr>
            <w:tcW w:w="1607" w:type="dxa"/>
            <w:vAlign w:val="center"/>
          </w:tcPr>
          <w:p w14:paraId="02D175F9">
            <w:pPr>
              <w:pStyle w:val="3"/>
              <w:keepNext w:val="0"/>
              <w:keepLines w:val="0"/>
              <w:suppressLineNumbers w:val="0"/>
              <w:adjustRightInd w:val="0"/>
              <w:snapToGrid w:val="0"/>
              <w:spacing w:before="0" w:beforeAutospacing="0" w:after="0" w:afterAutospacing="0"/>
              <w:ind w:left="0" w:right="0"/>
              <w:rPr>
                <w:rFonts w:hint="eastAsia" w:eastAsia="宋体" w:cs="宋体"/>
                <w:bCs/>
                <w:color w:val="000000"/>
                <w:sz w:val="24"/>
                <w:szCs w:val="24"/>
                <w:lang w:val="en-US" w:eastAsia="zh-CN"/>
              </w:rPr>
            </w:pPr>
            <w:r>
              <w:rPr>
                <w:rFonts w:hint="eastAsia" w:cs="宋体"/>
                <w:bCs/>
                <w:color w:val="000000"/>
                <w:sz w:val="24"/>
                <w:szCs w:val="24"/>
                <w:lang w:val="en-US" w:eastAsia="zh-CN"/>
              </w:rPr>
              <w:t>2.</w:t>
            </w:r>
            <w:r>
              <w:rPr>
                <w:rFonts w:hint="eastAsia"/>
                <w:sz w:val="24"/>
              </w:rPr>
              <w:t>能源投资公司</w:t>
            </w:r>
          </w:p>
        </w:tc>
        <w:tc>
          <w:tcPr>
            <w:tcW w:w="6093" w:type="dxa"/>
            <w:vAlign w:val="center"/>
          </w:tcPr>
          <w:p w14:paraId="40FF85AD">
            <w:pPr>
              <w:pStyle w:val="3"/>
              <w:keepNext w:val="0"/>
              <w:keepLines w:val="0"/>
              <w:suppressLineNumbers w:val="0"/>
              <w:adjustRightInd w:val="0"/>
              <w:snapToGrid w:val="0"/>
              <w:spacing w:before="0" w:beforeAutospacing="0" w:after="0" w:afterAutospacing="0"/>
              <w:ind w:left="0" w:right="0"/>
              <w:rPr>
                <w:rFonts w:hint="default" w:cs="宋体"/>
                <w:bCs/>
                <w:color w:val="000000"/>
                <w:sz w:val="24"/>
              </w:rPr>
            </w:pPr>
            <w:r>
              <w:rPr>
                <w:rFonts w:hint="eastAsia" w:cs="宋体"/>
                <w:bCs/>
                <w:color w:val="000000"/>
                <w:sz w:val="24"/>
              </w:rPr>
              <w:t>能源投资公司于1995年1月9日成立于广东省广州市，主要业务为电动汽车及其充电设施的投资与运营；储能项目投资及运营等。 </w:t>
            </w:r>
          </w:p>
          <w:p w14:paraId="2D91DFAC">
            <w:pPr>
              <w:pStyle w:val="3"/>
              <w:keepNext w:val="0"/>
              <w:keepLines w:val="0"/>
              <w:suppressLineNumbers w:val="0"/>
              <w:adjustRightInd w:val="0"/>
              <w:snapToGrid w:val="0"/>
              <w:spacing w:before="0" w:beforeAutospacing="0" w:after="0" w:afterAutospacing="0"/>
              <w:ind w:left="0" w:right="0"/>
              <w:rPr>
                <w:rFonts w:hint="eastAsia" w:cs="宋体"/>
                <w:bCs/>
                <w:color w:val="000000"/>
                <w:sz w:val="24"/>
                <w:szCs w:val="24"/>
              </w:rPr>
            </w:pPr>
            <w:r>
              <w:rPr>
                <w:rFonts w:hint="eastAsia" w:cs="宋体"/>
                <w:bCs/>
                <w:color w:val="000000"/>
                <w:sz w:val="24"/>
              </w:rPr>
              <w:t>能源投资公司最终控制人为中国南方电网有限责任公司，主要从事南方五省区电力供应、区域电网管理、电力交易与调度业务。</w:t>
            </w:r>
          </w:p>
        </w:tc>
      </w:tr>
      <w:tr w14:paraId="4D141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14:paraId="2F2EC022">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r>
              <w:rPr>
                <w:rFonts w:hint="eastAsia" w:cs="宋体"/>
                <w:bCs/>
                <w:color w:val="000000"/>
                <w:sz w:val="24"/>
                <w:szCs w:val="24"/>
              </w:rPr>
              <w:t>简易案件理由（可以单选，也可以多选）</w:t>
            </w:r>
          </w:p>
        </w:tc>
        <w:tc>
          <w:tcPr>
            <w:tcW w:w="7700" w:type="dxa"/>
            <w:gridSpan w:val="2"/>
            <w:vAlign w:val="center"/>
          </w:tcPr>
          <w:p w14:paraId="26F01F72">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FE"/>
            </w:r>
            <w:r>
              <w:rPr>
                <w:rFonts w:hint="eastAsia" w:cs="宋体"/>
                <w:bCs/>
                <w:color w:val="000000"/>
                <w:sz w:val="24"/>
                <w:szCs w:val="24"/>
              </w:rPr>
              <w:t xml:space="preserve"> 1、在同一相关市场，所有参与集中的经营者所占市场份额之和小于15%。</w:t>
            </w:r>
          </w:p>
        </w:tc>
      </w:tr>
      <w:tr w14:paraId="744BE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14:paraId="58BD4044">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p>
        </w:tc>
        <w:tc>
          <w:tcPr>
            <w:tcW w:w="7700" w:type="dxa"/>
            <w:gridSpan w:val="2"/>
            <w:vAlign w:val="center"/>
          </w:tcPr>
          <w:p w14:paraId="408B5592">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FE"/>
            </w:r>
            <w:r>
              <w:rPr>
                <w:rFonts w:hint="eastAsia" w:cs="宋体"/>
                <w:bCs/>
                <w:color w:val="000000"/>
                <w:sz w:val="24"/>
                <w:szCs w:val="24"/>
              </w:rPr>
              <w:t xml:space="preserve"> 2、存在上下游关系的参与集中的经营者，在上下游市场所占的市场份额均小于25%。</w:t>
            </w:r>
          </w:p>
        </w:tc>
      </w:tr>
      <w:tr w14:paraId="544AA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14:paraId="7C11C7BD">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p>
        </w:tc>
        <w:tc>
          <w:tcPr>
            <w:tcW w:w="7700" w:type="dxa"/>
            <w:gridSpan w:val="2"/>
            <w:vAlign w:val="center"/>
          </w:tcPr>
          <w:p w14:paraId="26C38075">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A8"/>
            </w:r>
            <w:r>
              <w:rPr>
                <w:rFonts w:hint="eastAsia" w:cs="宋体"/>
                <w:bCs/>
                <w:color w:val="000000"/>
                <w:sz w:val="24"/>
                <w:szCs w:val="24"/>
              </w:rPr>
              <w:t xml:space="preserve"> 3、不在同一相关市场、也不存在上下游关系的参与集中的经营者，在与交易有关的每个市场所占的份额均小于25%。</w:t>
            </w:r>
          </w:p>
        </w:tc>
      </w:tr>
      <w:tr w14:paraId="5A5A2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40" w:type="dxa"/>
            <w:vMerge w:val="continue"/>
            <w:shd w:val="clear" w:color="auto" w:fill="D9D9D9"/>
            <w:vAlign w:val="center"/>
          </w:tcPr>
          <w:p w14:paraId="5E63D446">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p>
        </w:tc>
        <w:tc>
          <w:tcPr>
            <w:tcW w:w="7700" w:type="dxa"/>
            <w:gridSpan w:val="2"/>
            <w:vAlign w:val="center"/>
          </w:tcPr>
          <w:p w14:paraId="0209CDD3">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A8"/>
            </w:r>
            <w:r>
              <w:rPr>
                <w:rFonts w:hint="eastAsia" w:cs="宋体"/>
                <w:bCs/>
                <w:color w:val="000000"/>
                <w:sz w:val="24"/>
                <w:szCs w:val="24"/>
              </w:rPr>
              <w:t xml:space="preserve"> 4、参与集中的经营者在中国境外设立合营企业，合营企业不在中国境内从事经济活动。</w:t>
            </w:r>
          </w:p>
        </w:tc>
      </w:tr>
      <w:tr w14:paraId="11EC7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14:paraId="4AFE2327">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p>
        </w:tc>
        <w:tc>
          <w:tcPr>
            <w:tcW w:w="7700" w:type="dxa"/>
            <w:gridSpan w:val="2"/>
            <w:vAlign w:val="center"/>
          </w:tcPr>
          <w:p w14:paraId="382F8476">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A8"/>
            </w:r>
            <w:r>
              <w:rPr>
                <w:rFonts w:hint="eastAsia" w:cs="宋体"/>
                <w:bCs/>
                <w:color w:val="000000"/>
                <w:sz w:val="24"/>
                <w:szCs w:val="24"/>
              </w:rPr>
              <w:t xml:space="preserve"> 5、参与集中的经营者收购境外企业股权或资产的，该境外企业不在中国境内从事经济活动。</w:t>
            </w:r>
          </w:p>
        </w:tc>
      </w:tr>
      <w:tr w14:paraId="0875F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14:paraId="0C4B75BA">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p>
        </w:tc>
        <w:tc>
          <w:tcPr>
            <w:tcW w:w="7700" w:type="dxa"/>
            <w:gridSpan w:val="2"/>
            <w:vAlign w:val="center"/>
          </w:tcPr>
          <w:p w14:paraId="319904D1">
            <w:pPr>
              <w:pStyle w:val="3"/>
              <w:keepNext w:val="0"/>
              <w:keepLines w:val="0"/>
              <w:suppressLineNumbers w:val="0"/>
              <w:adjustRightInd w:val="0"/>
              <w:snapToGrid w:val="0"/>
              <w:spacing w:before="0" w:beforeAutospacing="0" w:after="0" w:afterAutospacing="0"/>
              <w:ind w:left="0" w:right="0"/>
              <w:rPr>
                <w:rFonts w:hint="default" w:cs="宋体"/>
                <w:bCs/>
                <w:color w:val="000000"/>
                <w:sz w:val="24"/>
                <w:szCs w:val="24"/>
              </w:rPr>
            </w:pPr>
            <w:r>
              <w:rPr>
                <w:rFonts w:hint="eastAsia" w:cs="宋体"/>
                <w:bCs/>
                <w:color w:val="000000"/>
                <w:sz w:val="24"/>
                <w:szCs w:val="24"/>
              </w:rPr>
              <w:sym w:font="Wingdings" w:char="00A8"/>
            </w:r>
            <w:r>
              <w:rPr>
                <w:rFonts w:hint="eastAsia" w:cs="宋体"/>
                <w:bCs/>
                <w:color w:val="000000"/>
                <w:sz w:val="24"/>
                <w:szCs w:val="24"/>
              </w:rPr>
              <w:t xml:space="preserve"> 6、由两个以上的经营者共同控制的合营企业，通过集中被其中一个或一个以上经营者控制。</w:t>
            </w:r>
          </w:p>
        </w:tc>
      </w:tr>
      <w:tr w14:paraId="65BD7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940" w:type="dxa"/>
            <w:shd w:val="clear" w:color="auto" w:fill="D9D9D9"/>
            <w:vAlign w:val="center"/>
          </w:tcPr>
          <w:p w14:paraId="73624E3D">
            <w:pPr>
              <w:pStyle w:val="3"/>
              <w:keepNext w:val="0"/>
              <w:keepLines w:val="0"/>
              <w:suppressLineNumbers w:val="0"/>
              <w:adjustRightInd w:val="0"/>
              <w:snapToGrid w:val="0"/>
              <w:spacing w:before="0" w:beforeAutospacing="0" w:after="0" w:afterAutospacing="0"/>
              <w:ind w:left="0" w:right="0"/>
              <w:jc w:val="center"/>
              <w:rPr>
                <w:rFonts w:hint="default" w:cs="宋体"/>
                <w:bCs/>
                <w:color w:val="000000"/>
                <w:sz w:val="24"/>
                <w:szCs w:val="24"/>
              </w:rPr>
            </w:pPr>
            <w:r>
              <w:rPr>
                <w:rFonts w:hint="eastAsia" w:cs="宋体"/>
                <w:bCs/>
                <w:color w:val="000000"/>
                <w:sz w:val="24"/>
                <w:szCs w:val="24"/>
              </w:rPr>
              <w:t>备注</w:t>
            </w:r>
          </w:p>
        </w:tc>
        <w:tc>
          <w:tcPr>
            <w:tcW w:w="7700" w:type="dxa"/>
            <w:gridSpan w:val="2"/>
            <w:vAlign w:val="center"/>
          </w:tcPr>
          <w:p w14:paraId="6C66E958">
            <w:pPr>
              <w:keepNext w:val="0"/>
              <w:keepLines w:val="0"/>
              <w:widowControl/>
              <w:suppressLineNumbers w:val="0"/>
              <w:adjustRightInd w:val="0"/>
              <w:snapToGrid w:val="0"/>
              <w:spacing w:before="0" w:beforeAutospacing="0" w:after="0" w:afterAutospacing="0" w:line="240" w:lineRule="auto"/>
              <w:ind w:left="0" w:right="0"/>
              <w:jc w:val="left"/>
              <w:rPr>
                <w:rFonts w:hint="eastAsia" w:ascii="宋体" w:hAnsi="宋体" w:cs="Times New Roman"/>
                <w:b/>
                <w:bCs/>
                <w:color w:val="auto"/>
                <w:kern w:val="2"/>
                <w:sz w:val="24"/>
                <w:szCs w:val="24"/>
                <w:lang w:val="en-US" w:eastAsia="zh-CN" w:bidi="ar-SA"/>
              </w:rPr>
            </w:pPr>
            <w:r>
              <w:rPr>
                <w:rFonts w:hint="eastAsia" w:ascii="宋体" w:hAnsi="宋体" w:cs="Times New Roman"/>
                <w:b/>
                <w:bCs/>
                <w:color w:val="auto"/>
                <w:kern w:val="2"/>
                <w:sz w:val="24"/>
                <w:szCs w:val="24"/>
                <w:lang w:val="en-US" w:eastAsia="zh-CN" w:bidi="ar-SA"/>
              </w:rPr>
              <w:t>横向重叠：</w:t>
            </w:r>
          </w:p>
          <w:p w14:paraId="0B67741B">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GB" w:eastAsia="zh-CN" w:bidi="ar-SA"/>
              </w:rPr>
            </w:pPr>
            <w:r>
              <w:rPr>
                <w:rFonts w:hint="default" w:ascii="Times New Roman" w:hAnsi="Times New Roman" w:eastAsia="宋体" w:cs="Times New Roman"/>
                <w:color w:val="auto"/>
                <w:kern w:val="2"/>
                <w:sz w:val="24"/>
                <w:szCs w:val="24"/>
                <w:lang w:val="en-GB" w:eastAsia="zh-CN" w:bidi="ar-SA"/>
              </w:rPr>
              <w:t>202</w:t>
            </w:r>
            <w:r>
              <w:rPr>
                <w:rFonts w:hint="default" w:ascii="Times New Roman" w:hAnsi="Times New Roman" w:eastAsia="宋体" w:cs="Times New Roman"/>
                <w:color w:val="auto"/>
                <w:kern w:val="2"/>
                <w:sz w:val="24"/>
                <w:szCs w:val="24"/>
                <w:lang w:val="en-US" w:eastAsia="zh-CN" w:bidi="ar-SA"/>
              </w:rPr>
              <w:t>4</w:t>
            </w:r>
            <w:r>
              <w:rPr>
                <w:rFonts w:hint="default" w:ascii="Times New Roman" w:hAnsi="Times New Roman" w:eastAsia="宋体" w:cs="Times New Roman"/>
                <w:color w:val="auto"/>
                <w:kern w:val="2"/>
                <w:sz w:val="24"/>
                <w:szCs w:val="24"/>
                <w:lang w:val="en-GB" w:eastAsia="zh-CN" w:bidi="ar-SA"/>
              </w:rPr>
              <w:t>年中国境内分布式光伏发电市场：</w:t>
            </w:r>
          </w:p>
          <w:p w14:paraId="0C696DD0">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kern w:val="2"/>
                <w:sz w:val="24"/>
                <w:szCs w:val="24"/>
                <w:highlight w:val="none"/>
                <w:lang w:val="en-US" w:eastAsia="zh-CN" w:bidi="ar-SA"/>
              </w:rPr>
              <w:t>能源投资公司</w:t>
            </w:r>
            <w:r>
              <w:rPr>
                <w:rFonts w:hint="default"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GB" w:eastAsia="zh-CN" w:bidi="ar-SA"/>
              </w:rPr>
              <w:t>0-5%</w:t>
            </w:r>
            <w:r>
              <w:rPr>
                <w:rFonts w:hint="default" w:ascii="Times New Roman" w:hAnsi="Times New Roman" w:cs="Times New Roman"/>
                <w:color w:val="auto"/>
                <w:kern w:val="2"/>
                <w:sz w:val="24"/>
                <w:szCs w:val="24"/>
                <w:lang w:val="en-GB" w:eastAsia="zh-CN" w:bidi="ar-SA"/>
              </w:rPr>
              <w:t>，</w:t>
            </w:r>
            <w:r>
              <w:rPr>
                <w:rFonts w:hint="default" w:ascii="Times New Roman" w:hAnsi="Times New Roman" w:cs="Times New Roman"/>
                <w:color w:val="auto"/>
                <w:kern w:val="2"/>
                <w:sz w:val="24"/>
                <w:szCs w:val="24"/>
                <w:lang w:val="en-US" w:eastAsia="zh-CN" w:bidi="ar-SA"/>
              </w:rPr>
              <w:t>各方合计：</w:t>
            </w:r>
            <w:r>
              <w:rPr>
                <w:rFonts w:hint="default" w:ascii="Times New Roman" w:hAnsi="Times New Roman" w:eastAsia="宋体" w:cs="Times New Roman"/>
                <w:color w:val="auto"/>
                <w:kern w:val="2"/>
                <w:sz w:val="24"/>
                <w:szCs w:val="24"/>
                <w:lang w:val="en-GB" w:eastAsia="zh-CN" w:bidi="ar-SA"/>
              </w:rPr>
              <w:t>0-5%</w:t>
            </w:r>
            <w:r>
              <w:rPr>
                <w:rFonts w:hint="default" w:ascii="Times New Roman" w:hAnsi="Times New Roman" w:cs="Times New Roman"/>
                <w:color w:val="auto"/>
                <w:kern w:val="2"/>
                <w:sz w:val="24"/>
                <w:szCs w:val="24"/>
                <w:lang w:val="en-GB" w:eastAsia="zh-CN" w:bidi="ar-SA"/>
              </w:rPr>
              <w:t>。</w:t>
            </w:r>
          </w:p>
          <w:p w14:paraId="1D92A74E">
            <w:pPr>
              <w:keepNext w:val="0"/>
              <w:keepLines w:val="0"/>
              <w:widowControl/>
              <w:suppressLineNumbers w:val="0"/>
              <w:adjustRightInd w:val="0"/>
              <w:snapToGrid w:val="0"/>
              <w:spacing w:before="0" w:beforeAutospacing="0" w:after="0" w:afterAutospacing="0" w:line="240" w:lineRule="auto"/>
              <w:ind w:left="0" w:right="0"/>
              <w:jc w:val="left"/>
              <w:rPr>
                <w:rFonts w:hint="eastAsia" w:ascii="宋体" w:hAnsi="宋体" w:eastAsia="宋体" w:cs="Times New Roman"/>
                <w:b/>
                <w:bCs/>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纵向关联：</w:t>
            </w:r>
          </w:p>
          <w:p w14:paraId="25892218">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上游：2024年中国境内分布式光伏工程总承包市场：</w:t>
            </w:r>
          </w:p>
          <w:p w14:paraId="1682F7EC">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kern w:val="2"/>
                <w:sz w:val="24"/>
                <w:szCs w:val="24"/>
                <w:highlight w:val="none"/>
                <w:lang w:val="en-US" w:eastAsia="zh-CN" w:bidi="ar-SA"/>
              </w:rPr>
              <w:t>能源投资公司</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lang w:val="en-GB" w:eastAsia="zh-CN" w:bidi="ar-SA"/>
              </w:rPr>
              <w:t>0-5%</w:t>
            </w:r>
            <w:r>
              <w:rPr>
                <w:rFonts w:hint="default" w:ascii="Times New Roman" w:hAnsi="Times New Roman" w:cs="Times New Roman"/>
                <w:color w:val="auto"/>
                <w:kern w:val="2"/>
                <w:sz w:val="24"/>
                <w:szCs w:val="24"/>
                <w:lang w:val="en-GB" w:eastAsia="zh-CN" w:bidi="ar-SA"/>
              </w:rPr>
              <w:t>，</w:t>
            </w:r>
            <w:r>
              <w:rPr>
                <w:rFonts w:hint="default" w:ascii="Times New Roman" w:hAnsi="Times New Roman" w:cs="Times New Roman"/>
                <w:color w:val="auto"/>
                <w:kern w:val="2"/>
                <w:sz w:val="24"/>
                <w:szCs w:val="24"/>
                <w:lang w:val="en-US" w:eastAsia="zh-CN" w:bidi="ar-SA"/>
              </w:rPr>
              <w:t>各方合计：</w:t>
            </w:r>
            <w:r>
              <w:rPr>
                <w:rFonts w:hint="default" w:ascii="Times New Roman" w:hAnsi="Times New Roman" w:eastAsia="宋体" w:cs="Times New Roman"/>
                <w:color w:val="auto"/>
                <w:kern w:val="2"/>
                <w:sz w:val="24"/>
                <w:szCs w:val="24"/>
                <w:lang w:val="en-GB" w:eastAsia="zh-CN" w:bidi="ar-SA"/>
              </w:rPr>
              <w:t>0-5%</w:t>
            </w:r>
            <w:r>
              <w:rPr>
                <w:rFonts w:hint="default" w:ascii="Times New Roman" w:hAnsi="Times New Roman" w:cs="Times New Roman"/>
                <w:color w:val="auto"/>
                <w:kern w:val="2"/>
                <w:sz w:val="24"/>
                <w:szCs w:val="24"/>
                <w:lang w:val="en-GB" w:eastAsia="zh-CN" w:bidi="ar-SA"/>
              </w:rPr>
              <w:t>。</w:t>
            </w:r>
          </w:p>
          <w:p w14:paraId="4B63D779">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下游：2024年中国境内分布式光伏发电市场：</w:t>
            </w:r>
          </w:p>
          <w:p w14:paraId="3F5F8B77">
            <w:pPr>
              <w:keepNext w:val="0"/>
              <w:keepLines w:val="0"/>
              <w:widowControl/>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kern w:val="2"/>
                <w:sz w:val="24"/>
                <w:szCs w:val="24"/>
                <w:lang w:val="en-US" w:eastAsia="zh-CN" w:bidi="ar-SA"/>
              </w:rPr>
              <w:t>如上所述。</w:t>
            </w:r>
          </w:p>
          <w:p w14:paraId="543B390A">
            <w:pPr>
              <w:pStyle w:val="3"/>
              <w:keepNext w:val="0"/>
              <w:keepLines w:val="0"/>
              <w:suppressLineNumbers w:val="0"/>
              <w:adjustRightInd w:val="0"/>
              <w:snapToGrid w:val="0"/>
              <w:spacing w:before="0" w:beforeAutospacing="0" w:after="0" w:afterAutospacing="0"/>
              <w:ind w:left="0" w:right="0"/>
              <w:rPr>
                <w:rFonts w:hint="eastAsia" w:cs="Times New Roman"/>
                <w:b/>
                <w:bCs w:val="0"/>
                <w:color w:val="000000"/>
                <w:kern w:val="0"/>
                <w:sz w:val="24"/>
                <w:lang w:eastAsia="zh-CN" w:bidi="ar-AE"/>
              </w:rPr>
            </w:pPr>
          </w:p>
        </w:tc>
      </w:tr>
    </w:tbl>
    <w:p w14:paraId="6AE5E17B">
      <w:pPr>
        <w:keepNext w:val="0"/>
        <w:keepLines w:val="0"/>
        <w:pageBreakBefore w:val="0"/>
        <w:widowControl w:val="0"/>
        <w:kinsoku/>
        <w:wordWrap/>
        <w:overflowPunct/>
        <w:topLinePunct w:val="0"/>
        <w:autoSpaceDE/>
        <w:autoSpaceDN/>
        <w:bidi w:val="0"/>
        <w:adjustRightInd/>
        <w:snapToGrid/>
        <w:spacing w:line="14" w:lineRule="exact"/>
        <w:textAlignment w:val="auto"/>
      </w:pPr>
      <w:bookmarkStart w:id="0" w:name="_GoBack"/>
      <w:bookmarkEnd w:id="0"/>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8024C"/>
    <w:rsid w:val="16080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nhideWhenUsed/>
    <w:qFormat/>
    <w:uiPriority w:val="99"/>
    <w:pPr>
      <w:spacing w:after="120"/>
    </w:pPr>
  </w:style>
  <w:style w:type="paragraph" w:styleId="4">
    <w:name w:val="Normal Indent"/>
    <w:basedOn w:val="1"/>
    <w:next w:val="1"/>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2025-12-31T00:40:00Z</dcterms:created>
  <dc:creator>郑玉丽</dc:creator>
  <cp:lastModifiedBy>郑玉丽</cp:lastModifiedBy>
  <dcterms:modified xsi:type="dcterms:W3CDTF">2025-12-31T00:41:56Z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DA01661E6A014205B2DA0C7228A05D2B_11</vt:lpwstr>
  </property>
  <property fmtid="{D5CDD505-2E9C-101B-9397-08002B2CF9AE}" pid="4" name="KSOTemplateDocerSaveRecord">
    <vt:lpwstr>eyJoZGlkIjoiODNjM2VkZWUwYjdkZDYzZGY2NmZiZGNiZGIyMjFjYWIiLCJ1c2VySWQiOiIxMjE0ODEzMDc5In0=</vt:lpwstr>
  </property>
</Properties>
</file>