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1666D1">
      <w:pPr>
        <w:keepNext w:val="0"/>
        <w:keepLines w:val="0"/>
        <w:widowControl/>
        <w:suppressLineNumbers w:val="0"/>
        <w:spacing w:before="0" w:beforeAutospacing="0" w:after="24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GB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GB" w:eastAsia="zh-CN" w:bidi="ar"/>
        </w:rPr>
        <w:t>经营者集中简易案件公示表</w:t>
      </w:r>
    </w:p>
    <w:tbl>
      <w:tblPr>
        <w:tblStyle w:val="5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476"/>
        <w:gridCol w:w="6224"/>
      </w:tblGrid>
      <w:tr w14:paraId="7D995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940" w:type="dxa"/>
            <w:shd w:val="clear" w:color="auto" w:fill="auto"/>
            <w:vAlign w:val="center"/>
          </w:tcPr>
          <w:p w14:paraId="7A8F9A12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 w14:paraId="02549B32">
            <w:pPr>
              <w:widowControl/>
              <w:adjustRightInd w:val="0"/>
              <w:snapToGrid w:val="0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bookmarkStart w:id="0" w:name="_GoBack"/>
            <w:r>
              <w:rPr>
                <w:rFonts w:hint="default" w:ascii="Times New Roman" w:hAnsi="Times New Roman" w:cs="Times New Roman"/>
                <w:sz w:val="24"/>
              </w:rPr>
              <w:t>加拿大公共部门养老金投资委员会收购Aliro Group Industrial Value Trust 1等2家公司股权案</w:t>
            </w:r>
            <w:bookmarkEnd w:id="0"/>
          </w:p>
        </w:tc>
      </w:tr>
      <w:tr w14:paraId="2767A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940" w:type="dxa"/>
            <w:shd w:val="clear" w:color="auto" w:fill="auto"/>
            <w:vAlign w:val="center"/>
          </w:tcPr>
          <w:p w14:paraId="0E8935CF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交易概况（限200字内）</w:t>
            </w:r>
          </w:p>
        </w:tc>
        <w:tc>
          <w:tcPr>
            <w:tcW w:w="7700" w:type="dxa"/>
            <w:gridSpan w:val="2"/>
            <w:vAlign w:val="center"/>
          </w:tcPr>
          <w:p w14:paraId="3811BDE7">
            <w:pPr>
              <w:widowControl/>
              <w:adjustRightInd w:val="0"/>
              <w:snapToGrid w:val="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加拿大公共部门养老金投资委员会（“PSP”）和世邦魏理仕集团公司（“世邦魏理仕”）通过各自关联实体签订交易协议，PSP拟收购Aliro Group Industrial Value Trust 1和Aliro Group Industrial Value Trust 2（合称“AGIV”）各26.5%的信托份额。AGIV是根据澳大利亚法律设立的两家单位信托，除持有澳大利亚的工业房地产资产之外，不从事任何其他业务。交易前，世邦魏理仕持有AGIV 96%的信托份额，单独控制AGIV。交易后，PSP和世邦魏理仕将分别持有AGIV 26.5%和69.5%的信托份额，共同控制AGIV。</w:t>
            </w:r>
          </w:p>
        </w:tc>
      </w:tr>
      <w:tr w14:paraId="430F5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940" w:type="dxa"/>
            <w:vMerge w:val="restart"/>
            <w:shd w:val="clear" w:color="auto" w:fill="auto"/>
            <w:vAlign w:val="center"/>
          </w:tcPr>
          <w:p w14:paraId="1D2FEA07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参与集中的经营者简介（每个限100字内）</w:t>
            </w:r>
          </w:p>
        </w:tc>
        <w:tc>
          <w:tcPr>
            <w:tcW w:w="1476" w:type="dxa"/>
            <w:vAlign w:val="center"/>
          </w:tcPr>
          <w:p w14:paraId="55C831D5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eastAsia="宋体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.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lang w:val="en-US" w:eastAsia="zh-CN"/>
              </w:rPr>
              <w:t>PSP</w:t>
            </w:r>
          </w:p>
        </w:tc>
        <w:tc>
          <w:tcPr>
            <w:tcW w:w="6224" w:type="dxa"/>
            <w:vAlign w:val="center"/>
          </w:tcPr>
          <w:p w14:paraId="307034CF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PSP于1999年9月14日成立于加拿大，在全球范围内管理着多样化的投资组合，主要涉及资本市场、私募股权、房地产、基础设施、自然资源和信贷投资领域。</w:t>
            </w:r>
          </w:p>
          <w:p w14:paraId="0F49E8E4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PSP是由加拿大国会根据《公共部门养老金投资委员会法案》设立的一家加拿大皇家公司，无最终控制人。</w:t>
            </w:r>
          </w:p>
        </w:tc>
      </w:tr>
      <w:tr w14:paraId="2C015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1D17D724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476" w:type="dxa"/>
            <w:vAlign w:val="center"/>
          </w:tcPr>
          <w:p w14:paraId="7666802A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eastAsia="宋体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.世邦魏理仕</w:t>
            </w:r>
          </w:p>
        </w:tc>
        <w:tc>
          <w:tcPr>
            <w:tcW w:w="6224" w:type="dxa"/>
            <w:vAlign w:val="center"/>
          </w:tcPr>
          <w:p w14:paraId="0AE193E1">
            <w:pPr>
              <w:widowControl/>
              <w:adjustRightInd w:val="0"/>
              <w:snapToGrid w:val="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世邦魏理仕于2001年2月20日成立于美国，为纽约证券交易所上市公司，主要业务为顾问服务、全球商业地产解决方案、房地产投资以及公司服务。</w:t>
            </w:r>
          </w:p>
          <w:p w14:paraId="2ACB3E09">
            <w:pPr>
              <w:widowControl/>
              <w:adjustRightInd w:val="0"/>
              <w:snapToGrid w:val="0"/>
              <w:rPr>
                <w:rFonts w:hint="default" w:ascii="Times New Roman" w:hAnsi="Times New Roman" w:eastAsia="宋体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世邦魏理仕股权结构分散，无最终控制人。</w:t>
            </w:r>
          </w:p>
        </w:tc>
      </w:tr>
      <w:tr w14:paraId="74EE2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1940" w:type="dxa"/>
            <w:vMerge w:val="restart"/>
            <w:shd w:val="clear" w:color="auto" w:fill="auto"/>
            <w:vAlign w:val="center"/>
          </w:tcPr>
          <w:p w14:paraId="55E0E6FF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4D91A311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 xml:space="preserve"> 1、在同一相关市场，所有参与集中的经营者所占市场份额之和小于15%。</w:t>
            </w:r>
          </w:p>
        </w:tc>
      </w:tr>
      <w:tr w14:paraId="29427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7199D6B6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4994400E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 xml:space="preserve"> 2、存在上下游关系的参与集中的经营者，在上下游市场所占的市场份额均小于25%。</w:t>
            </w:r>
          </w:p>
        </w:tc>
      </w:tr>
      <w:tr w14:paraId="75D8D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6056D4C5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78352855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 xml:space="preserve">  3、不在同一相关市场、也不存在上下游关系的参与集中的经营者，在与交易有关的每个市场所占的份额均小于25%。</w:t>
            </w:r>
          </w:p>
        </w:tc>
      </w:tr>
      <w:tr w14:paraId="5F708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245DBB93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164A2A56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 xml:space="preserve"> 4、参与集中的经营者在中国境外设立合营企业，合营企业不在中国境内从事经济活动。</w:t>
            </w:r>
          </w:p>
        </w:tc>
      </w:tr>
      <w:tr w14:paraId="1EE76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53D5D16D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1BF9E106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sym w:font="Wingdings" w:char="00FE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 xml:space="preserve"> 5、参与集中的经营者收购境外企业股权或资产的，该境外企业不在中国境内从事经济活动。</w:t>
            </w:r>
          </w:p>
        </w:tc>
      </w:tr>
      <w:tr w14:paraId="365D5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940" w:type="dxa"/>
            <w:vMerge w:val="continue"/>
            <w:shd w:val="clear" w:color="auto" w:fill="auto"/>
            <w:vAlign w:val="center"/>
          </w:tcPr>
          <w:p w14:paraId="0A9D57FF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29893DDB">
            <w:pPr>
              <w:pStyle w:val="3"/>
              <w:widowControl/>
              <w:adjustRightInd w:val="0"/>
              <w:snapToGrid w:val="0"/>
              <w:spacing w:after="0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 xml:space="preserve"> 6、由两个以上的经营者共同控制的合营企业，通过集中被其中一个或一个以上经营者控制。</w:t>
            </w:r>
          </w:p>
        </w:tc>
      </w:tr>
      <w:tr w14:paraId="1AACB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940" w:type="dxa"/>
            <w:shd w:val="clear" w:color="auto" w:fill="auto"/>
            <w:vAlign w:val="center"/>
          </w:tcPr>
          <w:p w14:paraId="390EA83A">
            <w:pPr>
              <w:pStyle w:val="3"/>
              <w:widowControl/>
              <w:adjustRightInd w:val="0"/>
              <w:snapToGrid w:val="0"/>
              <w:spacing w:after="0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3761FB94">
            <w:pPr>
              <w:pStyle w:val="3"/>
              <w:adjustRightInd w:val="0"/>
              <w:snapToGrid w:val="0"/>
              <w:spacing w:after="0"/>
              <w:rPr>
                <w:rFonts w:hint="default" w:ascii="Times New Roman" w:hAnsi="Times New Roman" w:eastAsia="宋体" w:cs="Times New Roman"/>
                <w:b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不适用</w:t>
            </w:r>
          </w:p>
        </w:tc>
      </w:tr>
    </w:tbl>
    <w:p w14:paraId="39D91F6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3727C"/>
    <w:rsid w:val="02A37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</w:style>
  <w:style w:type="paragraph" w:styleId="3">
    <w:name w:val="Body Text"/>
    <w:basedOn w:val="1"/>
    <w:next w:val="4"/>
    <w:unhideWhenUsed/>
    <w:qFormat/>
    <w:uiPriority w:val="99"/>
    <w:pPr>
      <w:spacing w:after="120"/>
    </w:pPr>
  </w:style>
  <w:style w:type="paragraph" w:styleId="4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2025-04-16T06:46:00Z</dcterms:created>
  <dc:creator>胡翌婧</dc:creator>
  <cp:lastModifiedBy>胡翌婧</cp:lastModifiedBy>
  <dcterms:modified xsi:type="dcterms:W3CDTF">2025-04-16T06:51:05Z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C1CA44F744DC46E28C9BE3E56B26C54F_11</vt:lpwstr>
  </property>
  <property fmtid="{D5CDD505-2E9C-101B-9397-08002B2CF9AE}" pid="4" name="KSOTemplateDocerSaveRecord">
    <vt:lpwstr>eyJoZGlkIjoiODNjM2VkZWUwYjdkZDYzZGY2NmZiZGNiZGIyMjFjYWIiLCJ1c2VySWQiOiIyNDQ2MzYxMzgifQ==</vt:lpwstr>
  </property>
</Properties>
</file>