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numPr>
          <w:ilvl w:val="0"/>
          <w:numId w:val="1"/>
        </w:numPr>
        <w:kinsoku/>
        <w:wordWrap/>
        <w:overflowPunct/>
        <w:topLinePunct w:val="0"/>
        <w:autoSpaceDE/>
        <w:autoSpaceDN/>
        <w:bidi w:val="0"/>
        <w:adjustRightInd/>
        <w:snapToGrid/>
        <w:spacing w:line="594" w:lineRule="exact"/>
        <w:ind w:firstLine="654"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国家标准</w:t>
      </w:r>
    </w:p>
    <w:tbl>
      <w:tblPr>
        <w:tblStyle w:val="10"/>
        <w:tblW w:w="15911" w:type="dxa"/>
        <w:tblInd w:w="-874" w:type="dxa"/>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Layout w:type="fixed"/>
        <w:tblCellMar>
          <w:top w:w="0" w:type="dxa"/>
          <w:left w:w="108" w:type="dxa"/>
          <w:bottom w:w="0" w:type="dxa"/>
          <w:right w:w="108" w:type="dxa"/>
        </w:tblCellMar>
      </w:tblPr>
      <w:tblGrid>
        <w:gridCol w:w="735"/>
        <w:gridCol w:w="2303"/>
        <w:gridCol w:w="9220"/>
        <w:gridCol w:w="2249"/>
        <w:gridCol w:w="1404"/>
      </w:tblGrid>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375" w:hRule="atLeast"/>
          <w:tblHeader/>
        </w:trPr>
        <w:tc>
          <w:tcPr>
            <w:tcW w:w="735" w:type="dxa"/>
            <w:tcBorders>
              <w:bottom w:val="single" w:color="000000" w:sz="4" w:space="0"/>
            </w:tcBorders>
            <w:shd w:val="clear" w:color="auto" w:fill="auto"/>
            <w:noWrap/>
            <w:vAlign w:val="center"/>
          </w:tcPr>
          <w:p>
            <w:pPr>
              <w:keepNext w:val="0"/>
              <w:keepLines w:val="0"/>
              <w:widowControl/>
              <w:suppressLineNumbers w:val="0"/>
              <w:jc w:val="both"/>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序列</w:t>
            </w:r>
          </w:p>
        </w:tc>
        <w:tc>
          <w:tcPr>
            <w:tcW w:w="2303"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国家标准编号</w:t>
            </w:r>
          </w:p>
        </w:tc>
        <w:tc>
          <w:tcPr>
            <w:tcW w:w="9220"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  家  标  准  名  称</w:t>
            </w:r>
          </w:p>
        </w:tc>
        <w:tc>
          <w:tcPr>
            <w:tcW w:w="2249"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代替标准号</w:t>
            </w:r>
          </w:p>
        </w:tc>
        <w:tc>
          <w:tcPr>
            <w:tcW w:w="1404"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实施日期</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op w:val="single" w:color="000000" w:sz="4" w:space="0"/>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2303" w:type="dxa"/>
            <w:tcBorders>
              <w:top w:val="single" w:color="000000" w:sz="4" w:space="0"/>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320—2025</w:t>
            </w:r>
          </w:p>
        </w:tc>
        <w:tc>
          <w:tcPr>
            <w:tcW w:w="9220" w:type="dxa"/>
            <w:tcBorders>
              <w:top w:val="single" w:color="000000" w:sz="4" w:space="0"/>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工业用合成盐酸</w:t>
            </w:r>
          </w:p>
        </w:tc>
        <w:tc>
          <w:tcPr>
            <w:tcW w:w="2249" w:type="dxa"/>
            <w:tcBorders>
              <w:top w:val="single" w:color="000000" w:sz="4" w:space="0"/>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320—2006</w:t>
            </w:r>
          </w:p>
        </w:tc>
        <w:tc>
          <w:tcPr>
            <w:tcW w:w="1404" w:type="dxa"/>
            <w:tcBorders>
              <w:top w:val="single" w:color="000000" w:sz="4" w:space="0"/>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2909—2025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棉本色帆布</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2909—2014</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2910.7—2025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定量化学分析 第7部分：聚酰胺纤维与某些其他纤维的混合物（甲酸法）</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2910.7—2009</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3405—2025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石油苯</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3405—2011</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9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3543.1—2025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第1部分：总则</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3543.1—1995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第2部分：扦样</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3543.2—1995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第3部分：播种质量  净度分析</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3543.3—1995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第4部分： 播种质量  发芽试验</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3543.4—1995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3543.5—2025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第5部分：品种质量 品种纯度鉴定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3543.5—1995[代完]</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3543.6—2025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第6部分：播种质量 水分测定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3543.6—1995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3543.8—2025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第8部分： 播种质量 千粒重测定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3543.7—1995[部]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3543.9—2025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第9部分：播种质量 生活力测定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3543.7—1995[部]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3543.10—2025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第10部分： 播种质量  活力测定</w:t>
            </w:r>
          </w:p>
        </w:tc>
        <w:tc>
          <w:tcPr>
            <w:tcW w:w="2249" w:type="dxa"/>
            <w:tcBorders>
              <w:tl2br w:val="nil"/>
              <w:tr2bl w:val="nil"/>
            </w:tcBorders>
            <w:shd w:val="clear" w:color="auto" w:fill="auto"/>
            <w:noWrap/>
            <w:vAlign w:val="bottom"/>
          </w:tcPr>
          <w:p>
            <w:pP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3543.11—2025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第11部分：品种质量 品种真实性鉴定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3543.5—1995[部]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3543.12—2025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农作物种子检验规程 第12部分：品种质量 转基因种子测定</w:t>
            </w:r>
          </w:p>
        </w:tc>
        <w:tc>
          <w:tcPr>
            <w:tcW w:w="2249" w:type="dxa"/>
            <w:tcBorders>
              <w:tl2br w:val="nil"/>
              <w:tr2bl w:val="nil"/>
            </w:tcBorders>
            <w:shd w:val="clear" w:color="auto" w:fill="auto"/>
            <w:noWrap/>
            <w:vAlign w:val="bottom"/>
          </w:tcPr>
          <w:p>
            <w:pP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3917.3—2025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织物撕破性能 第3部分：梯形试样撕破强力的测定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3917.3—2009</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5326—2025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棉与涤纶混纺印染布</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5326—2009</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5453—2025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织物透气性的测定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5453—1997</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9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5709—2025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非织造布 术语</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5709—1997</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7143—2025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铸造用硅砂化学分析方法</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7143—2010</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7247.3—2025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激光产品的安全 第3部分：激光显示与表演指南</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7247.3—2016</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7247.4—2025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激光产品的安全 第4部分：激光防护屏</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7247.4—2016</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7573—2025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水萃取液pH值的测定</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7573—2009</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10810.1—2025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眼镜镜片 第1部分：单焦和多焦</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10810.1—2005</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10810.2—2025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眼镜镜片 第2部分：渐变焦</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10810.2—2006</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10810.3—2025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眼镜镜片 第3部分：透射比试验方法</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10810.3—2006</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10810.4—2025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眼镜镜片 第4部分：减反射膜试验方法</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10810.4—2012</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28</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10810.5—2025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眼镜镜片 第5部分：表面耐磨试验方法</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10810.5—2012</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29</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11828.4—2025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水位测量仪器 第4部分：超声波水位计</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11828.4—2011</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30</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11918.6—2025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工业用插头插座和耦合器 第6部分：船舶岸电系统用直流插头、插座和连接器</w:t>
            </w:r>
          </w:p>
        </w:tc>
        <w:tc>
          <w:tcPr>
            <w:tcW w:w="2249" w:type="dxa"/>
            <w:tcBorders>
              <w:tl2br w:val="nil"/>
              <w:tr2bl w:val="nil"/>
            </w:tcBorders>
            <w:shd w:val="clear" w:color="auto" w:fill="auto"/>
            <w:noWrap/>
            <w:vAlign w:val="bottom"/>
          </w:tcPr>
          <w:p>
            <w:pP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31</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12417.2—2025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无源外科植入物 骨接合与关节置换植入器械 第2部分：关节置换植入器械特殊要求</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12417.2—2008</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32</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12643—2025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机器人 词汇</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12643—2013</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33</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13511.1—2025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配装眼镜 第1部分：单焦和多焦定配眼镜</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13511.1—2011</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34</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13511.2—2025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配装眼镜 第2部分：渐变焦定配眼镜</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13511.2—2011</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35</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13511.4—2025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配装眼镜 第4部分：多焦和渐变焦老视成镜</w:t>
            </w:r>
          </w:p>
        </w:tc>
        <w:tc>
          <w:tcPr>
            <w:tcW w:w="2249" w:type="dxa"/>
            <w:tcBorders>
              <w:tl2br w:val="nil"/>
              <w:tr2bl w:val="nil"/>
            </w:tcBorders>
            <w:shd w:val="clear" w:color="auto" w:fill="auto"/>
            <w:noWrap/>
            <w:vAlign w:val="bottom"/>
          </w:tcPr>
          <w:p>
            <w:pPr>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36</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1406.3—2025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灯头的型式和尺寸 第3部分：预聚焦式灯头</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1406.3—2021</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37</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14478—2025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大中型水轮机进水阀门基本技术规范</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14478—2012</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38</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15180—2025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重交通道路石油沥青</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15180—2010</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39</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15370.2—2025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农业拖拉机 通用技术条件 第2部分：50 kW～130 kW轮式拖拉机</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15370.2—2009</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40</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15370.3—2025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农业拖拉机 通用技术条件 第3部分：130 kW以上轮式拖拉机</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15370.3—2012</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41</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16702.1—2025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第1部分：总则</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42</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第2部分：1级设备</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43</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16702.3—2025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第3部分：2级设备</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44</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16702.4—2025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第4部分：3级设备</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45</w:t>
            </w:r>
          </w:p>
        </w:tc>
        <w:tc>
          <w:tcPr>
            <w:tcW w:w="2303"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16702.5—2025</w:t>
            </w:r>
          </w:p>
        </w:tc>
        <w:tc>
          <w:tcPr>
            <w:tcW w:w="9220"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第5部分：小型设备</w:t>
            </w:r>
          </w:p>
        </w:tc>
        <w:tc>
          <w:tcPr>
            <w:tcW w:w="2249"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bottom"/>
          </w:tcPr>
          <w:p>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第6部分：堆内构件</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第7部分：设备支承</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9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压水堆核电厂核岛机械设备设计规范 第8部分：低压或常压储罐</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16702—2019[部]</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17263—2025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普通照明用自镇流荧光灯 性能规范</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17263—2013</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9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17554.1—2025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卡及身份识别安全设备 测试方法 第1部分：一般特性 </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17554.1—2006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17591—2025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阻燃织物</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17591—2006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18414—2025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含氯苯酚邻苯基苯酚的测定</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18414.1—2006</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18414.2—2006</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20386—2006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18462—2025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激光加工机械 金属切割的性能规范</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18462—2001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18655—2025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车辆、船和内燃机 无线电骚扰特性 用于保护车载接收机的限值和测量方法</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18655—2018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651"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变压器、电抗器、电源装置及其组合的安全 第2部分：一般用途分离变压器和内装分离变压器的电源装置的特殊要求和试验</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19212.2—2012</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变压器、电抗器、电源装置及其组合的安全 第5部分：一般用途隔离变压器和内装隔离变压器的电源装置的特殊要求和试验</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19212.5—2011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19212.14—2025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变压器、电抗器、电源装置及其组合的安全 第14部分：一般用途自耦变压器和内装自耦变压器的电源装置的特殊要求和试验</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19212.14—2012</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19267.13—2025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微量物证的理化检验 第13部分：波长色散X射线荧光光谱法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19480—2025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肉与肉制品术语</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19480—2009</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19598—2025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地理标志产品质量要求 安溪铁观音</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19598—2006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19713—2025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公钥基础设施 在线证书状态协议</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19713—2005</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19980—2025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纺织产品经家庭洗涤和干燥后外观的评价方法</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19980—2005</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20243.2—2025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声学 道路表面对交通噪声影响的测量 第2部分：近距法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20244—2025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光学纤维传像元件</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20244—2006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20424—2025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重有色金属精矿产品中有害元素的限量规范</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20424—2006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20718.2—2025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道路车辆 牵引车和挂车之间的电连接器（13 芯）第 2 部分：12V13 芯涉水型</w:t>
            </w:r>
          </w:p>
        </w:tc>
        <w:tc>
          <w:tcPr>
            <w:tcW w:w="2249" w:type="dxa"/>
            <w:tcBorders>
              <w:tl2br w:val="nil"/>
              <w:tr2bl w:val="nil"/>
            </w:tcBorders>
            <w:shd w:val="clear" w:color="auto" w:fill="auto"/>
            <w:noWrap/>
            <w:vAlign w:val="center"/>
          </w:tcPr>
          <w:p>
            <w:pPr>
              <w:jc w:val="both"/>
              <w:rPr>
                <w:rFonts w:hint="eastAsia" w:ascii="宋体" w:hAnsi="宋体" w:eastAsia="宋体" w:cs="宋体"/>
                <w:i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20840.11—2025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互感器 第11部分：低功率无源电压互感器的补充技术要求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20840.99—2025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互感器 第99部分：术语</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20931.12—2025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锂化学分析方法  第12部分：杂质元素含量的测定  电感耦合等离子体原子发射光谱法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20965—2025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控制网络HBES技术规范 住宅和楼宇控制系统</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20965—2013</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21196.2—2025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马丁代尔法织物耐磨性的测定 第2部分：试样破损的测定</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21196.2—2007</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21666—2025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失禁用尿便吸收辅助器具  评价的一般指南</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21666—2008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22211—2025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地理标志产品质量要求 五粮液酒</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22211—2008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22284—2025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大白猪种猪</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22284—2008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22474—2025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果蔬、花卉酱质量通则</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22474—2008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23327—2025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机织粘合衬</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23327—2009</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23527.4—2025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酶制剂质量要求 第4部分：固定化葡萄糖异构酶制剂</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23533—2009</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24345—2025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筒子染色纱线</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24116—2009</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24345—2009</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24477—2025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适用于残障人员的电梯附加要求</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24477—2009</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24894—2025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动植物油脂 甘三酯分子2-位脂肪酸组分的测定</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24894—2010</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25273—2025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液晶显示器（LCD）用薄膜 雾度和透光率测定方法 积分球法</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25273—2010</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26713—2025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鞋类  化学试验方法  富马酸二甲酯（DMFu）的测定</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26713—2011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26841—2025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电子商务交易中的企业信用档案数据项</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26841—2011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26849—2025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太阳能光伏照明用电子控制装置  性能规范</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26849—2011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27030—2025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合格评定 第三方符合性标志的通用要求</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27023—2008</w:t>
            </w:r>
          </w:p>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27027—2008</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27030—2006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27060—2025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合格评定 良好实践指南</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27060—2006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27432—2025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实验室远程评审技术规范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27995.1—2025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半成品镜片毛坯 第1部分：单焦和多焦</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27995.1—2011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27995.2—2025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半成品镜片毛坯 第2部分：渐变焦</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27995.2—2011</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28029.13—2025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轨道交通电子设备 列车通信网络（TCN) 第4-1部分：基于绞线式列车总线（WTB）的列车通信网络试验方法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28572—2025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大中型水轮机进水阀门规格及技术参数</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28572—2012</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29631—2025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额定电压1.8/3 kV及以下风力发电用耐扭曲软电缆</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29631—2013</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30785—2025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饮食加工设备 术语</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30785—2014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31033—2025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石油天然气钻井井控技术要求</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31033—2014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31036—2025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质子交换膜燃料电池备用电源系统 安全</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31036—2014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31086—2025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物流企业冷链服务能力要求与评估指标</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31086—2014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31128—2025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毛巾产品毛圈钩拉力测试与评价</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31128—2014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31318—2025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蜜饯 山楂制品质量通则</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31318—2014</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31902—2025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服装衬布外观疵点检验方法</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31902—2015</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31907—2025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服装测量方法</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31907—2015</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32612—2025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纺织品 乙二醇醚类及相关酯类化合物的测定 </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32612—2016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32895—2025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电动汽车快换电池箱通信协议</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32895—2016</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34015.5—2025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车用动力电池回收利用 梯次利用 第5部分：可梯次利用设计指南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34680.6—2025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智慧城市评价模型及基础评价指标体系 第6部分：公共服务</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35267.4—2025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清洗消毒器 第4部分：内镜清洗消毒器</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35267—2017</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35560—2025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老年旅游服务规范 景区</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35560—2017</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37027—2025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网络安全技术 网络攻击和网络攻击事件判定准则</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37027—2018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37133—2025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电动汽车用高压连接系统</w:t>
            </w:r>
          </w:p>
        </w:tc>
        <w:tc>
          <w:tcPr>
            <w:tcW w:w="2249"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37133—2018</w:t>
            </w: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109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37752.6—2025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工业炉及相关工艺设备 安全 第6部分：连续涂层焚烧炉及固化炉</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43018.2—2025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纺织装备互联互通与互操作 第2部分：纺纱</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43018.3—2025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纺织装备互联互通与互操作 第3部分：化纤</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43018.4—2025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纺织装备互联互通与互操作 第4部分：针织</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43018.5—2025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纺织装备互联互通与互操作 第5部分：非织造</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44115.3—2025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虚拟现实内容表达 第3部分: 音频</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44991—2025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机车车辆制成后投入使用前的试验方法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45068.2—2025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数字化试衣 系统性能评估 第2部分：虚拟服装表示</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45244—2025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大蒜等级规格</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45245—2025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人造板及其制品中总有机碳的测定方法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119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45249.1—2025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证券期货业与银行间业务数据交换协议 第1部分：三方存管、银期转账和结售汇业务</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电信和互联网服务 标准化工作指南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互联网金融 个人网络消费信贷 贷后催收风控指引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证券交易数据交换协议</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互联网心理服务 心理测评服务通用规范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期货市场客户开户数据接口</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公共信用综合评价规范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新闻出版 知识服务 知识本体构建流程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新闻出版 知识服务 知识元提取与标引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电信和互联网服务 评估指南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129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45259—2025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差旅风险管理 组织指南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共享经济 数字平台资源供给者审核指南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登机轮椅车</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下肢假肢增材制造通用技术要求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消费品质量分级导则 羽绒制品</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婴童用品 游泳运动配套用品通用技术要求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45269—2025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鞋类 整鞋试验方法  耐屈挠性能</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化学纤维 超短纤维拉伸性能试验方法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化学纤维 儿茶素含量的测定 高效液相色谱法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家居产品适老化设计指南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139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婴童用品 如厕器具及其附件通用技术要求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婴童用品 感统训练产品通用技术要求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玩具及儿童用品材料中N,N-二甲基甲酰胺的测定 气相色谱-质谱法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婴童用品 标识设计及应用指南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玩具中9种初级芳香胺含量的测定 气相色谱-质谱联用法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45278.1—2025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时间明晰网络 第1部分：协议</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45279.1—2025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IPv4/IPv6网络安全防护技术规范 第1部分：IP承载网</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45279.2—2025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IPv4/IPv6网络安全防护技术规范 第2部分：移动通信网</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45279.3—2025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IPv4/IPv6网络安全防护技术规范 第3部分：互联网数据中心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45279.4—2025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IPv4/IPv6网络安全防护技术规范 第4部分：内容分发网络</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149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人工智能 异构人工智能加速器统一接口</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盲用多媒体信息处理技术要求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IPv6地址分配和编码规则 总体要求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45283.1—2025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工业控制系统人机接口组态文件交互 第1部分：通用信息</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工业控制系统人机接口组态文件交互 第2部分：基础交互描述</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45283.3—2025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工业控制系统人机接口组态文件交互 第3部分：扩展交互描述</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45283.4—2025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工业控制系统人机接口组态文件交互 第4部分：测试要求 </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人-系统交互工效学 输入系统设计评估导则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45288.1—2025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人工智能 大模型 第1部分：通用要求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45288.2—2025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人工智能 大模型 第2部分：评测指标与方法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159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桑蚕种母蛾检验规程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桑蚕茧蚕丝品质评定技术规程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桑蚕茧干燥技术规程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机采棉加工生产数字化技术规范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土壤制图 1:25000~1:500000土壤质地、酸碱度、盐渍化图的图式、用色及图例规范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45299—2025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干莳萝</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姜黄</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服务机器人云平台分类及参考体系结构</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黑色葛缕子和金色葛缕子</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脱水龙蒿</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169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干欧芹</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45305.4—2025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声学 建筑构件隔声的实验室测量 第4部分：测量程序和要求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机车车辆车载储能供电 串联混合动力系统</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光电测量  智能操控类激光雷达主要参数测试方法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轨道交通 机车车辆 网络时间同步技术要求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45309—2025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企业采购物资分类编码指南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塔式太阳能光热发电站主控制系统技术条件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潮流能转换装置 海上试验技术要求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智能网联汽车 自动驾驶系统设计运行条件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太阳能光热发电站熔融盐储热系统技术要求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179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道路车辆 免提通话和语音交互性能要求及试验方法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基于LTE-V2X直连通信的车载信息交互系统技术要求及试验方法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胡椒碱含量的测定 分光光度法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道地药材生产技术规程  北苍术</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聚对苯二甲酸乙二醇酯（PET）啤酒瓶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45319—2025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杜仲籽油</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机动车用灯丝光源光电参数测量方法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45322.1—2025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颗粒 粒度切割器切割性能测试 第1部分：通则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45322.2—2025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颗粒 粒度切割器切割性能测试 第2部分：分流法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城镇供热系统标识编码规则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189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锂离子电池正极材料粉末电阻率的测定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贵金属键合丝热影响区长度测定 扫描电镜法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超粗晶粒硬质合金工程齿</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富锂铁酸锂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碳酸锂、单水氢氧化锂、氯化锂中磁性异物金属颗粒的测定  洁净度仪测试法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45329—2025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点火电极用贵金属及其合金加工材</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锂离子电池正极材料 水分含量的测定 卡尔费休库伦法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质子交换膜增强用聚四氟乙烯膜</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电解水制氢用质子交换膜</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类金刚石薄膜 球盘法测试类金刚石薄膜的摩擦磨损性能</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199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空调智能适老化技术规范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凹凸棒石相含量的测定 X射线衍射-标准曲线法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塑料 熔融状态下热塑性塑料拉伸性能的测定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轮胎智能制造  制造执行系统（MES）部署  通用规范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热等静压致密化处理通则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45339—2025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热等静压钛合金件通用技术规范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金属及其他无机覆盖层 镀层厚度的测量 斐索多光束干涉法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数字化转型管理 参考架构</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搪瓷制品和瓷釉 未处理饮用水供应系统用内外表面搪瓷的阀门和压力管配件  要求和试验方法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老年人沐浴鞋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建筑用装配式预制燃气管道通用技术条件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金属及其他无机覆盖层 工程用直流磁控溅射银镀层 镀层附着力的测量</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图数据库管理系统技术要求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网络空间资源分类和标识符编制规则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实时定位 声源定位成像系统技术规范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45349—2025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支持大规模定制生产的网络协同制造服务平台参考架构</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实验动物 近交系小鼠、大鼠SNP标记检测法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基于细胞的医疗器械生产 加工过程中微生物风险控制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鸡精调味料质量通则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2026-03-01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消费品质量分级导则 家用电器</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219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45354.1—2025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智能家用电器的语音交互技术 第1部分：通用要求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无压埋地排污、排水用聚乙烯（PE）管道系统</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无压埋地排污、排水用聚丙烯（PP）管道系统</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船用塑料管道系统 聚乙烯（PE）管材及管件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易腐食品冷藏链温度检测方法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45359.2—2025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海工平台定位系泊纤维绳索 第2部分：聚酯纤维</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棉及化纤纯纺、混纺印染布检验、标志与包装</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2027-03-01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 轻工机械 挤出平模头技术条件</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织物蓄热系数的测定 改型平面瞬态热源法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笔类产品 术语</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229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日用真空吸盘类产品通用技术要求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保湿效果的测定 蒸发热板测微气候法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土工合成材料 负荷作用下垂直渗透性能的测定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樟脑衍生物的测定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皮革 蓝湿革包装规范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45369—2025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吸收性卫生用纸制品及原材料 消臭效果评价方法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45370—2025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纺织品 纱线导电性能的测定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45371—2025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海洋经济常用术语</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45372—2025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煤基液相酚类化合物的测定 全二维气相色谱-质谱/氢火焰离子化检测器联用</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45373—2025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石油和液体石油产品  罐内密度直接测量  谐振筒密度计法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239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45401.1—2025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人工智能 计算设备调度与协同 第1部分：虚拟化与调度</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45415—2025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纯电动汽车火灾缺陷分析方法</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45416—2025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碰撞事故车辆调查与安全缺陷分析指南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45417—2025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汽车再生制动功能缺陷分析指南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45418—2025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配电网通用技术导则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45419—2025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中国少年先锋队队徽</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危险化学品安全生产风险分级管控技术规范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城市公共设施 非物流用智能储物柜 服务规范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化学品 地表水系统-沉积物中泥鳅毒性试验</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气象数据元 总则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249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卫星遥感监测技术导则 蓝藻水华</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雾的预警等级</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45426—2025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安全与韧性 应急管理 社交媒体应对突发事件的应用指南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光热电站太阳能资源评估规范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多光谱检验</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45429—2025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检验通则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45430—2025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深度伪造检验</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45431—2025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检验系统评测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来源检验</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45433—2025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法庭科学 伪造人像 可解释性检验特征集</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259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45439—2025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燃气气瓶和燃气瓶阀溯源二维码应用技术规范</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45440—2025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电子商务家政 家政服务人员能力信息描述</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45441—2025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温室气体 产品碳足迹量化方法与要求 塑料制品</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45442—2025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冷链物流统计指标体系</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2025-06-01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45444—2025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社区电商平台提货点管理指南  </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264</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45445—2025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电子商务平台适老化通用要求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265</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15166.8—2025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高压交流熔断器 第8部分：应用导则</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266</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27021.13—2025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合格评定 管理体系审核认证机构要求 第13部分：合规管理体系审核与认证能力要求</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267</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27032—2025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合格评定 过程认证方案指南与示例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268</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37551.4—2025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海洋能 波浪能、潮流能及其他水流能转换装置 第4部分：新技术鉴定</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269</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42749.7—2025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信息技术 IT赋能服务业务过程外包（ITES-BPO）生存周期过程 第7部分：成熟度评估范例</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270</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45260—2025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标准化教育课程建设指南 绿色制造标准化</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271</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45261—2025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标准化教育课程建设指南 合格评定基础知识</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272</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45262—2025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标准化教育课程建设指南 编码技术标准化与应用</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73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273</w:t>
            </w:r>
          </w:p>
        </w:tc>
        <w:tc>
          <w:tcPr>
            <w:tcW w:w="2303"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GB/Z 45268—2025</w:t>
            </w:r>
          </w:p>
        </w:tc>
        <w:tc>
          <w:tcPr>
            <w:tcW w:w="922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LED光源和LED灯具主要组件可靠性试验指南</w:t>
            </w:r>
          </w:p>
        </w:tc>
        <w:tc>
          <w:tcPr>
            <w:tcW w:w="2249" w:type="dxa"/>
            <w:tcBorders>
              <w:tl2br w:val="nil"/>
              <w:tr2bl w:val="nil"/>
            </w:tcBorders>
            <w:shd w:val="clear" w:color="auto" w:fill="auto"/>
            <w:noWrap/>
            <w:vAlign w:val="center"/>
          </w:tcPr>
          <w:p>
            <w:pPr>
              <w:jc w:val="both"/>
              <w:rPr>
                <w:rFonts w:hint="eastAsia" w:asciiTheme="minorEastAsia" w:hAnsiTheme="minorEastAsia" w:eastAsiaTheme="minorEastAsia" w:cstheme="minorEastAsia"/>
                <w:i w:val="0"/>
                <w:iCs w:val="0"/>
                <w:color w:val="000000"/>
                <w:kern w:val="0"/>
                <w:sz w:val="20"/>
                <w:szCs w:val="20"/>
                <w:u w:val="none"/>
                <w:lang w:val="en-US" w:eastAsia="zh-CN" w:bidi="ar"/>
              </w:rPr>
            </w:pPr>
          </w:p>
        </w:tc>
        <w:tc>
          <w:tcPr>
            <w:tcW w:w="140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2025-09-01</w:t>
            </w:r>
          </w:p>
        </w:tc>
      </w:tr>
    </w:tbl>
    <w:p>
      <w:pPr>
        <w:pageBreakBefore w:val="0"/>
        <w:widowControl w:val="0"/>
        <w:numPr>
          <w:ilvl w:val="0"/>
          <w:numId w:val="0"/>
        </w:numPr>
        <w:kinsoku/>
        <w:wordWrap/>
        <w:overflowPunct/>
        <w:topLinePunct w:val="0"/>
        <w:autoSpaceDE/>
        <w:autoSpaceDN/>
        <w:bidi w:val="0"/>
        <w:adjustRightInd/>
        <w:snapToGrid/>
        <w:spacing w:line="594" w:lineRule="exact"/>
        <w:textAlignment w:val="auto"/>
        <w:rPr>
          <w:rFonts w:hint="eastAsia"/>
          <w:lang w:eastAsia="zh-CN"/>
        </w:rPr>
      </w:pPr>
    </w:p>
    <w:p>
      <w:pPr>
        <w:pageBreakBefore w:val="0"/>
        <w:widowControl w:val="0"/>
        <w:numPr>
          <w:ilvl w:val="0"/>
          <w:numId w:val="1"/>
        </w:numPr>
        <w:kinsoku/>
        <w:wordWrap/>
        <w:overflowPunct/>
        <w:topLinePunct w:val="0"/>
        <w:autoSpaceDE/>
        <w:autoSpaceDN/>
        <w:bidi w:val="0"/>
        <w:adjustRightInd/>
        <w:snapToGrid/>
        <w:spacing w:line="594" w:lineRule="exact"/>
        <w:ind w:left="0" w:leftChars="0" w:firstLine="654"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国家标准修改单</w:t>
      </w:r>
    </w:p>
    <w:tbl>
      <w:tblPr>
        <w:tblStyle w:val="10"/>
        <w:tblW w:w="15921" w:type="dxa"/>
        <w:tblInd w:w="-897" w:type="dxa"/>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Layout w:type="fixed"/>
        <w:tblCellMar>
          <w:top w:w="0" w:type="dxa"/>
          <w:left w:w="108" w:type="dxa"/>
          <w:bottom w:w="0" w:type="dxa"/>
          <w:right w:w="108" w:type="dxa"/>
        </w:tblCellMar>
      </w:tblPr>
      <w:tblGrid>
        <w:gridCol w:w="615"/>
        <w:gridCol w:w="2434"/>
        <w:gridCol w:w="9245"/>
        <w:gridCol w:w="2237"/>
        <w:gridCol w:w="1390"/>
      </w:tblGrid>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375" w:hRule="atLeast"/>
          <w:tblHeader/>
        </w:trPr>
        <w:tc>
          <w:tcPr>
            <w:tcW w:w="615" w:type="dxa"/>
            <w:tcBorders>
              <w:bottom w:val="single" w:color="000000" w:sz="4" w:space="0"/>
            </w:tcBorders>
            <w:shd w:val="clear" w:color="auto" w:fill="auto"/>
            <w:noWrap/>
            <w:vAlign w:val="center"/>
          </w:tcPr>
          <w:p>
            <w:pPr>
              <w:keepNext w:val="0"/>
              <w:keepLines w:val="0"/>
              <w:widowControl/>
              <w:suppressLineNumbers w:val="0"/>
              <w:jc w:val="both"/>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序列</w:t>
            </w:r>
          </w:p>
        </w:tc>
        <w:tc>
          <w:tcPr>
            <w:tcW w:w="2434"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国家标准编号</w:t>
            </w:r>
          </w:p>
        </w:tc>
        <w:tc>
          <w:tcPr>
            <w:tcW w:w="9245"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国  家  标  准  名  称</w:t>
            </w:r>
          </w:p>
        </w:tc>
        <w:tc>
          <w:tcPr>
            <w:tcW w:w="2237"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代替标准号</w:t>
            </w:r>
          </w:p>
        </w:tc>
        <w:tc>
          <w:tcPr>
            <w:tcW w:w="1390" w:type="dxa"/>
            <w:tcBorders>
              <w:bottom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b/>
                <w:bCs/>
                <w:i w:val="0"/>
                <w:iCs w:val="0"/>
                <w:color w:val="000000"/>
                <w:sz w:val="20"/>
                <w:szCs w:val="20"/>
                <w:u w:val="none"/>
              </w:rPr>
            </w:pPr>
            <w:r>
              <w:rPr>
                <w:rFonts w:hint="eastAsia" w:ascii="黑体" w:hAnsi="黑体" w:eastAsia="黑体" w:cs="黑体"/>
                <w:b/>
                <w:bCs/>
                <w:i w:val="0"/>
                <w:iCs w:val="0"/>
                <w:color w:val="000000"/>
                <w:kern w:val="0"/>
                <w:sz w:val="20"/>
                <w:szCs w:val="20"/>
                <w:u w:val="none"/>
                <w:lang w:val="en-US" w:eastAsia="zh-CN" w:bidi="ar"/>
              </w:rPr>
              <w:t>实施日期</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op w:val="single" w:color="000000" w:sz="4" w:space="0"/>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1</w:t>
            </w:r>
          </w:p>
        </w:tc>
        <w:tc>
          <w:tcPr>
            <w:tcW w:w="2434"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1312—2022</w:t>
            </w:r>
          </w:p>
        </w:tc>
        <w:tc>
          <w:tcPr>
            <w:tcW w:w="9245"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管形荧光灯灯座和启动器座 《第1号修改单》</w:t>
            </w:r>
          </w:p>
        </w:tc>
        <w:tc>
          <w:tcPr>
            <w:tcW w:w="2237"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1312—2007</w:t>
            </w:r>
          </w:p>
        </w:tc>
        <w:tc>
          <w:tcPr>
            <w:tcW w:w="1390" w:type="dxa"/>
            <w:tcBorders>
              <w:top w:val="single" w:color="000000" w:sz="4" w:space="0"/>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5100—2020</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钢质焊接气瓶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5100—2011</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3</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15382—2021</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气瓶阀通用技术要求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10879—2009</w:t>
            </w:r>
          </w:p>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15382—2009</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default"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4</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17935—2023</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螺口灯座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17935—2007</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5</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17936—2022</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卡口灯座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17936—2007</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6</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19510.1—2023</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光源控制装置 第 1 部分:一般要求和安全要求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19510.1—2009</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7</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19510.213—2023</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光源控制装置 第2-13部分：LED模块用直流或交流电子控制装置的特殊要求 《第1号修改单》</w:t>
            </w:r>
          </w:p>
        </w:tc>
        <w:tc>
          <w:tcPr>
            <w:tcW w:w="2237"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 19510.14—2009</w:t>
            </w: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8</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31484—2015</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电动汽车用动力蓄电池循环寿命要求及试验方法 《第1号修改单》</w:t>
            </w:r>
          </w:p>
        </w:tc>
        <w:tc>
          <w:tcPr>
            <w:tcW w:w="2237" w:type="dxa"/>
            <w:tcBorders>
              <w:tl2br w:val="nil"/>
              <w:tr2bl w:val="nil"/>
            </w:tcBorders>
            <w:shd w:val="clear" w:color="auto" w:fill="auto"/>
            <w:noWrap/>
            <w:vAlign w:val="center"/>
          </w:tcPr>
          <w:p>
            <w:pPr>
              <w:jc w:val="both"/>
              <w:rPr>
                <w:rFonts w:hint="eastAsia" w:ascii="宋体" w:hAnsi="宋体" w:eastAsia="宋体" w:cs="宋体"/>
                <w:i w:val="0"/>
                <w:color w:val="000000"/>
                <w:kern w:val="0"/>
                <w:sz w:val="20"/>
                <w:szCs w:val="20"/>
                <w:u w:val="none"/>
                <w:lang w:val="en-US" w:eastAsia="zh-CN" w:bidi="ar"/>
              </w:rPr>
            </w:pP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2025-04-01</w:t>
            </w:r>
          </w:p>
        </w:tc>
      </w:tr>
      <w:tr>
        <w:tblPrEx>
          <w:tblBorders>
            <w:top w:val="single" w:color="000000" w:sz="4" w:space="0"/>
            <w:left w:val="single" w:color="000000" w:sz="4" w:space="0"/>
            <w:bottom w:val="single" w:color="000000" w:sz="4" w:space="0"/>
            <w:right w:val="single" w:color="000000" w:sz="4" w:space="0"/>
            <w:insideH w:val="none" w:color="auto" w:sz="0" w:space="0"/>
            <w:insideV w:val="single" w:color="000000" w:sz="4" w:space="0"/>
          </w:tblBorders>
          <w:shd w:val="clear" w:color="auto" w:fill="auto"/>
          <w:tblCellMar>
            <w:top w:w="0" w:type="dxa"/>
            <w:left w:w="108" w:type="dxa"/>
            <w:bottom w:w="0" w:type="dxa"/>
            <w:right w:w="108" w:type="dxa"/>
          </w:tblCellMar>
        </w:tblPrEx>
        <w:trPr>
          <w:trHeight w:val="270" w:hRule="atLeast"/>
        </w:trPr>
        <w:tc>
          <w:tcPr>
            <w:tcW w:w="61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9</w:t>
            </w:r>
          </w:p>
        </w:tc>
        <w:tc>
          <w:tcPr>
            <w:tcW w:w="2434"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GB/T 40621—2021</w:t>
            </w:r>
          </w:p>
        </w:tc>
        <w:tc>
          <w:tcPr>
            <w:tcW w:w="9245"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地闪密度分布图绘制方法 《第1号修改单》</w:t>
            </w:r>
          </w:p>
        </w:tc>
        <w:tc>
          <w:tcPr>
            <w:tcW w:w="2237" w:type="dxa"/>
            <w:tcBorders>
              <w:tl2br w:val="nil"/>
              <w:tr2bl w:val="nil"/>
            </w:tcBorders>
            <w:shd w:val="clear" w:color="auto" w:fill="auto"/>
            <w:noWrap/>
            <w:vAlign w:val="center"/>
          </w:tcPr>
          <w:p>
            <w:pPr>
              <w:jc w:val="both"/>
              <w:rPr>
                <w:rFonts w:hint="eastAsia" w:ascii="宋体" w:hAnsi="宋体" w:eastAsia="宋体" w:cs="宋体"/>
                <w:i w:val="0"/>
                <w:color w:val="000000"/>
                <w:kern w:val="0"/>
                <w:sz w:val="20"/>
                <w:szCs w:val="20"/>
                <w:u w:val="none"/>
                <w:lang w:val="en-US" w:eastAsia="zh-CN" w:bidi="ar"/>
              </w:rPr>
            </w:pPr>
          </w:p>
        </w:tc>
        <w:tc>
          <w:tcPr>
            <w:tcW w:w="1390" w:type="dxa"/>
            <w:tcBorders>
              <w:tl2br w:val="nil"/>
              <w:tr2bl w:val="nil"/>
            </w:tcBorders>
            <w:shd w:val="clear" w:color="auto" w:fill="auto"/>
            <w:noWrap/>
            <w:vAlign w:val="center"/>
          </w:tcPr>
          <w:p>
            <w:pPr>
              <w:keepNext w:val="0"/>
              <w:keepLines w:val="0"/>
              <w:widowControl/>
              <w:suppressLineNumbers w:val="0"/>
              <w:jc w:val="both"/>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2025-02-28</w:t>
            </w:r>
          </w:p>
        </w:tc>
      </w:tr>
    </w:tbl>
    <w:p>
      <w:pPr>
        <w:pStyle w:val="2"/>
        <w:pageBreakBefore w:val="0"/>
        <w:widowControl w:val="0"/>
        <w:kinsoku/>
        <w:wordWrap/>
        <w:overflowPunct/>
        <w:topLinePunct w:val="0"/>
        <w:autoSpaceDE/>
        <w:autoSpaceDN/>
        <w:bidi w:val="0"/>
        <w:adjustRightInd/>
        <w:snapToGrid/>
        <w:spacing w:before="0" w:after="0" w:line="594" w:lineRule="exact"/>
        <w:textAlignment w:val="auto"/>
        <w:rPr>
          <w:rFonts w:hint="eastAsia" w:ascii="仿宋_GB2312" w:hAnsi="仿宋_GB2312" w:eastAsia="仿宋_GB2312" w:cs="仿宋_GB2312"/>
          <w:b w:val="0"/>
          <w:bCs w:val="0"/>
          <w:sz w:val="32"/>
          <w:szCs w:val="32"/>
          <w:lang w:eastAsia="zh-CN"/>
        </w:rPr>
      </w:pPr>
      <w:bookmarkStart w:id="0" w:name="_GoBack"/>
      <w:bookmarkEnd w:id="0"/>
    </w:p>
    <w:sectPr>
      <w:footerReference r:id="rId3" w:type="default"/>
      <w:footerReference r:id="rId4" w:type="even"/>
      <w:pgSz w:w="16838" w:h="11906" w:orient="landscape"/>
      <w:pgMar w:top="1984" w:right="1474" w:bottom="1644" w:left="1474" w:header="851" w:footer="1191" w:gutter="0"/>
      <w:pgBorders>
        <w:top w:val="none" w:sz="0" w:space="0"/>
        <w:left w:val="none" w:sz="0" w:space="0"/>
        <w:bottom w:val="none" w:sz="0" w:space="0"/>
        <w:right w:val="none" w:sz="0" w:space="0"/>
      </w:pgBorders>
      <w:cols w:space="0" w:num="1"/>
      <w:rtlGutter w:val="0"/>
      <w:docGrid w:type="linesAndChars" w:linePitch="318" w:charSpace="160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Math">
    <w:altName w:val="DejaVu Math TeX Gyre"/>
    <w:panose1 w:val="02040503050406030204"/>
    <w:charset w:val="86"/>
    <w:family w:val="roman"/>
    <w:pitch w:val="default"/>
    <w:sig w:usb0="00000000" w:usb1="00000000" w:usb2="02000000" w:usb3="00000000" w:csb0="2000019F" w:csb1="00000000"/>
  </w:font>
  <w:font w:name="Droid Sans Japanese">
    <w:panose1 w:val="020B0502000000000001"/>
    <w:charset w:val="00"/>
    <w:family w:val="auto"/>
    <w:pitch w:val="default"/>
    <w:sig w:usb0="80000000" w:usb1="08070000" w:usb2="00000010" w:usb3="00000000" w:csb0="0000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3000509000000000000"/>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15" w:rightChars="150"/>
      <w:jc w:val="right"/>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ind w:left="315" w:leftChars="150" w:right="315" w:rightChars="150"/>
      <w:jc w:val="both"/>
      <w:textAlignment w:val="auto"/>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BF14D"/>
    <w:multiLevelType w:val="singleLevel"/>
    <w:tmpl w:val="DFFBF1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TrueTypeFonts/>
  <w:saveSubsetFonts/>
  <w:bordersDoNotSurroundHeader w:val="false"/>
  <w:bordersDoNotSurroundFooter w:val="false"/>
  <w:documentProtection w:enforcement="0"/>
  <w:defaultTabStop w:val="420"/>
  <w:evenAndOddHeaders w:val="true"/>
  <w:drawingGridHorizontalSpacing w:val="109"/>
  <w:drawingGridVerticalSpacing w:val="159"/>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JhMDM1MjRmZDAyODkwN2UxM2JkZDc4YWExZDg0MTAifQ=="/>
  </w:docVars>
  <w:rsids>
    <w:rsidRoot w:val="004429D8"/>
    <w:rsid w:val="00004FCA"/>
    <w:rsid w:val="00015160"/>
    <w:rsid w:val="0002026F"/>
    <w:rsid w:val="00071969"/>
    <w:rsid w:val="000876F0"/>
    <w:rsid w:val="000B3EFD"/>
    <w:rsid w:val="000C49E0"/>
    <w:rsid w:val="000D0844"/>
    <w:rsid w:val="000D5B66"/>
    <w:rsid w:val="000D6C18"/>
    <w:rsid w:val="000F7586"/>
    <w:rsid w:val="001032EE"/>
    <w:rsid w:val="0010470F"/>
    <w:rsid w:val="001274E2"/>
    <w:rsid w:val="001469AE"/>
    <w:rsid w:val="00155DC5"/>
    <w:rsid w:val="00155DEA"/>
    <w:rsid w:val="0016091F"/>
    <w:rsid w:val="00177866"/>
    <w:rsid w:val="001E1205"/>
    <w:rsid w:val="001E5EEA"/>
    <w:rsid w:val="0021368D"/>
    <w:rsid w:val="00225771"/>
    <w:rsid w:val="002266CE"/>
    <w:rsid w:val="0022745F"/>
    <w:rsid w:val="00250BC0"/>
    <w:rsid w:val="00252FFA"/>
    <w:rsid w:val="002538CF"/>
    <w:rsid w:val="002658B1"/>
    <w:rsid w:val="00271B4A"/>
    <w:rsid w:val="002822D3"/>
    <w:rsid w:val="002B0F2A"/>
    <w:rsid w:val="002E095D"/>
    <w:rsid w:val="002F3A19"/>
    <w:rsid w:val="003104B2"/>
    <w:rsid w:val="00311B6E"/>
    <w:rsid w:val="003179E9"/>
    <w:rsid w:val="00320F5F"/>
    <w:rsid w:val="00323E68"/>
    <w:rsid w:val="00324D3F"/>
    <w:rsid w:val="00327DA0"/>
    <w:rsid w:val="00335EC4"/>
    <w:rsid w:val="00343D4F"/>
    <w:rsid w:val="00351491"/>
    <w:rsid w:val="003775E7"/>
    <w:rsid w:val="00380AD2"/>
    <w:rsid w:val="003837FA"/>
    <w:rsid w:val="003F2E00"/>
    <w:rsid w:val="00424297"/>
    <w:rsid w:val="00437D1A"/>
    <w:rsid w:val="004429D8"/>
    <w:rsid w:val="00454772"/>
    <w:rsid w:val="004600C3"/>
    <w:rsid w:val="0046621F"/>
    <w:rsid w:val="00477BE9"/>
    <w:rsid w:val="00481181"/>
    <w:rsid w:val="00496F25"/>
    <w:rsid w:val="004A1E95"/>
    <w:rsid w:val="004D6D23"/>
    <w:rsid w:val="004D7E5A"/>
    <w:rsid w:val="004E17DD"/>
    <w:rsid w:val="00503534"/>
    <w:rsid w:val="0051790B"/>
    <w:rsid w:val="00522EE9"/>
    <w:rsid w:val="0052635E"/>
    <w:rsid w:val="00551578"/>
    <w:rsid w:val="00555B25"/>
    <w:rsid w:val="00557032"/>
    <w:rsid w:val="00557A9E"/>
    <w:rsid w:val="00565959"/>
    <w:rsid w:val="005D6F75"/>
    <w:rsid w:val="005E6C75"/>
    <w:rsid w:val="005F3BC0"/>
    <w:rsid w:val="005F4C96"/>
    <w:rsid w:val="00635061"/>
    <w:rsid w:val="0064381B"/>
    <w:rsid w:val="0064748E"/>
    <w:rsid w:val="00657DF0"/>
    <w:rsid w:val="00676737"/>
    <w:rsid w:val="0069441F"/>
    <w:rsid w:val="006D46D7"/>
    <w:rsid w:val="006D7173"/>
    <w:rsid w:val="006E54E0"/>
    <w:rsid w:val="006F33B3"/>
    <w:rsid w:val="006F614E"/>
    <w:rsid w:val="00711DE4"/>
    <w:rsid w:val="007251BD"/>
    <w:rsid w:val="00725A63"/>
    <w:rsid w:val="00741BDB"/>
    <w:rsid w:val="00794AD5"/>
    <w:rsid w:val="00797B44"/>
    <w:rsid w:val="007A5AB5"/>
    <w:rsid w:val="007C24E5"/>
    <w:rsid w:val="007C5348"/>
    <w:rsid w:val="007E528E"/>
    <w:rsid w:val="007E77D6"/>
    <w:rsid w:val="007F3462"/>
    <w:rsid w:val="007F463E"/>
    <w:rsid w:val="0081081C"/>
    <w:rsid w:val="00832DB0"/>
    <w:rsid w:val="0083485C"/>
    <w:rsid w:val="0083539A"/>
    <w:rsid w:val="008D137A"/>
    <w:rsid w:val="008D6AB9"/>
    <w:rsid w:val="008E2BAD"/>
    <w:rsid w:val="0092555A"/>
    <w:rsid w:val="00930684"/>
    <w:rsid w:val="00970FD0"/>
    <w:rsid w:val="0097182D"/>
    <w:rsid w:val="00972632"/>
    <w:rsid w:val="00973279"/>
    <w:rsid w:val="00984EBE"/>
    <w:rsid w:val="009B5953"/>
    <w:rsid w:val="009D5764"/>
    <w:rsid w:val="009E7961"/>
    <w:rsid w:val="009F29E5"/>
    <w:rsid w:val="00A30238"/>
    <w:rsid w:val="00A363FD"/>
    <w:rsid w:val="00A47A93"/>
    <w:rsid w:val="00A6334C"/>
    <w:rsid w:val="00A642EC"/>
    <w:rsid w:val="00A74AA3"/>
    <w:rsid w:val="00AA40FF"/>
    <w:rsid w:val="00AA50BF"/>
    <w:rsid w:val="00AE0F6D"/>
    <w:rsid w:val="00AE614E"/>
    <w:rsid w:val="00AF5CC7"/>
    <w:rsid w:val="00B0529F"/>
    <w:rsid w:val="00B12011"/>
    <w:rsid w:val="00B43C51"/>
    <w:rsid w:val="00B56101"/>
    <w:rsid w:val="00B60050"/>
    <w:rsid w:val="00B90B81"/>
    <w:rsid w:val="00B94F71"/>
    <w:rsid w:val="00BA5984"/>
    <w:rsid w:val="00BC3E53"/>
    <w:rsid w:val="00BD57AA"/>
    <w:rsid w:val="00C0664E"/>
    <w:rsid w:val="00C169B5"/>
    <w:rsid w:val="00C332C5"/>
    <w:rsid w:val="00C46301"/>
    <w:rsid w:val="00CA74EE"/>
    <w:rsid w:val="00CA77B7"/>
    <w:rsid w:val="00CE0A9F"/>
    <w:rsid w:val="00CF672F"/>
    <w:rsid w:val="00CF7121"/>
    <w:rsid w:val="00D37AF5"/>
    <w:rsid w:val="00D417A2"/>
    <w:rsid w:val="00D453F2"/>
    <w:rsid w:val="00D46307"/>
    <w:rsid w:val="00D52A98"/>
    <w:rsid w:val="00D57592"/>
    <w:rsid w:val="00D7399F"/>
    <w:rsid w:val="00D911A5"/>
    <w:rsid w:val="00DA6895"/>
    <w:rsid w:val="00DE2756"/>
    <w:rsid w:val="00DE46D5"/>
    <w:rsid w:val="00DE525F"/>
    <w:rsid w:val="00DE78D9"/>
    <w:rsid w:val="00DF3400"/>
    <w:rsid w:val="00E13730"/>
    <w:rsid w:val="00E179A1"/>
    <w:rsid w:val="00E20D67"/>
    <w:rsid w:val="00E44CF2"/>
    <w:rsid w:val="00E61426"/>
    <w:rsid w:val="00E82F5A"/>
    <w:rsid w:val="00E97FC4"/>
    <w:rsid w:val="00EA5943"/>
    <w:rsid w:val="00ED280A"/>
    <w:rsid w:val="00ED4ACE"/>
    <w:rsid w:val="00EE373F"/>
    <w:rsid w:val="00F03E21"/>
    <w:rsid w:val="00F072A3"/>
    <w:rsid w:val="00F21548"/>
    <w:rsid w:val="00F46ACB"/>
    <w:rsid w:val="00F64545"/>
    <w:rsid w:val="00F808A4"/>
    <w:rsid w:val="00F865F5"/>
    <w:rsid w:val="00F975C7"/>
    <w:rsid w:val="00FB4325"/>
    <w:rsid w:val="00FB4E4D"/>
    <w:rsid w:val="00FC1A26"/>
    <w:rsid w:val="00FF0E72"/>
    <w:rsid w:val="01583748"/>
    <w:rsid w:val="04465C25"/>
    <w:rsid w:val="04BD1014"/>
    <w:rsid w:val="050C4E4D"/>
    <w:rsid w:val="064551F9"/>
    <w:rsid w:val="0CD30E4B"/>
    <w:rsid w:val="0D701F12"/>
    <w:rsid w:val="0F506799"/>
    <w:rsid w:val="0FF0E79A"/>
    <w:rsid w:val="101D74BB"/>
    <w:rsid w:val="12986199"/>
    <w:rsid w:val="137110B8"/>
    <w:rsid w:val="15130C7A"/>
    <w:rsid w:val="16754BEE"/>
    <w:rsid w:val="16FB78B8"/>
    <w:rsid w:val="17137D16"/>
    <w:rsid w:val="19673738"/>
    <w:rsid w:val="19BC8175"/>
    <w:rsid w:val="1A4F22A1"/>
    <w:rsid w:val="1BB588F1"/>
    <w:rsid w:val="1CEC4122"/>
    <w:rsid w:val="1D3F1EDF"/>
    <w:rsid w:val="1EE33029"/>
    <w:rsid w:val="1F3E183E"/>
    <w:rsid w:val="1F3F864E"/>
    <w:rsid w:val="1FFF148E"/>
    <w:rsid w:val="24F51523"/>
    <w:rsid w:val="26DC42BD"/>
    <w:rsid w:val="27E7BAE2"/>
    <w:rsid w:val="297237DD"/>
    <w:rsid w:val="29EE26A2"/>
    <w:rsid w:val="2A2E2FA6"/>
    <w:rsid w:val="2CC22420"/>
    <w:rsid w:val="2CC3523C"/>
    <w:rsid w:val="2D4EEE79"/>
    <w:rsid w:val="2F7BE8A0"/>
    <w:rsid w:val="2FF85849"/>
    <w:rsid w:val="2FFD168E"/>
    <w:rsid w:val="31077699"/>
    <w:rsid w:val="31A041CB"/>
    <w:rsid w:val="31E31DB8"/>
    <w:rsid w:val="329B4D38"/>
    <w:rsid w:val="32B209C7"/>
    <w:rsid w:val="333D7989"/>
    <w:rsid w:val="33BF7C44"/>
    <w:rsid w:val="33D74DBE"/>
    <w:rsid w:val="344B6E69"/>
    <w:rsid w:val="35511F61"/>
    <w:rsid w:val="35AC3113"/>
    <w:rsid w:val="36B31F95"/>
    <w:rsid w:val="376FDCA9"/>
    <w:rsid w:val="37789DA2"/>
    <w:rsid w:val="37DDF9A5"/>
    <w:rsid w:val="37DE12D8"/>
    <w:rsid w:val="37DF7C21"/>
    <w:rsid w:val="38AE0930"/>
    <w:rsid w:val="394C172B"/>
    <w:rsid w:val="399D3B0C"/>
    <w:rsid w:val="39D7204E"/>
    <w:rsid w:val="3BE7D995"/>
    <w:rsid w:val="3D3CF64F"/>
    <w:rsid w:val="3D778139"/>
    <w:rsid w:val="3D7F33FA"/>
    <w:rsid w:val="3DFF8090"/>
    <w:rsid w:val="3E8F38B7"/>
    <w:rsid w:val="3EF752DA"/>
    <w:rsid w:val="3F0B26CC"/>
    <w:rsid w:val="3F3465FB"/>
    <w:rsid w:val="3F7F6977"/>
    <w:rsid w:val="3FD39FA3"/>
    <w:rsid w:val="41127064"/>
    <w:rsid w:val="43B850E8"/>
    <w:rsid w:val="441023D1"/>
    <w:rsid w:val="47070DC3"/>
    <w:rsid w:val="4748745A"/>
    <w:rsid w:val="47687178"/>
    <w:rsid w:val="47AC01B5"/>
    <w:rsid w:val="47D4726C"/>
    <w:rsid w:val="4A103EFD"/>
    <w:rsid w:val="4A2B73D1"/>
    <w:rsid w:val="4BEF395D"/>
    <w:rsid w:val="4C44287B"/>
    <w:rsid w:val="4C79ECF4"/>
    <w:rsid w:val="4D906D33"/>
    <w:rsid w:val="4DBFAA61"/>
    <w:rsid w:val="51433C13"/>
    <w:rsid w:val="52136962"/>
    <w:rsid w:val="52934F0B"/>
    <w:rsid w:val="529770AE"/>
    <w:rsid w:val="52FA253D"/>
    <w:rsid w:val="53823A42"/>
    <w:rsid w:val="53E978BF"/>
    <w:rsid w:val="53FB351B"/>
    <w:rsid w:val="54041E64"/>
    <w:rsid w:val="54D332BF"/>
    <w:rsid w:val="55037E8F"/>
    <w:rsid w:val="570222DE"/>
    <w:rsid w:val="57BF2DA2"/>
    <w:rsid w:val="57BF5C28"/>
    <w:rsid w:val="58D6785F"/>
    <w:rsid w:val="5BBEB2B6"/>
    <w:rsid w:val="5BCE6E37"/>
    <w:rsid w:val="5CA6175E"/>
    <w:rsid w:val="5D10443D"/>
    <w:rsid w:val="5DFB2589"/>
    <w:rsid w:val="5EFD5329"/>
    <w:rsid w:val="5F59C619"/>
    <w:rsid w:val="5F5C1672"/>
    <w:rsid w:val="5FAA231C"/>
    <w:rsid w:val="5FCF1ED4"/>
    <w:rsid w:val="5FF37830"/>
    <w:rsid w:val="60AE416C"/>
    <w:rsid w:val="61CA3494"/>
    <w:rsid w:val="642FECCE"/>
    <w:rsid w:val="64DA3411"/>
    <w:rsid w:val="67E5E776"/>
    <w:rsid w:val="67FF56DD"/>
    <w:rsid w:val="67FFA242"/>
    <w:rsid w:val="681775CB"/>
    <w:rsid w:val="69015752"/>
    <w:rsid w:val="6A0E7CE5"/>
    <w:rsid w:val="6A1C3809"/>
    <w:rsid w:val="6A550763"/>
    <w:rsid w:val="6AE787CE"/>
    <w:rsid w:val="6B3E1D84"/>
    <w:rsid w:val="6B751AD0"/>
    <w:rsid w:val="6BDC7BD1"/>
    <w:rsid w:val="6D7F3C7F"/>
    <w:rsid w:val="6E485159"/>
    <w:rsid w:val="6F1E5FD8"/>
    <w:rsid w:val="6F643D9C"/>
    <w:rsid w:val="6F67B869"/>
    <w:rsid w:val="6F73B507"/>
    <w:rsid w:val="6FEFC31E"/>
    <w:rsid w:val="6FF6523B"/>
    <w:rsid w:val="6FFC2F0D"/>
    <w:rsid w:val="6FFF7B69"/>
    <w:rsid w:val="71AF5789"/>
    <w:rsid w:val="7202194A"/>
    <w:rsid w:val="72A777B7"/>
    <w:rsid w:val="737FD0F5"/>
    <w:rsid w:val="74EBC7D1"/>
    <w:rsid w:val="75E7EEBA"/>
    <w:rsid w:val="75EDAB02"/>
    <w:rsid w:val="75FE90FA"/>
    <w:rsid w:val="76C3431C"/>
    <w:rsid w:val="76FD37A6"/>
    <w:rsid w:val="777D522F"/>
    <w:rsid w:val="778BD0CE"/>
    <w:rsid w:val="77BB4571"/>
    <w:rsid w:val="77FCF56B"/>
    <w:rsid w:val="78AA6CAB"/>
    <w:rsid w:val="7A3337F0"/>
    <w:rsid w:val="7A6EC2D7"/>
    <w:rsid w:val="7A7E19B1"/>
    <w:rsid w:val="7ADA7712"/>
    <w:rsid w:val="7B5F5933"/>
    <w:rsid w:val="7B97E44A"/>
    <w:rsid w:val="7BF29DDC"/>
    <w:rsid w:val="7BF64416"/>
    <w:rsid w:val="7BFFB60F"/>
    <w:rsid w:val="7BFFFC6E"/>
    <w:rsid w:val="7CAC5332"/>
    <w:rsid w:val="7CFF80E2"/>
    <w:rsid w:val="7D35C1EF"/>
    <w:rsid w:val="7D6E116E"/>
    <w:rsid w:val="7D794CC6"/>
    <w:rsid w:val="7DEDC8F0"/>
    <w:rsid w:val="7DFF2CF8"/>
    <w:rsid w:val="7E054E0B"/>
    <w:rsid w:val="7E834B16"/>
    <w:rsid w:val="7EDD5827"/>
    <w:rsid w:val="7EEF95A2"/>
    <w:rsid w:val="7EEFFF58"/>
    <w:rsid w:val="7F1A7C91"/>
    <w:rsid w:val="7F64F2BC"/>
    <w:rsid w:val="7F7B04FD"/>
    <w:rsid w:val="7F7E7A17"/>
    <w:rsid w:val="7F7F6001"/>
    <w:rsid w:val="7F99FC5B"/>
    <w:rsid w:val="7F9E8A32"/>
    <w:rsid w:val="7FB42EA2"/>
    <w:rsid w:val="7FDB167C"/>
    <w:rsid w:val="7FDF107F"/>
    <w:rsid w:val="7FF5C71D"/>
    <w:rsid w:val="7FF96D3E"/>
    <w:rsid w:val="7FFD9934"/>
    <w:rsid w:val="973FD40B"/>
    <w:rsid w:val="9CCC79D5"/>
    <w:rsid w:val="9D373CA5"/>
    <w:rsid w:val="9D67A2C0"/>
    <w:rsid w:val="9F7BEE54"/>
    <w:rsid w:val="9F7E2AB4"/>
    <w:rsid w:val="9FF32BB4"/>
    <w:rsid w:val="9FF5E299"/>
    <w:rsid w:val="A6FD2E2F"/>
    <w:rsid w:val="A9FF6337"/>
    <w:rsid w:val="AF3F3D29"/>
    <w:rsid w:val="AFB5318C"/>
    <w:rsid w:val="AFBFABC5"/>
    <w:rsid w:val="B4F37FEF"/>
    <w:rsid w:val="B5BF5F1C"/>
    <w:rsid w:val="B7FBB37D"/>
    <w:rsid w:val="B7FF3E56"/>
    <w:rsid w:val="B9FFE8A5"/>
    <w:rsid w:val="BBE37E01"/>
    <w:rsid w:val="BBE79C99"/>
    <w:rsid w:val="BCDF587C"/>
    <w:rsid w:val="BDC987C8"/>
    <w:rsid w:val="BE6F855D"/>
    <w:rsid w:val="BFB3D749"/>
    <w:rsid w:val="BFCFFCC5"/>
    <w:rsid w:val="BFFBF86A"/>
    <w:rsid w:val="C9FB471B"/>
    <w:rsid w:val="CD751717"/>
    <w:rsid w:val="CDFFA9D5"/>
    <w:rsid w:val="CF5F37ED"/>
    <w:rsid w:val="CF7F238C"/>
    <w:rsid w:val="D17D6641"/>
    <w:rsid w:val="D3B476BF"/>
    <w:rsid w:val="D677D520"/>
    <w:rsid w:val="D7F695FA"/>
    <w:rsid w:val="DAFE67E5"/>
    <w:rsid w:val="DB3F46DA"/>
    <w:rsid w:val="DB967D9A"/>
    <w:rsid w:val="DBB2E1D7"/>
    <w:rsid w:val="DCBDC2A3"/>
    <w:rsid w:val="DD7A6D75"/>
    <w:rsid w:val="DD7EF1E6"/>
    <w:rsid w:val="DDBD8110"/>
    <w:rsid w:val="DEDC2DA5"/>
    <w:rsid w:val="DF6BF164"/>
    <w:rsid w:val="DF7DF2AC"/>
    <w:rsid w:val="DFAE6267"/>
    <w:rsid w:val="DFDE9063"/>
    <w:rsid w:val="DFFFE7A0"/>
    <w:rsid w:val="E1FC50AA"/>
    <w:rsid w:val="E3FDF9B9"/>
    <w:rsid w:val="EAECF2AB"/>
    <w:rsid w:val="EBFD0A8E"/>
    <w:rsid w:val="EBFED6CD"/>
    <w:rsid w:val="ECBA5E0F"/>
    <w:rsid w:val="ECFEBF52"/>
    <w:rsid w:val="EFBEECB8"/>
    <w:rsid w:val="EFBF7C8F"/>
    <w:rsid w:val="EFDBCF90"/>
    <w:rsid w:val="EFDDA44B"/>
    <w:rsid w:val="EFE7B9D5"/>
    <w:rsid w:val="EFFDF953"/>
    <w:rsid w:val="F3D9E9A7"/>
    <w:rsid w:val="F4B5C90B"/>
    <w:rsid w:val="F61F65AA"/>
    <w:rsid w:val="F76FA196"/>
    <w:rsid w:val="F78F1209"/>
    <w:rsid w:val="F7B166CD"/>
    <w:rsid w:val="F7C3473C"/>
    <w:rsid w:val="F7EF154F"/>
    <w:rsid w:val="F7F7B6E2"/>
    <w:rsid w:val="F8CF3082"/>
    <w:rsid w:val="F97F74E5"/>
    <w:rsid w:val="FAF74601"/>
    <w:rsid w:val="FAFF9CD1"/>
    <w:rsid w:val="FB4D65D5"/>
    <w:rsid w:val="FB7FF94F"/>
    <w:rsid w:val="FCCF0C95"/>
    <w:rsid w:val="FCDA5816"/>
    <w:rsid w:val="FD334D73"/>
    <w:rsid w:val="FD7BA495"/>
    <w:rsid w:val="FDBDA974"/>
    <w:rsid w:val="FDBFD245"/>
    <w:rsid w:val="FDD328D6"/>
    <w:rsid w:val="FDE718AE"/>
    <w:rsid w:val="FDF5CBBF"/>
    <w:rsid w:val="FDFB2B11"/>
    <w:rsid w:val="FE2D6750"/>
    <w:rsid w:val="FE3B76DC"/>
    <w:rsid w:val="FE3BA5E3"/>
    <w:rsid w:val="FE53D536"/>
    <w:rsid w:val="FEAF5104"/>
    <w:rsid w:val="FEBF307D"/>
    <w:rsid w:val="FEC300EB"/>
    <w:rsid w:val="FEEDD027"/>
    <w:rsid w:val="FEF13415"/>
    <w:rsid w:val="FEF37F87"/>
    <w:rsid w:val="FEFBDD17"/>
    <w:rsid w:val="FF6FB91E"/>
    <w:rsid w:val="FF752E6B"/>
    <w:rsid w:val="FF7982BD"/>
    <w:rsid w:val="FF7EFB2E"/>
    <w:rsid w:val="FFB3ADC0"/>
    <w:rsid w:val="FFBFB4AD"/>
    <w:rsid w:val="FFD72B2A"/>
    <w:rsid w:val="FFDE03C7"/>
    <w:rsid w:val="FFE0B0F6"/>
    <w:rsid w:val="FFF7804D"/>
    <w:rsid w:val="FFFD2855"/>
    <w:rsid w:val="FFFDC65E"/>
    <w:rsid w:val="FFFE7CCB"/>
    <w:rsid w:val="FFFEAB2C"/>
    <w:rsid w:val="FFFFF0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3"/>
    <w:basedOn w:val="1"/>
    <w:next w:val="1"/>
    <w:qFormat/>
    <w:uiPriority w:val="9"/>
    <w:pPr>
      <w:keepNext/>
      <w:keepLines/>
      <w:spacing w:line="560" w:lineRule="exact"/>
      <w:outlineLvl w:val="2"/>
    </w:pPr>
    <w:rPr>
      <w:b/>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pPr>
      <w:spacing w:after="120" w:afterLines="0" w:afterAutospacing="0"/>
    </w:pPr>
  </w:style>
  <w:style w:type="paragraph" w:styleId="5">
    <w:name w:val="Date"/>
    <w:basedOn w:val="1"/>
    <w:next w:val="1"/>
    <w:link w:val="16"/>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Cambria Math" w:hAnsi="Cambria Math" w:eastAsia="Cambria Math" w:cs="Cambria Math"/>
      <w:kern w:val="0"/>
      <w:sz w:val="24"/>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semiHidden/>
    <w:unhideWhenUsed/>
    <w:qFormat/>
    <w:uiPriority w:val="0"/>
  </w:style>
  <w:style w:type="character" w:styleId="14">
    <w:name w:val="FollowedHyperlink"/>
    <w:basedOn w:val="12"/>
    <w:semiHidden/>
    <w:unhideWhenUsed/>
    <w:qFormat/>
    <w:uiPriority w:val="99"/>
    <w:rPr>
      <w:color w:val="993366"/>
      <w:u w:val="single"/>
    </w:rPr>
  </w:style>
  <w:style w:type="character" w:styleId="15">
    <w:name w:val="Hyperlink"/>
    <w:basedOn w:val="12"/>
    <w:semiHidden/>
    <w:unhideWhenUsed/>
    <w:qFormat/>
    <w:uiPriority w:val="99"/>
    <w:rPr>
      <w:color w:val="0066CC"/>
      <w:u w:val="single"/>
    </w:rPr>
  </w:style>
  <w:style w:type="character" w:customStyle="1" w:styleId="16">
    <w:name w:val="日期 字符"/>
    <w:basedOn w:val="12"/>
    <w:link w:val="5"/>
    <w:semiHidden/>
    <w:qFormat/>
    <w:uiPriority w:val="99"/>
  </w:style>
  <w:style w:type="character" w:customStyle="1" w:styleId="17">
    <w:name w:val="批注框文本 字符"/>
    <w:basedOn w:val="12"/>
    <w:link w:val="6"/>
    <w:semiHidden/>
    <w:qFormat/>
    <w:uiPriority w:val="99"/>
    <w:rPr>
      <w:sz w:val="18"/>
      <w:szCs w:val="18"/>
    </w:rPr>
  </w:style>
  <w:style w:type="character" w:customStyle="1" w:styleId="18">
    <w:name w:val="页脚 字符"/>
    <w:basedOn w:val="12"/>
    <w:link w:val="7"/>
    <w:qFormat/>
    <w:uiPriority w:val="99"/>
    <w:rPr>
      <w:sz w:val="18"/>
      <w:szCs w:val="18"/>
    </w:rPr>
  </w:style>
  <w:style w:type="character" w:customStyle="1" w:styleId="19">
    <w:name w:val="页眉 字符"/>
    <w:basedOn w:val="12"/>
    <w:link w:val="8"/>
    <w:qFormat/>
    <w:uiPriority w:val="99"/>
    <w:rPr>
      <w:sz w:val="18"/>
      <w:szCs w:val="18"/>
    </w:rPr>
  </w:style>
  <w:style w:type="paragraph" w:customStyle="1" w:styleId="20">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1">
    <w:name w:val="xl70"/>
    <w:basedOn w:val="1"/>
    <w:qFormat/>
    <w:uiPriority w:val="0"/>
    <w:pPr>
      <w:widowControl/>
      <w:spacing w:before="100" w:beforeAutospacing="1" w:after="100" w:afterAutospacing="1"/>
      <w:jc w:val="center"/>
    </w:pPr>
    <w:rPr>
      <w:rFonts w:ascii="宋体" w:hAnsi="宋体" w:eastAsia="宋体" w:cs="宋体"/>
      <w:b/>
      <w:bCs/>
      <w:kern w:val="0"/>
      <w:sz w:val="28"/>
      <w:szCs w:val="28"/>
    </w:rPr>
  </w:style>
  <w:style w:type="paragraph" w:customStyle="1" w:styleId="22">
    <w:name w:val="xl7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
    <w:name w:val="xl72"/>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25">
    <w:name w:val="xl74"/>
    <w:basedOn w:val="1"/>
    <w:qFormat/>
    <w:uiPriority w:val="0"/>
    <w:pPr>
      <w:widowControl/>
      <w:spacing w:before="100" w:beforeAutospacing="1" w:after="100" w:afterAutospacing="1"/>
      <w:jc w:val="left"/>
    </w:pPr>
    <w:rPr>
      <w:rFonts w:ascii="黑体" w:hAnsi="黑体" w:eastAsia="黑体" w:cs="宋体"/>
      <w:kern w:val="0"/>
      <w:sz w:val="24"/>
      <w:szCs w:val="24"/>
    </w:rPr>
  </w:style>
  <w:style w:type="paragraph" w:customStyle="1" w:styleId="26">
    <w:name w:val="xl75"/>
    <w:basedOn w:val="1"/>
    <w:qFormat/>
    <w:uiPriority w:val="0"/>
    <w:pPr>
      <w:widowControl/>
      <w:spacing w:before="100" w:beforeAutospacing="1" w:after="100" w:afterAutospacing="1"/>
      <w:jc w:val="left"/>
    </w:pPr>
    <w:rPr>
      <w:rFonts w:ascii="黑体" w:hAnsi="黑体" w:eastAsia="黑体" w:cs="宋体"/>
      <w:kern w:val="0"/>
      <w:sz w:val="32"/>
      <w:szCs w:val="32"/>
    </w:rPr>
  </w:style>
  <w:style w:type="paragraph" w:customStyle="1" w:styleId="27">
    <w:name w:val="xl76"/>
    <w:basedOn w:val="1"/>
    <w:qFormat/>
    <w:uiPriority w:val="0"/>
    <w:pPr>
      <w:widowControl/>
      <w:pBdr>
        <w:lef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8">
    <w:name w:val="xl77"/>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9">
    <w:name w:val="xl78"/>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0">
    <w:name w:val="xl79"/>
    <w:basedOn w:val="1"/>
    <w:qFormat/>
    <w:uiPriority w:val="0"/>
    <w:pPr>
      <w:widowControl/>
      <w:pBdr>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1">
    <w:name w:val="xl80"/>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2">
    <w:name w:val="xl8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3">
    <w:name w:val="xl8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4">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8"/>
      <w:szCs w:val="28"/>
    </w:rPr>
  </w:style>
  <w:style w:type="paragraph" w:customStyle="1" w:styleId="35">
    <w:name w:val="xl84"/>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6">
    <w:name w:val="xl8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37">
    <w:name w:val="xl86"/>
    <w:basedOn w:val="1"/>
    <w:qFormat/>
    <w:uiPriority w:val="0"/>
    <w:pPr>
      <w:widowControl/>
      <w:spacing w:before="100" w:beforeAutospacing="1" w:after="100" w:afterAutospacing="1"/>
      <w:jc w:val="left"/>
    </w:pPr>
    <w:rPr>
      <w:rFonts w:ascii="黑体" w:hAnsi="黑体" w:eastAsia="黑体" w:cs="宋体"/>
      <w:kern w:val="0"/>
      <w:sz w:val="32"/>
      <w:szCs w:val="32"/>
    </w:rPr>
  </w:style>
  <w:style w:type="paragraph" w:styleId="38">
    <w:name w:val="List Paragraph"/>
    <w:basedOn w:val="1"/>
    <w:qFormat/>
    <w:uiPriority w:val="34"/>
    <w:pPr>
      <w:ind w:firstLine="420" w:firstLineChars="200"/>
    </w:pPr>
  </w:style>
  <w:style w:type="paragraph" w:customStyle="1" w:styleId="39">
    <w:name w:val="xl87"/>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0">
    <w:name w:val="xl88"/>
    <w:basedOn w:val="1"/>
    <w:qFormat/>
    <w:uiPriority w:val="0"/>
    <w:pPr>
      <w:widowControl/>
      <w:pBdr>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1">
    <w:name w:val="xl8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42">
    <w:name w:val="xl90"/>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3">
    <w:name w:val="xl91"/>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4">
    <w:name w:val="xl92"/>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45">
    <w:name w:val="xl93"/>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character" w:customStyle="1" w:styleId="46">
    <w:name w:val="font11"/>
    <w:basedOn w:val="12"/>
    <w:qFormat/>
    <w:uiPriority w:val="0"/>
    <w:rPr>
      <w:rFonts w:ascii="Droid Sans Japanese" w:hAnsi="Droid Sans Japanese" w:eastAsia="Droid Sans Japanese" w:cs="Droid Sans Japanese"/>
      <w:color w:val="000000"/>
      <w:sz w:val="20"/>
      <w:szCs w:val="20"/>
      <w:u w:val="none"/>
    </w:rPr>
  </w:style>
  <w:style w:type="character" w:customStyle="1" w:styleId="47">
    <w:name w:val="font01"/>
    <w:basedOn w:val="12"/>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24</Pages>
  <Words>10395</Words>
  <Characters>22808</Characters>
  <Lines>192</Lines>
  <Paragraphs>54</Paragraphs>
  <TotalTime>4</TotalTime>
  <ScaleCrop>false</ScaleCrop>
  <LinksUpToDate>false</LinksUpToDate>
  <CharactersWithSpaces>23966</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2020-04-06T18:48:00Z</dcterms:created>
  <dc:creator>langlf</dc:creator>
  <cp:lastModifiedBy>greatwall</cp:lastModifiedBy>
  <cp:lastPrinted>2025-02-27T08:37:00Z</cp:lastPrinted>
  <dcterms:modified xsi:type="dcterms:W3CDTF">2025-03-10T08:46:49Z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3F24A43BF8D342D6BE583FB369549F22_12</vt:lpwstr>
  </property>
</Properties>
</file>