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9D529D">
      <w:pPr>
        <w:widowControl/>
        <w:spacing w:after="240"/>
        <w:jc w:val="center"/>
        <w:rPr>
          <w:rFonts w:hint="default" w:ascii="Times New Roman" w:hAnsi="Times New Roman" w:eastAsia="黑体" w:cs="Times New Roman"/>
          <w:bCs/>
          <w:kern w:val="0"/>
          <w:sz w:val="44"/>
          <w:szCs w:val="44"/>
          <w:lang w:val="en-GB" w:bidi="ar-AE"/>
        </w:rPr>
      </w:pPr>
      <w:bookmarkStart w:id="0" w:name="_GoBack"/>
      <w:r>
        <w:rPr>
          <w:rFonts w:hint="default" w:ascii="Times New Roman" w:hAnsi="Times New Roman" w:eastAsia="方正小标宋简体" w:cs="Times New Roman"/>
          <w:bCs/>
          <w:kern w:val="0"/>
          <w:sz w:val="44"/>
          <w:szCs w:val="44"/>
          <w:lang w:val="en-GB" w:bidi="ar-AE"/>
        </w:rPr>
        <w:t>经营者集中简易案件公示表</w:t>
      </w:r>
    </w:p>
    <w:bookmarkEnd w:id="0"/>
    <w:tbl>
      <w:tblPr>
        <w:tblStyle w:val="5"/>
        <w:tblW w:w="9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0"/>
        <w:gridCol w:w="1607"/>
        <w:gridCol w:w="6093"/>
      </w:tblGrid>
      <w:tr w14:paraId="0055B9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1940" w:type="dxa"/>
            <w:shd w:val="clear" w:color="auto" w:fill="auto"/>
            <w:vAlign w:val="center"/>
          </w:tcPr>
          <w:p w14:paraId="73063EC0">
            <w:pPr>
              <w:pStyle w:val="3"/>
              <w:adjustRightInd w:val="0"/>
              <w:snapToGrid w:val="0"/>
              <w:spacing w:after="0"/>
              <w:jc w:val="center"/>
              <w:rPr>
                <w:rFonts w:hint="default" w:ascii="Times New Roman" w:hAnsi="Times New Roman" w:cs="Times New Roman"/>
                <w:b/>
                <w:bCs w:val="0"/>
                <w:color w:val="000000"/>
                <w:szCs w:val="21"/>
              </w:rPr>
            </w:pPr>
            <w:r>
              <w:rPr>
                <w:rFonts w:hint="default" w:ascii="Times New Roman" w:hAnsi="Times New Roman" w:cs="Times New Roman"/>
                <w:b/>
                <w:bCs w:val="0"/>
                <w:color w:val="000000"/>
                <w:sz w:val="24"/>
                <w:szCs w:val="24"/>
              </w:rPr>
              <w:t>案件名称</w:t>
            </w:r>
          </w:p>
        </w:tc>
        <w:tc>
          <w:tcPr>
            <w:tcW w:w="7700" w:type="dxa"/>
            <w:gridSpan w:val="2"/>
            <w:shd w:val="clear" w:color="auto" w:fill="auto"/>
            <w:vAlign w:val="center"/>
          </w:tcPr>
          <w:p w14:paraId="2CE8C683">
            <w:pPr>
              <w:adjustRightInd w:val="0"/>
              <w:snapToGrid w:val="0"/>
              <w:rPr>
                <w:rFonts w:hint="default" w:ascii="Times New Roman" w:hAnsi="Times New Roman" w:cs="Times New Roman"/>
                <w:bCs/>
                <w:color w:val="000000"/>
                <w:szCs w:val="21"/>
              </w:rPr>
            </w:pPr>
            <w:r>
              <w:rPr>
                <w:rFonts w:hint="eastAsia" w:ascii="宋体" w:hAnsi="宋体" w:cs="宋体"/>
                <w:szCs w:val="21"/>
              </w:rPr>
              <w:t>深圳市华睿欣能投资控股有限公司收购深圳市鹏能投资控股有限公司等三家公司股权案</w:t>
            </w:r>
          </w:p>
        </w:tc>
      </w:tr>
      <w:tr w14:paraId="688AA4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5" w:hRule="atLeast"/>
          <w:jc w:val="center"/>
        </w:trPr>
        <w:tc>
          <w:tcPr>
            <w:tcW w:w="1940" w:type="dxa"/>
            <w:shd w:val="clear" w:color="auto" w:fill="auto"/>
            <w:vAlign w:val="center"/>
          </w:tcPr>
          <w:p w14:paraId="3BCED310">
            <w:pPr>
              <w:pStyle w:val="3"/>
              <w:adjustRightInd w:val="0"/>
              <w:snapToGrid w:val="0"/>
              <w:spacing w:after="0"/>
              <w:jc w:val="center"/>
              <w:rPr>
                <w:rFonts w:hint="default" w:ascii="Times New Roman" w:hAnsi="Times New Roman" w:cs="Times New Roman"/>
                <w:b/>
                <w:bCs w:val="0"/>
                <w:color w:val="000000"/>
                <w:sz w:val="24"/>
                <w:szCs w:val="24"/>
              </w:rPr>
            </w:pPr>
            <w:r>
              <w:rPr>
                <w:rFonts w:hint="default" w:ascii="Times New Roman" w:hAnsi="Times New Roman" w:cs="Times New Roman"/>
                <w:b/>
                <w:bCs w:val="0"/>
                <w:color w:val="000000"/>
                <w:sz w:val="24"/>
                <w:szCs w:val="24"/>
              </w:rPr>
              <w:t>交易概况</w:t>
            </w:r>
          </w:p>
          <w:p w14:paraId="5AA436B9">
            <w:pPr>
              <w:pStyle w:val="3"/>
              <w:adjustRightInd w:val="0"/>
              <w:snapToGrid w:val="0"/>
              <w:spacing w:after="0"/>
              <w:jc w:val="center"/>
              <w:rPr>
                <w:rFonts w:hint="default" w:ascii="Times New Roman" w:hAnsi="Times New Roman" w:cs="Times New Roman"/>
                <w:b/>
                <w:bCs w:val="0"/>
                <w:color w:val="000000"/>
                <w:szCs w:val="21"/>
              </w:rPr>
            </w:pPr>
            <w:r>
              <w:rPr>
                <w:rFonts w:hint="default" w:ascii="Times New Roman" w:hAnsi="Times New Roman" w:cs="Times New Roman"/>
                <w:b/>
                <w:bCs w:val="0"/>
                <w:color w:val="000000"/>
                <w:sz w:val="24"/>
                <w:szCs w:val="24"/>
              </w:rPr>
              <w:t>（限200字内）</w:t>
            </w:r>
          </w:p>
        </w:tc>
        <w:tc>
          <w:tcPr>
            <w:tcW w:w="7700" w:type="dxa"/>
            <w:gridSpan w:val="2"/>
            <w:vAlign w:val="center"/>
          </w:tcPr>
          <w:p w14:paraId="285BF7DE">
            <w:pPr>
              <w:adjustRightInd w:val="0"/>
              <w:snapToGrid w:val="0"/>
              <w:rPr>
                <w:rFonts w:hint="default" w:ascii="Times New Roman" w:hAnsi="Times New Roman" w:cs="Times New Roman"/>
                <w:bCs/>
                <w:color w:val="000000"/>
                <w:szCs w:val="21"/>
              </w:rPr>
            </w:pPr>
            <w:r>
              <w:rPr>
                <w:rFonts w:hint="default" w:ascii="Times New Roman" w:hAnsi="Times New Roman" w:eastAsia="宋体" w:cs="Times New Roman"/>
                <w:bCs/>
                <w:color w:val="000000"/>
                <w:sz w:val="22"/>
                <w:szCs w:val="22"/>
              </w:rPr>
              <w:t>深圳市华睿欣能投资控股有限公司（“华睿欣能”）与深圳华睿丰盛投资合伙企业（有限合伙）（“华睿丰盛”）签署协议，华睿欣能收购深圳市鹏能投资控股有限公司（“鹏能”）和深圳市深鹏达科技有限公司（“鹏达”）100%的股权、深圳市电达实业股份有限公司（“电达”）96.1705%的股权。鹏能等三家公司主要从事输配电工程施工业务。交易前，华睿丰盛分别持有鹏能和鹏达100%的股权、电达96.1705%的股权，单独控制鹏能等三家公司。交易后，华睿欣能将分别持有鹏能和鹏达100%的股权、电达96.1705%的股权，单独控制鹏能等三家公司。</w:t>
            </w:r>
          </w:p>
        </w:tc>
      </w:tr>
      <w:tr w14:paraId="2ACD85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3" w:hRule="atLeast"/>
          <w:jc w:val="center"/>
        </w:trPr>
        <w:tc>
          <w:tcPr>
            <w:tcW w:w="1940" w:type="dxa"/>
            <w:vMerge w:val="restart"/>
            <w:shd w:val="clear" w:color="auto" w:fill="auto"/>
            <w:vAlign w:val="center"/>
          </w:tcPr>
          <w:p w14:paraId="6B3903C5">
            <w:pPr>
              <w:pStyle w:val="3"/>
              <w:adjustRightInd w:val="0"/>
              <w:snapToGrid w:val="0"/>
              <w:spacing w:after="0"/>
              <w:jc w:val="center"/>
              <w:rPr>
                <w:rFonts w:hint="default" w:ascii="Times New Roman" w:hAnsi="Times New Roman" w:cs="Times New Roman"/>
                <w:b/>
                <w:bCs w:val="0"/>
                <w:color w:val="000000"/>
                <w:sz w:val="24"/>
                <w:szCs w:val="24"/>
              </w:rPr>
            </w:pPr>
            <w:r>
              <w:rPr>
                <w:rFonts w:hint="default" w:ascii="Times New Roman" w:hAnsi="Times New Roman" w:cs="Times New Roman"/>
                <w:b/>
                <w:bCs w:val="0"/>
                <w:color w:val="000000"/>
                <w:sz w:val="24"/>
                <w:szCs w:val="24"/>
              </w:rPr>
              <w:t>参与集中的</w:t>
            </w:r>
          </w:p>
          <w:p w14:paraId="0C118BD4">
            <w:pPr>
              <w:pStyle w:val="3"/>
              <w:adjustRightInd w:val="0"/>
              <w:snapToGrid w:val="0"/>
              <w:spacing w:after="0"/>
              <w:jc w:val="center"/>
              <w:rPr>
                <w:rFonts w:hint="default" w:ascii="Times New Roman" w:hAnsi="Times New Roman" w:cs="Times New Roman"/>
                <w:b/>
                <w:bCs w:val="0"/>
                <w:color w:val="000000"/>
                <w:sz w:val="24"/>
                <w:szCs w:val="24"/>
              </w:rPr>
            </w:pPr>
            <w:r>
              <w:rPr>
                <w:rFonts w:hint="default" w:ascii="Times New Roman" w:hAnsi="Times New Roman" w:cs="Times New Roman"/>
                <w:b/>
                <w:bCs w:val="0"/>
                <w:color w:val="000000"/>
                <w:sz w:val="24"/>
                <w:szCs w:val="24"/>
              </w:rPr>
              <w:t>经营者简介</w:t>
            </w:r>
          </w:p>
          <w:p w14:paraId="74920705">
            <w:pPr>
              <w:pStyle w:val="3"/>
              <w:adjustRightInd w:val="0"/>
              <w:snapToGrid w:val="0"/>
              <w:spacing w:after="0"/>
              <w:jc w:val="center"/>
              <w:rPr>
                <w:rFonts w:hint="default" w:ascii="Times New Roman" w:hAnsi="Times New Roman" w:cs="Times New Roman"/>
                <w:b/>
                <w:bCs w:val="0"/>
                <w:color w:val="000000"/>
                <w:sz w:val="24"/>
                <w:szCs w:val="24"/>
              </w:rPr>
            </w:pPr>
            <w:r>
              <w:rPr>
                <w:rFonts w:hint="default" w:ascii="Times New Roman" w:hAnsi="Times New Roman" w:cs="Times New Roman"/>
                <w:b/>
                <w:bCs w:val="0"/>
                <w:color w:val="000000"/>
                <w:sz w:val="24"/>
                <w:szCs w:val="24"/>
              </w:rPr>
              <w:t>（每个限100</w:t>
            </w:r>
          </w:p>
          <w:p w14:paraId="45F269A0">
            <w:pPr>
              <w:pStyle w:val="3"/>
              <w:adjustRightInd w:val="0"/>
              <w:snapToGrid w:val="0"/>
              <w:spacing w:after="0"/>
              <w:jc w:val="center"/>
              <w:rPr>
                <w:rFonts w:hint="default" w:ascii="Times New Roman" w:hAnsi="Times New Roman" w:cs="Times New Roman"/>
                <w:b/>
                <w:bCs w:val="0"/>
                <w:color w:val="000000"/>
                <w:szCs w:val="21"/>
              </w:rPr>
            </w:pPr>
            <w:r>
              <w:rPr>
                <w:rFonts w:hint="default" w:ascii="Times New Roman" w:hAnsi="Times New Roman" w:cs="Times New Roman"/>
                <w:b/>
                <w:bCs w:val="0"/>
                <w:color w:val="000000"/>
                <w:sz w:val="24"/>
                <w:szCs w:val="24"/>
              </w:rPr>
              <w:t>字以内）</w:t>
            </w:r>
          </w:p>
        </w:tc>
        <w:tc>
          <w:tcPr>
            <w:tcW w:w="1607" w:type="dxa"/>
            <w:vAlign w:val="center"/>
          </w:tcPr>
          <w:p w14:paraId="71C1AD14">
            <w:pPr>
              <w:pStyle w:val="3"/>
              <w:adjustRightInd w:val="0"/>
              <w:snapToGrid w:val="0"/>
              <w:spacing w:after="0"/>
              <w:rPr>
                <w:rFonts w:hint="default" w:ascii="Times New Roman" w:hAnsi="Times New Roman" w:eastAsia="宋体" w:cs="Times New Roman"/>
                <w:bCs/>
                <w:color w:val="000000"/>
                <w:sz w:val="22"/>
                <w:szCs w:val="22"/>
                <w:lang w:eastAsia="zh-CN"/>
              </w:rPr>
            </w:pPr>
            <w:r>
              <w:rPr>
                <w:rFonts w:hint="default" w:ascii="Times New Roman" w:hAnsi="Times New Roman" w:eastAsia="宋体" w:cs="Times New Roman"/>
                <w:bCs/>
                <w:color w:val="000000"/>
                <w:sz w:val="22"/>
                <w:szCs w:val="22"/>
                <w:lang w:bidi="ar-SA"/>
              </w:rPr>
              <w:t>1.</w:t>
            </w:r>
            <w:r>
              <w:rPr>
                <w:rFonts w:hint="eastAsia" w:cs="Times New Roman"/>
                <w:bCs/>
                <w:color w:val="000000"/>
                <w:sz w:val="22"/>
                <w:szCs w:val="22"/>
                <w:lang w:eastAsia="zh-CN" w:bidi="ar-SA"/>
              </w:rPr>
              <w:t>华睿欣能</w:t>
            </w:r>
          </w:p>
        </w:tc>
        <w:tc>
          <w:tcPr>
            <w:tcW w:w="6093" w:type="dxa"/>
            <w:vAlign w:val="center"/>
          </w:tcPr>
          <w:p w14:paraId="0419C3D7">
            <w:pPr>
              <w:widowControl/>
              <w:adjustRightInd w:val="0"/>
              <w:snapToGrid w:val="0"/>
              <w:jc w:val="left"/>
              <w:rPr>
                <w:rFonts w:hint="default" w:ascii="Times New Roman" w:hAnsi="Times New Roman" w:eastAsia="宋体" w:cs="Times New Roman"/>
                <w:bCs/>
                <w:color w:val="000000"/>
                <w:kern w:val="0"/>
                <w:sz w:val="22"/>
                <w:szCs w:val="22"/>
                <w:lang w:bidi="ar-AE"/>
              </w:rPr>
            </w:pPr>
            <w:r>
              <w:rPr>
                <w:rFonts w:hint="default" w:ascii="Times New Roman" w:hAnsi="Times New Roman" w:eastAsia="宋体" w:cs="Times New Roman"/>
                <w:bCs/>
                <w:color w:val="000000"/>
                <w:kern w:val="0"/>
                <w:sz w:val="22"/>
                <w:szCs w:val="22"/>
                <w:lang w:bidi="ar-AE"/>
              </w:rPr>
              <w:t>华睿欣能于2024年11月25日成立于广东省深圳市，主要业务为股权投资管理。</w:t>
            </w:r>
          </w:p>
          <w:p w14:paraId="2013C78C">
            <w:pPr>
              <w:widowControl/>
              <w:adjustRightInd w:val="0"/>
              <w:snapToGrid w:val="0"/>
              <w:jc w:val="left"/>
              <w:rPr>
                <w:rFonts w:hint="default" w:ascii="Times New Roman" w:hAnsi="Times New Roman" w:eastAsia="宋体" w:cs="Times New Roman"/>
                <w:bCs/>
                <w:color w:val="000000"/>
                <w:sz w:val="22"/>
                <w:szCs w:val="22"/>
                <w:lang w:eastAsia="zh-CN"/>
              </w:rPr>
            </w:pPr>
            <w:r>
              <w:rPr>
                <w:rFonts w:hint="default" w:ascii="Times New Roman" w:hAnsi="Times New Roman" w:eastAsia="宋体" w:cs="Times New Roman"/>
                <w:bCs/>
                <w:color w:val="000000"/>
                <w:kern w:val="0"/>
                <w:sz w:val="22"/>
                <w:szCs w:val="22"/>
                <w:lang w:bidi="ar-AE"/>
              </w:rPr>
              <w:t>华睿欣能最终控制人为深圳市龙岗区城市建设投资集团有限公司和中国南方电网有限责任公司。深圳市龙岗区城市建设投资集团有限公司主要从事土地整备及园区开发经营、物业管理和租赁、保障房运营服务管理等；中国南方电网有限责任公司主要从事南方五省区电力供应、区域电网管理、电力交易与调度业务。</w:t>
            </w:r>
          </w:p>
        </w:tc>
      </w:tr>
      <w:tr w14:paraId="743BA2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3" w:hRule="atLeast"/>
          <w:jc w:val="center"/>
        </w:trPr>
        <w:tc>
          <w:tcPr>
            <w:tcW w:w="1940" w:type="dxa"/>
            <w:vMerge w:val="continue"/>
            <w:shd w:val="clear" w:color="auto" w:fill="auto"/>
            <w:vAlign w:val="center"/>
          </w:tcPr>
          <w:p w14:paraId="2F5977A3">
            <w:pPr>
              <w:pStyle w:val="3"/>
              <w:adjustRightInd w:val="0"/>
              <w:snapToGrid w:val="0"/>
              <w:spacing w:after="0"/>
              <w:jc w:val="center"/>
              <w:rPr>
                <w:rFonts w:hint="default" w:ascii="Times New Roman" w:hAnsi="Times New Roman" w:cs="Times New Roman"/>
                <w:b/>
                <w:bCs w:val="0"/>
                <w:color w:val="000000"/>
                <w:sz w:val="24"/>
                <w:szCs w:val="24"/>
              </w:rPr>
            </w:pPr>
          </w:p>
        </w:tc>
        <w:tc>
          <w:tcPr>
            <w:tcW w:w="1607" w:type="dxa"/>
            <w:vAlign w:val="center"/>
          </w:tcPr>
          <w:p w14:paraId="2221A0A8">
            <w:pPr>
              <w:pStyle w:val="3"/>
              <w:adjustRightInd w:val="0"/>
              <w:snapToGrid w:val="0"/>
              <w:spacing w:after="0"/>
              <w:rPr>
                <w:rFonts w:hint="default" w:ascii="Times New Roman" w:hAnsi="Times New Roman" w:eastAsia="宋体" w:cs="Times New Roman"/>
                <w:bCs/>
                <w:color w:val="000000"/>
                <w:sz w:val="22"/>
                <w:szCs w:val="22"/>
                <w:lang w:eastAsia="zh-CN"/>
              </w:rPr>
            </w:pPr>
            <w:r>
              <w:rPr>
                <w:rFonts w:hint="default" w:ascii="Times New Roman" w:hAnsi="Times New Roman" w:cs="Times New Roman"/>
                <w:bCs/>
                <w:color w:val="000000"/>
                <w:sz w:val="22"/>
                <w:szCs w:val="22"/>
              </w:rPr>
              <w:t>2.</w:t>
            </w:r>
            <w:r>
              <w:rPr>
                <w:rFonts w:hint="eastAsia" w:cs="Times New Roman"/>
                <w:bCs/>
                <w:color w:val="000000"/>
                <w:sz w:val="22"/>
                <w:szCs w:val="22"/>
                <w:lang w:eastAsia="zh-CN"/>
              </w:rPr>
              <w:t>鹏能</w:t>
            </w:r>
          </w:p>
        </w:tc>
        <w:tc>
          <w:tcPr>
            <w:tcW w:w="6093" w:type="dxa"/>
            <w:vAlign w:val="center"/>
          </w:tcPr>
          <w:p w14:paraId="2E79FFE6">
            <w:pPr>
              <w:widowControl/>
              <w:adjustRightInd w:val="0"/>
              <w:snapToGrid w:val="0"/>
              <w:jc w:val="left"/>
              <w:rPr>
                <w:rFonts w:hint="default" w:ascii="Times New Roman" w:hAnsi="Times New Roman" w:eastAsia="宋体"/>
                <w:bCs/>
                <w:color w:val="000000"/>
                <w:kern w:val="0"/>
                <w:sz w:val="22"/>
                <w:szCs w:val="22"/>
                <w:lang w:bidi="ar-AE"/>
              </w:rPr>
            </w:pPr>
            <w:r>
              <w:rPr>
                <w:rFonts w:hint="default" w:ascii="Times New Roman" w:hAnsi="Times New Roman" w:eastAsia="宋体"/>
                <w:bCs/>
                <w:color w:val="000000"/>
                <w:kern w:val="0"/>
                <w:sz w:val="22"/>
                <w:szCs w:val="22"/>
                <w:lang w:bidi="ar-AE"/>
              </w:rPr>
              <w:t>鹏能于2006年6月27日成立于广东省深圳市，主要业务为输配电工程施工等。</w:t>
            </w:r>
          </w:p>
          <w:p w14:paraId="18326AE8">
            <w:pPr>
              <w:widowControl/>
              <w:adjustRightInd w:val="0"/>
              <w:snapToGrid w:val="0"/>
              <w:jc w:val="left"/>
              <w:rPr>
                <w:rFonts w:hint="default" w:ascii="Times New Roman" w:hAnsi="Times New Roman" w:eastAsia="宋体" w:cs="Times New Roman"/>
                <w:bCs/>
                <w:color w:val="000000"/>
                <w:kern w:val="2"/>
                <w:sz w:val="22"/>
                <w:szCs w:val="22"/>
                <w:lang w:bidi="ar-AE"/>
              </w:rPr>
            </w:pPr>
            <w:r>
              <w:rPr>
                <w:rFonts w:hint="default" w:ascii="Times New Roman" w:hAnsi="Times New Roman" w:eastAsia="宋体"/>
                <w:bCs/>
                <w:color w:val="000000"/>
                <w:kern w:val="0"/>
                <w:sz w:val="22"/>
                <w:szCs w:val="22"/>
                <w:lang w:bidi="ar-AE"/>
              </w:rPr>
              <w:t>鹏能最终控制人为中国南方电网有限责任公司，主要从事南方五省区电力供应、区域电网管理、电力交易与调度业务。</w:t>
            </w:r>
          </w:p>
        </w:tc>
      </w:tr>
      <w:tr w14:paraId="1DC308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3" w:hRule="atLeast"/>
          <w:jc w:val="center"/>
        </w:trPr>
        <w:tc>
          <w:tcPr>
            <w:tcW w:w="1940" w:type="dxa"/>
            <w:vMerge w:val="continue"/>
            <w:shd w:val="clear" w:color="auto" w:fill="auto"/>
            <w:vAlign w:val="center"/>
          </w:tcPr>
          <w:p w14:paraId="68217B36">
            <w:pPr>
              <w:pStyle w:val="3"/>
              <w:adjustRightInd w:val="0"/>
              <w:snapToGrid w:val="0"/>
              <w:spacing w:after="0"/>
              <w:jc w:val="center"/>
              <w:rPr>
                <w:rFonts w:hint="default" w:ascii="Times New Roman" w:hAnsi="Times New Roman" w:cs="Times New Roman"/>
                <w:b/>
                <w:bCs w:val="0"/>
                <w:color w:val="000000"/>
                <w:sz w:val="24"/>
                <w:szCs w:val="24"/>
              </w:rPr>
            </w:pPr>
          </w:p>
        </w:tc>
        <w:tc>
          <w:tcPr>
            <w:tcW w:w="1607" w:type="dxa"/>
            <w:vAlign w:val="center"/>
          </w:tcPr>
          <w:p w14:paraId="0B219B3D">
            <w:pPr>
              <w:pStyle w:val="3"/>
              <w:adjustRightInd w:val="0"/>
              <w:snapToGrid w:val="0"/>
              <w:spacing w:after="0"/>
              <w:rPr>
                <w:rFonts w:hint="default" w:ascii="Times New Roman" w:hAnsi="Times New Roman" w:eastAsia="宋体" w:cs="Times New Roman"/>
                <w:bCs/>
                <w:color w:val="000000"/>
                <w:sz w:val="22"/>
                <w:szCs w:val="22"/>
                <w:lang w:val="en-US" w:eastAsia="zh-CN"/>
              </w:rPr>
            </w:pPr>
            <w:r>
              <w:rPr>
                <w:rFonts w:hint="eastAsia" w:cs="Times New Roman"/>
                <w:bCs/>
                <w:color w:val="000000"/>
                <w:sz w:val="22"/>
                <w:szCs w:val="22"/>
                <w:lang w:val="en-US" w:eastAsia="zh-CN"/>
              </w:rPr>
              <w:t>3.鹏达</w:t>
            </w:r>
          </w:p>
        </w:tc>
        <w:tc>
          <w:tcPr>
            <w:tcW w:w="6093" w:type="dxa"/>
            <w:vAlign w:val="center"/>
          </w:tcPr>
          <w:p w14:paraId="63A8C0E3">
            <w:pPr>
              <w:widowControl/>
              <w:adjustRightInd w:val="0"/>
              <w:snapToGrid w:val="0"/>
              <w:jc w:val="left"/>
              <w:rPr>
                <w:rFonts w:hint="default" w:ascii="Times New Roman" w:hAnsi="Times New Roman" w:eastAsia="宋体"/>
                <w:bCs/>
                <w:color w:val="000000"/>
                <w:kern w:val="0"/>
                <w:sz w:val="22"/>
                <w:szCs w:val="22"/>
                <w:lang w:bidi="ar-AE"/>
              </w:rPr>
            </w:pPr>
            <w:r>
              <w:rPr>
                <w:rFonts w:hint="default" w:ascii="Times New Roman" w:hAnsi="Times New Roman" w:eastAsia="宋体"/>
                <w:bCs/>
                <w:color w:val="000000"/>
                <w:kern w:val="0"/>
                <w:sz w:val="22"/>
                <w:szCs w:val="22"/>
                <w:lang w:bidi="ar-AE"/>
              </w:rPr>
              <w:t>深鹏达于2006年11月29日成立于广东省深圳市，主要业务为电力行业网络通信系统设计、开发、建设施工等。</w:t>
            </w:r>
          </w:p>
          <w:p w14:paraId="1138DEFB">
            <w:pPr>
              <w:widowControl/>
              <w:adjustRightInd w:val="0"/>
              <w:snapToGrid w:val="0"/>
              <w:jc w:val="left"/>
              <w:rPr>
                <w:rFonts w:hint="default" w:ascii="Times New Roman" w:hAnsi="Times New Roman" w:eastAsia="宋体"/>
                <w:bCs/>
                <w:color w:val="000000"/>
                <w:kern w:val="0"/>
                <w:sz w:val="22"/>
                <w:szCs w:val="22"/>
                <w:lang w:bidi="ar-AE"/>
              </w:rPr>
            </w:pPr>
            <w:r>
              <w:rPr>
                <w:rFonts w:hint="default" w:ascii="Times New Roman" w:hAnsi="Times New Roman" w:eastAsia="宋体"/>
                <w:bCs/>
                <w:color w:val="000000"/>
                <w:kern w:val="0"/>
                <w:sz w:val="22"/>
                <w:szCs w:val="22"/>
                <w:lang w:bidi="ar-AE"/>
              </w:rPr>
              <w:t>深鹏达最终控制人为中国南方电网有限责任公司，主要从事南方五省区电力供应、区域电网管理、电力交易与调度业务。</w:t>
            </w:r>
          </w:p>
        </w:tc>
      </w:tr>
      <w:tr w14:paraId="2C64B9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3" w:hRule="atLeast"/>
          <w:jc w:val="center"/>
        </w:trPr>
        <w:tc>
          <w:tcPr>
            <w:tcW w:w="1940" w:type="dxa"/>
            <w:vMerge w:val="continue"/>
            <w:shd w:val="clear" w:color="auto" w:fill="auto"/>
            <w:vAlign w:val="center"/>
          </w:tcPr>
          <w:p w14:paraId="3FE36B6B">
            <w:pPr>
              <w:pStyle w:val="3"/>
              <w:adjustRightInd w:val="0"/>
              <w:snapToGrid w:val="0"/>
              <w:spacing w:after="0"/>
              <w:jc w:val="center"/>
              <w:rPr>
                <w:rFonts w:hint="default" w:ascii="Times New Roman" w:hAnsi="Times New Roman" w:cs="Times New Roman"/>
                <w:b/>
                <w:bCs w:val="0"/>
                <w:color w:val="000000"/>
                <w:sz w:val="24"/>
                <w:szCs w:val="24"/>
              </w:rPr>
            </w:pPr>
          </w:p>
        </w:tc>
        <w:tc>
          <w:tcPr>
            <w:tcW w:w="1607" w:type="dxa"/>
            <w:vAlign w:val="center"/>
          </w:tcPr>
          <w:p w14:paraId="0EDECF52">
            <w:pPr>
              <w:pStyle w:val="3"/>
              <w:adjustRightInd w:val="0"/>
              <w:snapToGrid w:val="0"/>
              <w:spacing w:after="0"/>
              <w:rPr>
                <w:rFonts w:hint="default" w:ascii="Times New Roman" w:hAnsi="Times New Roman" w:eastAsia="宋体" w:cs="Times New Roman"/>
                <w:bCs/>
                <w:color w:val="000000"/>
                <w:sz w:val="22"/>
                <w:szCs w:val="22"/>
                <w:lang w:val="en-US" w:eastAsia="zh-CN"/>
              </w:rPr>
            </w:pPr>
            <w:r>
              <w:rPr>
                <w:rFonts w:hint="eastAsia" w:cs="Times New Roman"/>
                <w:bCs/>
                <w:color w:val="000000"/>
                <w:sz w:val="22"/>
                <w:szCs w:val="22"/>
                <w:lang w:val="en-US" w:eastAsia="zh-CN"/>
              </w:rPr>
              <w:t>4.电达</w:t>
            </w:r>
          </w:p>
        </w:tc>
        <w:tc>
          <w:tcPr>
            <w:tcW w:w="6093" w:type="dxa"/>
            <w:vAlign w:val="center"/>
          </w:tcPr>
          <w:p w14:paraId="50FE2794">
            <w:pPr>
              <w:widowControl/>
              <w:adjustRightInd w:val="0"/>
              <w:snapToGrid w:val="0"/>
              <w:jc w:val="left"/>
              <w:rPr>
                <w:rFonts w:hint="default" w:ascii="Times New Roman" w:hAnsi="Times New Roman" w:eastAsia="宋体"/>
                <w:bCs/>
                <w:color w:val="000000"/>
                <w:kern w:val="0"/>
                <w:sz w:val="22"/>
                <w:szCs w:val="22"/>
                <w:lang w:bidi="ar-AE"/>
              </w:rPr>
            </w:pPr>
            <w:r>
              <w:rPr>
                <w:rFonts w:hint="default" w:ascii="Times New Roman" w:hAnsi="Times New Roman" w:eastAsia="宋体"/>
                <w:bCs/>
                <w:color w:val="000000"/>
                <w:kern w:val="0"/>
                <w:sz w:val="22"/>
                <w:szCs w:val="22"/>
                <w:lang w:bidi="ar-AE"/>
              </w:rPr>
              <w:t>电达于1987年8月24日成立于广东省深圳市，主要业务为设备销售、工程施工、租赁业务等。</w:t>
            </w:r>
          </w:p>
          <w:p w14:paraId="2E257B61">
            <w:pPr>
              <w:widowControl/>
              <w:adjustRightInd w:val="0"/>
              <w:snapToGrid w:val="0"/>
              <w:jc w:val="left"/>
              <w:rPr>
                <w:rFonts w:hint="default" w:ascii="Times New Roman" w:hAnsi="Times New Roman" w:eastAsia="宋体"/>
                <w:bCs/>
                <w:color w:val="000000"/>
                <w:kern w:val="0"/>
                <w:sz w:val="22"/>
                <w:szCs w:val="22"/>
                <w:lang w:bidi="ar-AE"/>
              </w:rPr>
            </w:pPr>
            <w:r>
              <w:rPr>
                <w:rFonts w:hint="default" w:ascii="Times New Roman" w:hAnsi="Times New Roman" w:eastAsia="宋体"/>
                <w:bCs/>
                <w:color w:val="000000"/>
                <w:kern w:val="0"/>
                <w:sz w:val="22"/>
                <w:szCs w:val="22"/>
                <w:lang w:bidi="ar-AE"/>
              </w:rPr>
              <w:t>电达最终控制人为中国南方电网有限责任公司，主要从事南方五省区电力供应、区域电网管理、电力交易与调度业务。</w:t>
            </w:r>
          </w:p>
        </w:tc>
      </w:tr>
      <w:tr w14:paraId="1059F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1940" w:type="dxa"/>
            <w:vMerge w:val="restart"/>
            <w:shd w:val="clear" w:color="auto" w:fill="auto"/>
            <w:vAlign w:val="center"/>
          </w:tcPr>
          <w:p w14:paraId="685C503D">
            <w:pPr>
              <w:pStyle w:val="3"/>
              <w:adjustRightInd w:val="0"/>
              <w:snapToGrid w:val="0"/>
              <w:spacing w:after="0"/>
              <w:jc w:val="center"/>
              <w:rPr>
                <w:rFonts w:hint="default" w:ascii="Times New Roman" w:hAnsi="Times New Roman" w:cs="Times New Roman"/>
                <w:b/>
                <w:bCs w:val="0"/>
                <w:color w:val="000000"/>
                <w:sz w:val="24"/>
                <w:szCs w:val="24"/>
              </w:rPr>
            </w:pPr>
            <w:r>
              <w:rPr>
                <w:rFonts w:hint="default" w:ascii="Times New Roman" w:hAnsi="Times New Roman" w:cs="Times New Roman"/>
                <w:b/>
                <w:bCs w:val="0"/>
                <w:color w:val="000000"/>
                <w:sz w:val="24"/>
                <w:szCs w:val="24"/>
              </w:rPr>
              <w:t>简易案件理由（可以单选，</w:t>
            </w:r>
          </w:p>
          <w:p w14:paraId="16CE6E25">
            <w:pPr>
              <w:pStyle w:val="3"/>
              <w:adjustRightInd w:val="0"/>
              <w:snapToGrid w:val="0"/>
              <w:spacing w:after="0"/>
              <w:jc w:val="center"/>
              <w:rPr>
                <w:rFonts w:hint="default" w:ascii="Times New Roman" w:hAnsi="Times New Roman" w:cs="Times New Roman"/>
                <w:b/>
                <w:bCs w:val="0"/>
                <w:color w:val="000000"/>
                <w:szCs w:val="21"/>
              </w:rPr>
            </w:pPr>
            <w:r>
              <w:rPr>
                <w:rFonts w:hint="default" w:ascii="Times New Roman" w:hAnsi="Times New Roman" w:cs="Times New Roman"/>
                <w:b/>
                <w:bCs w:val="0"/>
                <w:color w:val="000000"/>
                <w:sz w:val="24"/>
                <w:szCs w:val="24"/>
              </w:rPr>
              <w:t>也可以多选）</w:t>
            </w:r>
          </w:p>
        </w:tc>
        <w:tc>
          <w:tcPr>
            <w:tcW w:w="7700" w:type="dxa"/>
            <w:gridSpan w:val="2"/>
            <w:vAlign w:val="center"/>
          </w:tcPr>
          <w:p w14:paraId="69573F54">
            <w:pPr>
              <w:pStyle w:val="3"/>
              <w:adjustRightInd w:val="0"/>
              <w:snapToGrid w:val="0"/>
              <w:spacing w:after="0"/>
              <w:rPr>
                <w:rFonts w:hint="default" w:ascii="Times New Roman" w:hAnsi="Times New Roman" w:cs="Times New Roman"/>
                <w:bCs/>
                <w:color w:val="000000"/>
                <w:sz w:val="22"/>
                <w:szCs w:val="22"/>
              </w:rPr>
            </w:pPr>
            <w:r>
              <w:rPr>
                <w:rFonts w:hint="default" w:ascii="Times New Roman" w:hAnsi="Times New Roman" w:cs="Times New Roman"/>
                <w:bCs/>
                <w:color w:val="000000"/>
                <w:sz w:val="22"/>
                <w:szCs w:val="22"/>
              </w:rPr>
              <w:sym w:font="Wingdings" w:char="00A8"/>
            </w:r>
            <w:r>
              <w:rPr>
                <w:rFonts w:hint="default" w:ascii="Times New Roman" w:hAnsi="Times New Roman" w:cs="Times New Roman"/>
                <w:bCs/>
                <w:color w:val="000000"/>
                <w:sz w:val="22"/>
                <w:szCs w:val="22"/>
              </w:rPr>
              <w:t xml:space="preserve"> 1、在同一相关市场，所有参与集中的经营者所占市场份额之和小于15%。</w:t>
            </w:r>
          </w:p>
        </w:tc>
      </w:tr>
      <w:tr w14:paraId="2AA8E5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1940" w:type="dxa"/>
            <w:vMerge w:val="continue"/>
            <w:shd w:val="clear" w:color="auto" w:fill="auto"/>
            <w:vAlign w:val="center"/>
          </w:tcPr>
          <w:p w14:paraId="2FFCE329">
            <w:pPr>
              <w:pStyle w:val="3"/>
              <w:adjustRightInd w:val="0"/>
              <w:snapToGrid w:val="0"/>
              <w:spacing w:after="0"/>
              <w:jc w:val="center"/>
              <w:rPr>
                <w:rFonts w:hint="default" w:ascii="Times New Roman" w:hAnsi="Times New Roman" w:cs="Times New Roman"/>
                <w:b/>
                <w:bCs w:val="0"/>
                <w:color w:val="000000"/>
                <w:szCs w:val="21"/>
              </w:rPr>
            </w:pPr>
          </w:p>
        </w:tc>
        <w:tc>
          <w:tcPr>
            <w:tcW w:w="7700" w:type="dxa"/>
            <w:gridSpan w:val="2"/>
            <w:vAlign w:val="center"/>
          </w:tcPr>
          <w:p w14:paraId="1140157D">
            <w:pPr>
              <w:pStyle w:val="3"/>
              <w:adjustRightInd w:val="0"/>
              <w:snapToGrid w:val="0"/>
              <w:spacing w:after="0"/>
              <w:rPr>
                <w:rFonts w:hint="default" w:ascii="Times New Roman" w:hAnsi="Times New Roman" w:cs="Times New Roman"/>
                <w:bCs/>
                <w:color w:val="000000"/>
                <w:sz w:val="22"/>
                <w:szCs w:val="22"/>
              </w:rPr>
            </w:pPr>
            <w:r>
              <w:rPr>
                <w:rFonts w:hint="default" w:ascii="Times New Roman" w:hAnsi="Times New Roman" w:cs="Times New Roman"/>
                <w:bCs/>
                <w:color w:val="000000"/>
                <w:sz w:val="22"/>
                <w:szCs w:val="22"/>
              </w:rPr>
              <w:sym w:font="Wingdings" w:char="00A8"/>
            </w:r>
            <w:r>
              <w:rPr>
                <w:rFonts w:hint="default" w:ascii="Times New Roman" w:hAnsi="Times New Roman" w:cs="Times New Roman"/>
                <w:bCs/>
                <w:color w:val="000000"/>
                <w:sz w:val="22"/>
                <w:szCs w:val="22"/>
              </w:rPr>
              <w:t xml:space="preserve"> 2、存在上下游关系的参与集中的经营者，在上下游市场所占的市场份额均小于25%。</w:t>
            </w:r>
          </w:p>
        </w:tc>
      </w:tr>
      <w:tr w14:paraId="29BB35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1940" w:type="dxa"/>
            <w:vMerge w:val="continue"/>
            <w:shd w:val="clear" w:color="auto" w:fill="auto"/>
            <w:vAlign w:val="center"/>
          </w:tcPr>
          <w:p w14:paraId="74C370DC">
            <w:pPr>
              <w:pStyle w:val="3"/>
              <w:adjustRightInd w:val="0"/>
              <w:snapToGrid w:val="0"/>
              <w:spacing w:after="0"/>
              <w:jc w:val="center"/>
              <w:rPr>
                <w:rFonts w:hint="default" w:ascii="Times New Roman" w:hAnsi="Times New Roman" w:cs="Times New Roman"/>
                <w:b/>
                <w:bCs w:val="0"/>
                <w:color w:val="000000"/>
                <w:szCs w:val="21"/>
              </w:rPr>
            </w:pPr>
          </w:p>
        </w:tc>
        <w:tc>
          <w:tcPr>
            <w:tcW w:w="7700" w:type="dxa"/>
            <w:gridSpan w:val="2"/>
            <w:vAlign w:val="center"/>
          </w:tcPr>
          <w:p w14:paraId="502FD4B2">
            <w:pPr>
              <w:pStyle w:val="3"/>
              <w:adjustRightInd w:val="0"/>
              <w:snapToGrid w:val="0"/>
              <w:spacing w:after="0"/>
              <w:rPr>
                <w:rFonts w:hint="default" w:ascii="Times New Roman" w:hAnsi="Times New Roman" w:cs="Times New Roman"/>
                <w:bCs/>
                <w:color w:val="000000"/>
                <w:sz w:val="22"/>
                <w:szCs w:val="22"/>
              </w:rPr>
            </w:pPr>
            <w:r>
              <w:rPr>
                <w:rFonts w:hint="default" w:ascii="Times New Roman" w:hAnsi="Times New Roman" w:cs="Times New Roman"/>
                <w:bCs/>
                <w:color w:val="000000"/>
                <w:sz w:val="22"/>
                <w:szCs w:val="22"/>
              </w:rPr>
              <w:sym w:font="Wingdings" w:char="00FE"/>
            </w:r>
            <w:r>
              <w:rPr>
                <w:rFonts w:hint="default" w:ascii="Times New Roman" w:hAnsi="Times New Roman" w:cs="Times New Roman"/>
                <w:bCs/>
                <w:color w:val="000000"/>
                <w:sz w:val="22"/>
                <w:szCs w:val="22"/>
              </w:rPr>
              <w:t xml:space="preserve">  3、不在同一相关市场、也不存在上下游关系的参与集中的经营者，在与交易有关的每个市场所占的份额均小于25%。</w:t>
            </w:r>
          </w:p>
        </w:tc>
      </w:tr>
      <w:tr w14:paraId="676DD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1940" w:type="dxa"/>
            <w:vMerge w:val="continue"/>
            <w:shd w:val="clear" w:color="auto" w:fill="auto"/>
            <w:vAlign w:val="center"/>
          </w:tcPr>
          <w:p w14:paraId="588C7D0C">
            <w:pPr>
              <w:pStyle w:val="3"/>
              <w:adjustRightInd w:val="0"/>
              <w:snapToGrid w:val="0"/>
              <w:spacing w:after="0"/>
              <w:jc w:val="center"/>
              <w:rPr>
                <w:rFonts w:hint="default" w:ascii="Times New Roman" w:hAnsi="Times New Roman" w:cs="Times New Roman"/>
                <w:b/>
                <w:bCs w:val="0"/>
                <w:color w:val="000000"/>
                <w:szCs w:val="21"/>
              </w:rPr>
            </w:pPr>
          </w:p>
        </w:tc>
        <w:tc>
          <w:tcPr>
            <w:tcW w:w="7700" w:type="dxa"/>
            <w:gridSpan w:val="2"/>
            <w:vAlign w:val="center"/>
          </w:tcPr>
          <w:p w14:paraId="105D3FCD">
            <w:pPr>
              <w:pStyle w:val="3"/>
              <w:adjustRightInd w:val="0"/>
              <w:snapToGrid w:val="0"/>
              <w:spacing w:after="0"/>
              <w:rPr>
                <w:rFonts w:hint="default" w:ascii="Times New Roman" w:hAnsi="Times New Roman" w:cs="Times New Roman"/>
                <w:bCs/>
                <w:color w:val="000000"/>
                <w:sz w:val="22"/>
                <w:szCs w:val="22"/>
              </w:rPr>
            </w:pPr>
            <w:r>
              <w:rPr>
                <w:rFonts w:hint="default" w:ascii="Times New Roman" w:hAnsi="Times New Roman" w:cs="Times New Roman"/>
                <w:bCs/>
                <w:color w:val="000000"/>
                <w:sz w:val="22"/>
                <w:szCs w:val="22"/>
              </w:rPr>
              <w:sym w:font="Wingdings" w:char="00A8"/>
            </w:r>
            <w:r>
              <w:rPr>
                <w:rFonts w:hint="default" w:ascii="Times New Roman" w:hAnsi="Times New Roman" w:cs="Times New Roman"/>
                <w:bCs/>
                <w:color w:val="000000"/>
                <w:sz w:val="22"/>
                <w:szCs w:val="22"/>
              </w:rPr>
              <w:t xml:space="preserve"> 4、参与集中的经营者在中国境外设立合营企业，合营企业不在中国境内从事经济活动。</w:t>
            </w:r>
          </w:p>
        </w:tc>
      </w:tr>
      <w:tr w14:paraId="3C238E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1940" w:type="dxa"/>
            <w:vMerge w:val="continue"/>
            <w:shd w:val="clear" w:color="auto" w:fill="auto"/>
            <w:vAlign w:val="center"/>
          </w:tcPr>
          <w:p w14:paraId="14B6C614">
            <w:pPr>
              <w:pStyle w:val="3"/>
              <w:adjustRightInd w:val="0"/>
              <w:snapToGrid w:val="0"/>
              <w:spacing w:after="0"/>
              <w:jc w:val="center"/>
              <w:rPr>
                <w:rFonts w:hint="default" w:ascii="Times New Roman" w:hAnsi="Times New Roman" w:cs="Times New Roman"/>
                <w:b/>
                <w:bCs w:val="0"/>
                <w:color w:val="000000"/>
                <w:szCs w:val="21"/>
              </w:rPr>
            </w:pPr>
          </w:p>
        </w:tc>
        <w:tc>
          <w:tcPr>
            <w:tcW w:w="7700" w:type="dxa"/>
            <w:gridSpan w:val="2"/>
            <w:vAlign w:val="center"/>
          </w:tcPr>
          <w:p w14:paraId="111BC236">
            <w:pPr>
              <w:pStyle w:val="3"/>
              <w:adjustRightInd w:val="0"/>
              <w:snapToGrid w:val="0"/>
              <w:spacing w:after="0"/>
              <w:rPr>
                <w:rFonts w:hint="default" w:ascii="Times New Roman" w:hAnsi="Times New Roman" w:cs="Times New Roman"/>
                <w:bCs/>
                <w:color w:val="000000"/>
                <w:sz w:val="22"/>
                <w:szCs w:val="22"/>
              </w:rPr>
            </w:pPr>
            <w:r>
              <w:rPr>
                <w:rFonts w:hint="default" w:ascii="Times New Roman" w:hAnsi="Times New Roman" w:cs="Times New Roman"/>
                <w:bCs/>
                <w:color w:val="000000"/>
                <w:sz w:val="22"/>
                <w:szCs w:val="22"/>
              </w:rPr>
              <w:sym w:font="Wingdings" w:char="00A8"/>
            </w:r>
            <w:r>
              <w:rPr>
                <w:rFonts w:hint="default" w:ascii="Times New Roman" w:hAnsi="Times New Roman" w:cs="Times New Roman"/>
                <w:bCs/>
                <w:color w:val="000000"/>
                <w:sz w:val="22"/>
                <w:szCs w:val="22"/>
              </w:rPr>
              <w:t xml:space="preserve"> 5、参与集中的经营者收购境外企业股权或资产的，该境外企业不在中国境内从事经济活动。</w:t>
            </w:r>
          </w:p>
        </w:tc>
      </w:tr>
      <w:tr w14:paraId="5AC639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1940" w:type="dxa"/>
            <w:vMerge w:val="continue"/>
            <w:shd w:val="clear" w:color="auto" w:fill="auto"/>
            <w:vAlign w:val="center"/>
          </w:tcPr>
          <w:p w14:paraId="08A1FDF9">
            <w:pPr>
              <w:pStyle w:val="3"/>
              <w:adjustRightInd w:val="0"/>
              <w:snapToGrid w:val="0"/>
              <w:spacing w:after="0"/>
              <w:jc w:val="center"/>
              <w:rPr>
                <w:rFonts w:hint="default" w:ascii="Times New Roman" w:hAnsi="Times New Roman" w:cs="Times New Roman"/>
                <w:b/>
                <w:bCs w:val="0"/>
                <w:color w:val="000000"/>
                <w:szCs w:val="21"/>
              </w:rPr>
            </w:pPr>
          </w:p>
        </w:tc>
        <w:tc>
          <w:tcPr>
            <w:tcW w:w="7700" w:type="dxa"/>
            <w:gridSpan w:val="2"/>
            <w:vAlign w:val="center"/>
          </w:tcPr>
          <w:p w14:paraId="1B4353FD">
            <w:pPr>
              <w:pStyle w:val="3"/>
              <w:adjustRightInd w:val="0"/>
              <w:snapToGrid w:val="0"/>
              <w:spacing w:after="0"/>
              <w:rPr>
                <w:rFonts w:hint="default" w:ascii="Times New Roman" w:hAnsi="Times New Roman" w:cs="Times New Roman"/>
                <w:bCs/>
                <w:color w:val="000000"/>
                <w:sz w:val="22"/>
                <w:szCs w:val="22"/>
              </w:rPr>
            </w:pPr>
            <w:r>
              <w:rPr>
                <w:rFonts w:hint="default" w:ascii="Times New Roman" w:hAnsi="Times New Roman" w:cs="Times New Roman"/>
                <w:bCs/>
                <w:color w:val="000000"/>
                <w:sz w:val="22"/>
                <w:szCs w:val="22"/>
              </w:rPr>
              <w:sym w:font="Wingdings" w:char="00A8"/>
            </w:r>
            <w:r>
              <w:rPr>
                <w:rFonts w:hint="default" w:ascii="Times New Roman" w:hAnsi="Times New Roman" w:cs="Times New Roman"/>
                <w:bCs/>
                <w:color w:val="000000"/>
                <w:sz w:val="22"/>
                <w:szCs w:val="22"/>
              </w:rPr>
              <w:t xml:space="preserve"> 6、由两个以上的经营者共同控制的合营企业，通过集中被其中一个或一个以上经营者控制。</w:t>
            </w:r>
          </w:p>
        </w:tc>
      </w:tr>
      <w:tr w14:paraId="3E976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9" w:hRule="atLeast"/>
          <w:jc w:val="center"/>
        </w:trPr>
        <w:tc>
          <w:tcPr>
            <w:tcW w:w="1940" w:type="dxa"/>
            <w:shd w:val="clear" w:color="auto" w:fill="auto"/>
            <w:vAlign w:val="center"/>
          </w:tcPr>
          <w:p w14:paraId="69DDAB62">
            <w:pPr>
              <w:pStyle w:val="3"/>
              <w:adjustRightInd w:val="0"/>
              <w:snapToGrid w:val="0"/>
              <w:spacing w:after="0"/>
              <w:jc w:val="center"/>
              <w:rPr>
                <w:rFonts w:hint="default" w:ascii="Times New Roman" w:hAnsi="Times New Roman" w:cs="Times New Roman"/>
                <w:b/>
                <w:bCs w:val="0"/>
                <w:color w:val="000000"/>
                <w:szCs w:val="21"/>
              </w:rPr>
            </w:pPr>
            <w:r>
              <w:rPr>
                <w:rFonts w:hint="default" w:ascii="Times New Roman" w:hAnsi="Times New Roman" w:cs="Times New Roman"/>
                <w:b/>
                <w:bCs w:val="0"/>
                <w:color w:val="000000"/>
                <w:sz w:val="24"/>
                <w:szCs w:val="24"/>
              </w:rPr>
              <w:t>备注</w:t>
            </w:r>
          </w:p>
        </w:tc>
        <w:tc>
          <w:tcPr>
            <w:tcW w:w="7700" w:type="dxa"/>
            <w:gridSpan w:val="2"/>
            <w:vAlign w:val="center"/>
          </w:tcPr>
          <w:p w14:paraId="77B63DA4">
            <w:pPr>
              <w:pStyle w:val="3"/>
              <w:adjustRightInd w:val="0"/>
              <w:snapToGrid w:val="0"/>
              <w:spacing w:after="0" w:line="240" w:lineRule="auto"/>
              <w:rPr>
                <w:rFonts w:hint="eastAsia" w:cs="Times New Roman"/>
                <w:b/>
                <w:bCs w:val="0"/>
                <w:color w:val="000000"/>
                <w:sz w:val="22"/>
                <w:szCs w:val="22"/>
                <w:lang w:eastAsia="zh-CN" w:bidi="ar-AE"/>
              </w:rPr>
            </w:pPr>
            <w:r>
              <w:rPr>
                <w:rFonts w:hint="eastAsia" w:cs="Times New Roman"/>
                <w:b/>
                <w:bCs w:val="0"/>
                <w:color w:val="000000"/>
                <w:sz w:val="22"/>
                <w:szCs w:val="22"/>
                <w:lang w:eastAsia="zh-CN" w:bidi="ar-AE"/>
              </w:rPr>
              <w:t>混合集中：</w:t>
            </w:r>
          </w:p>
          <w:p w14:paraId="220B5E72">
            <w:pPr>
              <w:pStyle w:val="3"/>
              <w:adjustRightInd w:val="0"/>
              <w:snapToGrid w:val="0"/>
              <w:spacing w:after="0" w:line="240" w:lineRule="auto"/>
              <w:rPr>
                <w:rFonts w:hint="eastAsia" w:cs="Times New Roman"/>
                <w:b w:val="0"/>
                <w:bCs/>
                <w:color w:val="000000"/>
                <w:sz w:val="22"/>
                <w:szCs w:val="22"/>
                <w:lang w:eastAsia="zh-CN" w:bidi="ar-AE"/>
              </w:rPr>
            </w:pPr>
            <w:r>
              <w:rPr>
                <w:rFonts w:hint="eastAsia" w:cs="Times New Roman"/>
                <w:b w:val="0"/>
                <w:bCs/>
                <w:color w:val="000000"/>
                <w:sz w:val="22"/>
                <w:szCs w:val="22"/>
                <w:lang w:eastAsia="zh-CN" w:bidi="ar-AE"/>
              </w:rPr>
              <w:t>2023年中国境内输配电工程施工市场:</w:t>
            </w:r>
          </w:p>
          <w:p w14:paraId="448EA4B3">
            <w:pPr>
              <w:pStyle w:val="3"/>
              <w:adjustRightInd w:val="0"/>
              <w:snapToGrid w:val="0"/>
              <w:spacing w:after="0" w:line="240" w:lineRule="auto"/>
              <w:rPr>
                <w:rFonts w:hint="default" w:ascii="Times New Roman" w:hAnsi="Times New Roman" w:eastAsia="宋体" w:cs="Times New Roman"/>
                <w:b w:val="0"/>
                <w:bCs/>
                <w:color w:val="000000"/>
                <w:sz w:val="22"/>
                <w:szCs w:val="22"/>
                <w:lang w:eastAsia="zh-CN" w:bidi="ar-SA"/>
              </w:rPr>
            </w:pPr>
            <w:r>
              <w:rPr>
                <w:rFonts w:hint="eastAsia" w:cs="Times New Roman"/>
                <w:b w:val="0"/>
                <w:bCs/>
                <w:color w:val="000000"/>
                <w:sz w:val="22"/>
                <w:szCs w:val="22"/>
                <w:lang w:eastAsia="zh-CN" w:bidi="ar-AE"/>
              </w:rPr>
              <w:t>鹏能、鹏达及电达合计：0-5%</w:t>
            </w:r>
          </w:p>
          <w:p w14:paraId="1E2E6416">
            <w:pPr>
              <w:pStyle w:val="3"/>
              <w:adjustRightInd w:val="0"/>
              <w:snapToGrid w:val="0"/>
              <w:spacing w:after="0"/>
              <w:rPr>
                <w:rFonts w:hint="default" w:ascii="Times New Roman" w:hAnsi="Times New Roman" w:cs="Times New Roman"/>
                <w:bCs/>
                <w:color w:val="000000"/>
                <w:szCs w:val="21"/>
              </w:rPr>
            </w:pPr>
          </w:p>
        </w:tc>
      </w:tr>
    </w:tbl>
    <w:p w14:paraId="4C25D33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简体">
    <w:panose1 w:val="02010601030101010101"/>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F75133C"/>
    <w:rsid w:val="0F7513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99"/>
  </w:style>
  <w:style w:type="paragraph" w:styleId="3">
    <w:name w:val="Body Text"/>
    <w:basedOn w:val="1"/>
    <w:next w:val="4"/>
    <w:unhideWhenUsed/>
    <w:qFormat/>
    <w:uiPriority w:val="99"/>
    <w:pPr>
      <w:spacing w:after="120"/>
    </w:pPr>
  </w:style>
  <w:style w:type="paragraph" w:styleId="4">
    <w:name w:val="Body Text First Indent"/>
    <w:basedOn w:val="3"/>
    <w:qFormat/>
    <w:uiPriority w:val="0"/>
    <w:pPr>
      <w:ind w:firstLine="420" w:firstLineChars="1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省市场监督管理局</Company>
  <Pages>2</Pages>
  <Words>0</Words>
  <Characters>0</Characters>
  <Lines>0</Lines>
  <Paragraphs>0</Paragraphs>
  <TotalTime>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2025-01-23T02:13:00Z</dcterms:created>
  <dc:creator>胡翌婧</dc:creator>
  <cp:lastModifiedBy>胡翌婧</cp:lastModifiedBy>
  <dcterms:modified xsi:type="dcterms:W3CDTF">2025-01-23T02:13:49Z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67E91D8346C8437B8D47DEBB75445B2B_11</vt:lpwstr>
  </property>
  <property fmtid="{D5CDD505-2E9C-101B-9397-08002B2CF9AE}" pid="4" name="KSOTemplateDocerSaveRecord">
    <vt:lpwstr>eyJoZGlkIjoiODNjM2VkZWUwYjdkZDYzZGY2NmZiZGNiZGIyMjFjYWIiLCJ1c2VySWQiOiIyNDQ2MzYxMzgifQ==</vt:lpwstr>
  </property>
</Properties>
</file>