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14" w:line="226" w:lineRule="auto"/>
        <w:jc w:val="center"/>
        <w:outlineLvl w:val="0"/>
        <w:rPr>
          <w:rFonts w:ascii="黑体" w:hAnsi="黑体" w:eastAsia="黑体" w:cs="黑体"/>
          <w:spacing w:val="8"/>
          <w:sz w:val="36"/>
          <w:szCs w:val="36"/>
          <w:lang w:eastAsia="zh-CN"/>
        </w:rPr>
      </w:pPr>
      <w:bookmarkStart w:id="0" w:name="_GoBack"/>
      <w:r>
        <w:rPr>
          <w:rFonts w:ascii="黑体" w:hAnsi="黑体" w:eastAsia="黑体" w:cs="黑体"/>
          <w:spacing w:val="8"/>
          <w:sz w:val="36"/>
          <w:szCs w:val="36"/>
          <w:lang w:eastAsia="zh-CN"/>
        </w:rPr>
        <w:t>经营者集中简易案件公示表</w:t>
      </w:r>
      <w:bookmarkEnd w:id="0"/>
    </w:p>
    <w:p>
      <w:pPr>
        <w:spacing w:before="114" w:line="226" w:lineRule="auto"/>
        <w:jc w:val="center"/>
        <w:outlineLvl w:val="0"/>
        <w:rPr>
          <w:rFonts w:ascii="黑体" w:hAnsi="黑体" w:eastAsia="黑体" w:cs="黑体"/>
          <w:spacing w:val="8"/>
          <w:sz w:val="36"/>
          <w:szCs w:val="36"/>
          <w:lang w:eastAsia="zh-CN"/>
        </w:rPr>
      </w:pPr>
    </w:p>
    <w:p>
      <w:pPr>
        <w:spacing w:line="238" w:lineRule="exact"/>
        <w:rPr>
          <w:lang w:eastAsia="zh-CN"/>
        </w:rPr>
      </w:pPr>
    </w:p>
    <w:tbl>
      <w:tblPr>
        <w:tblStyle w:val="7"/>
        <w:tblW w:w="964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944"/>
        <w:gridCol w:w="1743"/>
        <w:gridCol w:w="595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9" w:hRule="atLeast"/>
        </w:trPr>
        <w:tc>
          <w:tcPr>
            <w:tcW w:w="1944" w:type="dxa"/>
            <w:shd w:val="clear" w:color="auto" w:fill="D9D9D9"/>
            <w:vAlign w:val="center"/>
          </w:tcPr>
          <w:p>
            <w:pPr>
              <w:pStyle w:val="8"/>
              <w:rPr>
                <w:rFonts w:ascii="宋体" w:hAnsi="宋体" w:eastAsia="宋体" w:cs="宋体"/>
              </w:rPr>
            </w:pPr>
            <w:r>
              <w:rPr>
                <w:rFonts w:hint="eastAsia" w:ascii="宋体" w:hAnsi="宋体" w:eastAsia="宋体" w:cs="宋体"/>
                <w:spacing w:val="-2"/>
              </w:rPr>
              <w:t>案件名称</w:t>
            </w:r>
          </w:p>
        </w:tc>
        <w:tc>
          <w:tcPr>
            <w:tcW w:w="7700" w:type="dxa"/>
            <w:gridSpan w:val="2"/>
            <w:vAlign w:val="center"/>
          </w:tcPr>
          <w:p>
            <w:pPr>
              <w:pStyle w:val="8"/>
              <w:rPr>
                <w:rFonts w:ascii="宋体" w:hAnsi="宋体" w:eastAsia="宋体" w:cs="宋体"/>
                <w:lang w:eastAsia="zh-CN"/>
              </w:rPr>
            </w:pPr>
            <w:r>
              <w:rPr>
                <w:rFonts w:hint="eastAsia" w:ascii="宋体" w:hAnsi="宋体" w:eastAsia="宋体" w:cs="宋体"/>
                <w:lang w:eastAsia="zh-CN"/>
              </w:rPr>
              <w:t>重庆市农业投资集团有限公司收购重庆粮食集团有限责任公司股权案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08" w:hRule="atLeast"/>
        </w:trPr>
        <w:tc>
          <w:tcPr>
            <w:tcW w:w="1944" w:type="dxa"/>
            <w:shd w:val="clear" w:color="auto" w:fill="D9D9D9"/>
            <w:vAlign w:val="center"/>
          </w:tcPr>
          <w:p>
            <w:pPr>
              <w:pStyle w:val="8"/>
              <w:rPr>
                <w:rFonts w:ascii="宋体" w:hAnsi="宋体" w:eastAsia="宋体" w:cs="宋体"/>
              </w:rPr>
            </w:pPr>
            <w:r>
              <w:rPr>
                <w:rFonts w:hint="eastAsia" w:ascii="宋体" w:hAnsi="宋体" w:eastAsia="宋体" w:cs="宋体"/>
              </w:rPr>
              <w:t>交易概况</w:t>
            </w:r>
          </w:p>
        </w:tc>
        <w:tc>
          <w:tcPr>
            <w:tcW w:w="7700" w:type="dxa"/>
            <w:gridSpan w:val="2"/>
            <w:vAlign w:val="center"/>
          </w:tcPr>
          <w:p>
            <w:pPr>
              <w:pStyle w:val="8"/>
              <w:rPr>
                <w:rFonts w:ascii="宋体" w:hAnsi="宋体" w:eastAsia="宋体" w:cs="宋体"/>
                <w:lang w:eastAsia="zh-CN"/>
              </w:rPr>
            </w:pPr>
            <w:r>
              <w:rPr>
                <w:rFonts w:hint="eastAsia" w:ascii="宋体" w:hAnsi="宋体" w:eastAsia="宋体" w:cs="宋体"/>
                <w:lang w:eastAsia="zh-CN"/>
              </w:rPr>
              <w:t>2024年12月4日，重庆市国有资产监督管理委员会（“重庆市国资委”）出具《关于无偿划转重庆粮食集团有限责任公司100%股权的通知》（渝国资</w:t>
            </w:r>
            <w:r>
              <w:rPr>
                <w:rFonts w:ascii="宋体" w:hAnsi="宋体" w:eastAsia="宋体" w:cs="宋体"/>
                <w:lang w:eastAsia="zh-CN"/>
              </w:rPr>
              <w:t>[</w:t>
            </w:r>
            <w:r>
              <w:rPr>
                <w:rFonts w:hint="eastAsia" w:ascii="宋体" w:hAnsi="宋体" w:eastAsia="宋体" w:cs="宋体"/>
                <w:lang w:eastAsia="zh-CN"/>
              </w:rPr>
              <w:t>2024</w:t>
            </w:r>
            <w:r>
              <w:rPr>
                <w:rFonts w:ascii="宋体" w:hAnsi="宋体" w:eastAsia="宋体" w:cs="宋体"/>
                <w:lang w:eastAsia="zh-CN"/>
              </w:rPr>
              <w:t>]</w:t>
            </w:r>
            <w:r>
              <w:rPr>
                <w:rFonts w:hint="eastAsia" w:ascii="宋体" w:hAnsi="宋体" w:eastAsia="宋体" w:cs="宋体"/>
                <w:lang w:eastAsia="zh-CN"/>
              </w:rPr>
              <w:t>588号），决定将其所持重庆粮食集团有限责任公司（“重庆粮食集团”）100%股权无偿划转至重庆市农业投资集团有限公司（“重庆农投集团”）。交易前，重庆市国资委持有重庆粮食集团1</w:t>
            </w:r>
            <w:r>
              <w:rPr>
                <w:rFonts w:ascii="宋体" w:hAnsi="宋体" w:eastAsia="宋体" w:cs="宋体"/>
                <w:lang w:eastAsia="zh-CN"/>
              </w:rPr>
              <w:t>00%</w:t>
            </w:r>
            <w:r>
              <w:rPr>
                <w:rFonts w:hint="eastAsia" w:ascii="宋体" w:hAnsi="宋体" w:eastAsia="宋体" w:cs="宋体"/>
                <w:lang w:eastAsia="zh-CN"/>
              </w:rPr>
              <w:t>股权，重庆粮食集团无最终控制人。交易后，重庆农投集团持有重庆粮食集团100%股权，单独控制重庆粮食集团。重庆粮食集团主要从事精炼菜籽油、精炼大豆油生产加工业务。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73" w:hRule="exact"/>
        </w:trPr>
        <w:tc>
          <w:tcPr>
            <w:tcW w:w="1944" w:type="dxa"/>
            <w:vMerge w:val="restart"/>
            <w:shd w:val="clear" w:color="auto" w:fill="D9D9D9"/>
            <w:vAlign w:val="center"/>
          </w:tcPr>
          <w:p>
            <w:pPr>
              <w:pStyle w:val="8"/>
              <w:rPr>
                <w:rFonts w:ascii="宋体" w:hAnsi="宋体" w:eastAsia="宋体" w:cs="宋体"/>
                <w:lang w:eastAsia="zh-CN"/>
              </w:rPr>
            </w:pPr>
            <w:r>
              <w:rPr>
                <w:rFonts w:hint="eastAsia" w:ascii="宋体" w:hAnsi="宋体" w:eastAsia="宋体" w:cs="宋体"/>
                <w:spacing w:val="5"/>
                <w:lang w:eastAsia="zh-CN"/>
              </w:rPr>
              <w:t>参与集中的经营</w:t>
            </w:r>
            <w:r>
              <w:rPr>
                <w:rFonts w:hint="eastAsia" w:ascii="宋体" w:hAnsi="宋体" w:eastAsia="宋体" w:cs="宋体"/>
                <w:spacing w:val="4"/>
                <w:lang w:eastAsia="zh-CN"/>
              </w:rPr>
              <w:t xml:space="preserve"> </w:t>
            </w:r>
            <w:r>
              <w:rPr>
                <w:rFonts w:hint="eastAsia" w:ascii="宋体" w:hAnsi="宋体" w:eastAsia="宋体" w:cs="宋体"/>
                <w:spacing w:val="-1"/>
                <w:lang w:eastAsia="zh-CN"/>
              </w:rPr>
              <w:t>者简介</w:t>
            </w:r>
          </w:p>
        </w:tc>
        <w:tc>
          <w:tcPr>
            <w:tcW w:w="1743" w:type="dxa"/>
            <w:vAlign w:val="center"/>
          </w:tcPr>
          <w:p>
            <w:pPr>
              <w:pStyle w:val="8"/>
              <w:rPr>
                <w:rFonts w:ascii="宋体" w:hAnsi="宋体" w:eastAsia="宋体" w:cs="宋体"/>
              </w:rPr>
            </w:pPr>
            <w:r>
              <w:rPr>
                <w:rFonts w:hint="eastAsia" w:ascii="宋体" w:hAnsi="宋体" w:eastAsia="宋体" w:cs="宋体"/>
                <w:spacing w:val="-6"/>
              </w:rPr>
              <w:t>1.</w:t>
            </w:r>
            <w:r>
              <w:rPr>
                <w:rFonts w:hint="eastAsia" w:ascii="宋体" w:hAnsi="宋体" w:eastAsia="宋体" w:cs="宋体"/>
                <w:spacing w:val="-6"/>
                <w:lang w:eastAsia="zh-CN"/>
              </w:rPr>
              <w:t>重庆农投集团</w:t>
            </w:r>
          </w:p>
        </w:tc>
        <w:tc>
          <w:tcPr>
            <w:tcW w:w="5957" w:type="dxa"/>
            <w:vAlign w:val="center"/>
          </w:tcPr>
          <w:p>
            <w:pPr>
              <w:pStyle w:val="8"/>
              <w:rPr>
                <w:rFonts w:ascii="宋体" w:hAnsi="宋体" w:eastAsia="宋体" w:cs="宋体"/>
                <w:lang w:eastAsia="zh-CN"/>
              </w:rPr>
            </w:pPr>
            <w:r>
              <w:rPr>
                <w:rFonts w:hint="eastAsia" w:ascii="宋体" w:hAnsi="宋体" w:eastAsia="宋体" w:cs="宋体"/>
                <w:lang w:eastAsia="zh-CN"/>
              </w:rPr>
              <w:t>重庆农投集团于2000年09月11日成立于中国重庆市，主要业务为乳制品生产加工等。</w:t>
            </w:r>
          </w:p>
          <w:p>
            <w:pPr>
              <w:pStyle w:val="8"/>
              <w:rPr>
                <w:rFonts w:ascii="宋体" w:hAnsi="宋体" w:eastAsia="宋体" w:cs="宋体"/>
                <w:lang w:eastAsia="zh-CN"/>
              </w:rPr>
            </w:pPr>
            <w:r>
              <w:rPr>
                <w:rFonts w:hint="eastAsia" w:ascii="宋体" w:hAnsi="宋体" w:eastAsia="宋体" w:cs="宋体"/>
                <w:lang w:eastAsia="zh-CN"/>
              </w:rPr>
              <w:t>无最终控制人。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22" w:hRule="exact"/>
        </w:trPr>
        <w:tc>
          <w:tcPr>
            <w:tcW w:w="1944" w:type="dxa"/>
            <w:vMerge w:val="continue"/>
            <w:vAlign w:val="center"/>
          </w:tcPr>
          <w:p>
            <w:pPr>
              <w:rPr>
                <w:rFonts w:ascii="宋体" w:hAnsi="宋体" w:eastAsia="宋体" w:cs="宋体"/>
                <w:sz w:val="24"/>
                <w:szCs w:val="24"/>
                <w:lang w:eastAsia="zh-CN"/>
              </w:rPr>
            </w:pPr>
          </w:p>
        </w:tc>
        <w:tc>
          <w:tcPr>
            <w:tcW w:w="1743" w:type="dxa"/>
            <w:vAlign w:val="center"/>
          </w:tcPr>
          <w:p>
            <w:pPr>
              <w:pStyle w:val="8"/>
              <w:rPr>
                <w:rFonts w:ascii="宋体" w:hAnsi="宋体" w:eastAsia="宋体" w:cs="宋体"/>
              </w:rPr>
            </w:pPr>
            <w:r>
              <w:rPr>
                <w:rFonts w:hint="eastAsia" w:ascii="宋体" w:hAnsi="宋体" w:eastAsia="宋体" w:cs="宋体"/>
                <w:spacing w:val="-4"/>
              </w:rPr>
              <w:t>2.</w:t>
            </w:r>
            <w:r>
              <w:rPr>
                <w:rFonts w:hint="eastAsia" w:ascii="宋体" w:hAnsi="宋体" w:eastAsia="宋体" w:cs="宋体"/>
                <w:spacing w:val="-4"/>
                <w:lang w:eastAsia="zh-CN"/>
              </w:rPr>
              <w:t>重庆粮食集团</w:t>
            </w:r>
          </w:p>
        </w:tc>
        <w:tc>
          <w:tcPr>
            <w:tcW w:w="5957" w:type="dxa"/>
            <w:vAlign w:val="center"/>
          </w:tcPr>
          <w:p>
            <w:pPr>
              <w:pStyle w:val="8"/>
              <w:rPr>
                <w:rFonts w:ascii="宋体" w:hAnsi="宋体" w:eastAsia="宋体" w:cs="宋体"/>
                <w:lang w:eastAsia="zh-CN"/>
              </w:rPr>
            </w:pPr>
            <w:r>
              <w:rPr>
                <w:rFonts w:hint="eastAsia" w:ascii="宋体" w:hAnsi="宋体" w:eastAsia="宋体" w:cs="宋体"/>
                <w:lang w:eastAsia="zh-CN"/>
              </w:rPr>
              <w:t>重庆粮食集团于2004年10月21日成立于中国重庆市，主要业务为精炼菜籽油、精炼大豆油生产加工等。</w:t>
            </w:r>
          </w:p>
          <w:p>
            <w:pPr>
              <w:pStyle w:val="8"/>
              <w:rPr>
                <w:rFonts w:ascii="宋体" w:hAnsi="宋体" w:eastAsia="宋体" w:cs="宋体"/>
                <w:lang w:eastAsia="zh-CN"/>
              </w:rPr>
            </w:pPr>
            <w:r>
              <w:rPr>
                <w:rFonts w:hint="eastAsia" w:ascii="宋体" w:hAnsi="宋体" w:eastAsia="宋体" w:cs="宋体"/>
                <w:lang w:eastAsia="zh-CN"/>
              </w:rPr>
              <w:t>无最终控制人。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52" w:hRule="atLeast"/>
        </w:trPr>
        <w:tc>
          <w:tcPr>
            <w:tcW w:w="1944" w:type="dxa"/>
            <w:vMerge w:val="restart"/>
            <w:tcBorders>
              <w:top w:val="single" w:color="auto" w:sz="4" w:space="0"/>
              <w:left w:val="single" w:color="auto" w:sz="4" w:space="0"/>
              <w:bottom w:val="single" w:color="auto" w:sz="4" w:space="0"/>
              <w:right w:val="single" w:color="auto" w:sz="4" w:space="0"/>
            </w:tcBorders>
            <w:shd w:val="clear" w:color="auto" w:fill="D9D9D9"/>
            <w:vAlign w:val="center"/>
          </w:tcPr>
          <w:p>
            <w:pPr>
              <w:pStyle w:val="8"/>
              <w:rPr>
                <w:rFonts w:ascii="宋体" w:hAnsi="宋体" w:eastAsia="宋体" w:cs="宋体"/>
                <w:lang w:eastAsia="zh-CN"/>
              </w:rPr>
            </w:pPr>
            <w:r>
              <w:rPr>
                <w:rFonts w:hint="eastAsia" w:ascii="宋体" w:hAnsi="宋体" w:eastAsia="宋体" w:cs="宋体"/>
                <w:lang w:eastAsia="zh-CN"/>
              </w:rPr>
              <w:t>简易案件理由</w:t>
            </w:r>
          </w:p>
        </w:tc>
        <w:tc>
          <w:tcPr>
            <w:tcW w:w="7700" w:type="dxa"/>
            <w:gridSpan w:val="2"/>
            <w:tcBorders>
              <w:left w:val="single" w:color="auto" w:sz="4" w:space="0"/>
            </w:tcBorders>
            <w:vAlign w:val="center"/>
          </w:tcPr>
          <w:p>
            <w:pPr>
              <w:rPr>
                <w:rFonts w:ascii="宋体" w:hAnsi="宋体" w:eastAsia="宋体" w:cs="宋体"/>
                <w:sz w:val="24"/>
                <w:szCs w:val="24"/>
                <w:lang w:eastAsia="zh-CN"/>
              </w:rPr>
            </w:pPr>
            <w:r>
              <w:rPr>
                <w:rFonts w:ascii="Wingdings" w:hAnsi="Wingdings" w:eastAsia="宋体" w:cs="Wingdings"/>
                <w:sz w:val="24"/>
                <w:szCs w:val="24"/>
                <w:lang w:eastAsia="zh-CN"/>
              </w:rPr>
              <w:sym w:font="Wingdings" w:char="00A8"/>
            </w:r>
            <w:r>
              <w:rPr>
                <w:rFonts w:hint="eastAsia" w:ascii="宋体" w:hAnsi="宋体" w:eastAsia="宋体" w:cs="宋体"/>
                <w:spacing w:val="-4"/>
                <w:sz w:val="24"/>
                <w:szCs w:val="24"/>
                <w:lang w:eastAsia="zh-CN"/>
              </w:rPr>
              <w:t>1.在同一相关市场，参与集中的经营者所占的市场份额之和小于1</w:t>
            </w:r>
            <w:r>
              <w:rPr>
                <w:rFonts w:hint="eastAsia" w:ascii="宋体" w:hAnsi="宋体" w:eastAsia="宋体" w:cs="宋体"/>
                <w:spacing w:val="-5"/>
                <w:sz w:val="24"/>
                <w:szCs w:val="24"/>
                <w:lang w:eastAsia="zh-CN"/>
              </w:rPr>
              <w:t>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3" w:hRule="atLeast"/>
        </w:trPr>
        <w:tc>
          <w:tcPr>
            <w:tcW w:w="1944" w:type="dxa"/>
            <w:vMerge w:val="continue"/>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szCs w:val="24"/>
                <w:lang w:eastAsia="zh-CN"/>
              </w:rPr>
            </w:pPr>
          </w:p>
        </w:tc>
        <w:tc>
          <w:tcPr>
            <w:tcW w:w="7700" w:type="dxa"/>
            <w:gridSpan w:val="2"/>
            <w:tcBorders>
              <w:left w:val="single" w:color="auto" w:sz="4" w:space="0"/>
            </w:tcBorders>
            <w:vAlign w:val="center"/>
          </w:tcPr>
          <w:p>
            <w:pPr>
              <w:pStyle w:val="8"/>
              <w:rPr>
                <w:rFonts w:ascii="宋体" w:hAnsi="宋体" w:eastAsia="宋体" w:cs="宋体"/>
                <w:lang w:eastAsia="zh-CN"/>
              </w:rPr>
            </w:pPr>
            <w:r>
              <w:rPr>
                <w:rFonts w:ascii="Wingdings" w:hAnsi="Wingdings" w:eastAsia="宋体" w:cs="Wingdings"/>
                <w:lang w:eastAsia="zh-CN"/>
              </w:rPr>
              <w:sym w:font="Wingdings" w:char="00A8"/>
            </w:r>
            <w:r>
              <w:rPr>
                <w:rFonts w:hint="eastAsia" w:ascii="宋体" w:hAnsi="宋体" w:eastAsia="宋体" w:cs="宋体"/>
                <w:spacing w:val="-1"/>
                <w:lang w:eastAsia="zh-CN"/>
              </w:rPr>
              <w:t>2.在上下游市场，参与集中的经营者所占的市场份额均小于25%。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3" w:hRule="atLeast"/>
        </w:trPr>
        <w:tc>
          <w:tcPr>
            <w:tcW w:w="1944" w:type="dxa"/>
            <w:vMerge w:val="continue"/>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szCs w:val="24"/>
                <w:lang w:eastAsia="zh-CN"/>
              </w:rPr>
            </w:pPr>
          </w:p>
        </w:tc>
        <w:tc>
          <w:tcPr>
            <w:tcW w:w="7700" w:type="dxa"/>
            <w:gridSpan w:val="2"/>
            <w:tcBorders>
              <w:left w:val="single" w:color="auto" w:sz="4" w:space="0"/>
            </w:tcBorders>
            <w:vAlign w:val="center"/>
          </w:tcPr>
          <w:p>
            <w:pPr>
              <w:pStyle w:val="8"/>
              <w:rPr>
                <w:rFonts w:ascii="宋体" w:hAnsi="宋体" w:eastAsia="宋体" w:cs="宋体"/>
                <w:lang w:eastAsia="zh-CN"/>
              </w:rPr>
            </w:pPr>
            <w:r>
              <w:rPr>
                <w:rFonts w:ascii="Wingdings" w:hAnsi="Wingdings" w:eastAsia="宋体" w:cs="Wingdings"/>
                <w:lang w:eastAsia="zh-CN"/>
              </w:rPr>
              <w:sym w:font="Wingdings" w:char="00FE"/>
            </w:r>
            <w:r>
              <w:rPr>
                <w:rFonts w:hint="eastAsia" w:ascii="宋体" w:hAnsi="宋体" w:eastAsia="宋体" w:cs="宋体"/>
                <w:spacing w:val="1"/>
                <w:lang w:eastAsia="zh-CN"/>
              </w:rPr>
              <w:t>3.不在同一相关市场也不存在上下游关系的参与集中的经营者，在与</w:t>
            </w:r>
            <w:r>
              <w:rPr>
                <w:rFonts w:hint="eastAsia" w:ascii="宋体" w:hAnsi="宋体" w:eastAsia="宋体" w:cs="宋体"/>
                <w:lang w:eastAsia="zh-CN"/>
              </w:rPr>
              <w:t>交易有关的每个市场所占的市场份额均小于</w:t>
            </w:r>
            <w:r>
              <w:rPr>
                <w:rFonts w:hint="eastAsia" w:ascii="宋体" w:hAnsi="宋体" w:eastAsia="宋体" w:cs="宋体"/>
                <w:spacing w:val="-1"/>
                <w:lang w:eastAsia="zh-CN"/>
              </w:rPr>
              <w:t>25%。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3" w:hRule="atLeast"/>
        </w:trPr>
        <w:tc>
          <w:tcPr>
            <w:tcW w:w="1944" w:type="dxa"/>
            <w:vMerge w:val="continue"/>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szCs w:val="24"/>
                <w:lang w:eastAsia="zh-CN"/>
              </w:rPr>
            </w:pPr>
          </w:p>
        </w:tc>
        <w:tc>
          <w:tcPr>
            <w:tcW w:w="7700" w:type="dxa"/>
            <w:gridSpan w:val="2"/>
            <w:tcBorders>
              <w:left w:val="single" w:color="auto" w:sz="4" w:space="0"/>
            </w:tcBorders>
            <w:vAlign w:val="center"/>
          </w:tcPr>
          <w:p>
            <w:pPr>
              <w:pStyle w:val="8"/>
              <w:rPr>
                <w:rFonts w:ascii="宋体" w:hAnsi="宋体" w:eastAsia="宋体" w:cs="宋体"/>
                <w:spacing w:val="-1"/>
                <w:lang w:eastAsia="zh-CN"/>
              </w:rPr>
            </w:pPr>
            <w:r>
              <w:rPr>
                <w:rFonts w:hint="eastAsia" w:ascii="宋体" w:hAnsi="宋体" w:eastAsia="宋体" w:cs="宋体"/>
                <w:spacing w:val="-1"/>
                <w:lang w:eastAsia="zh-CN"/>
              </w:rPr>
              <w:t>□</w:t>
            </w:r>
            <w:r>
              <w:rPr>
                <w:rFonts w:hint="eastAsia" w:ascii="宋体" w:hAnsi="宋体" w:eastAsia="宋体" w:cs="宋体"/>
                <w:spacing w:val="3"/>
                <w:lang w:eastAsia="zh-CN"/>
              </w:rPr>
              <w:t>4.参与集中的经营者在中国境外设立合营企业，合营</w:t>
            </w:r>
            <w:r>
              <w:rPr>
                <w:rFonts w:hint="eastAsia" w:ascii="宋体" w:hAnsi="宋体" w:eastAsia="宋体" w:cs="宋体"/>
                <w:spacing w:val="2"/>
                <w:lang w:eastAsia="zh-CN"/>
              </w:rPr>
              <w:t>企业不在中国境</w:t>
            </w:r>
            <w:r>
              <w:rPr>
                <w:rFonts w:hint="eastAsia" w:ascii="宋体" w:hAnsi="宋体" w:eastAsia="宋体" w:cs="宋体"/>
                <w:lang w:eastAsia="zh-CN"/>
              </w:rPr>
              <w:t xml:space="preserve"> </w:t>
            </w:r>
            <w:r>
              <w:rPr>
                <w:rFonts w:hint="eastAsia" w:ascii="宋体" w:hAnsi="宋体" w:eastAsia="宋体" w:cs="宋体"/>
                <w:spacing w:val="-4"/>
                <w:lang w:eastAsia="zh-CN"/>
              </w:rPr>
              <w:t>内从事经济活动。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703" w:hRule="atLeast"/>
        </w:trPr>
        <w:tc>
          <w:tcPr>
            <w:tcW w:w="1944" w:type="dxa"/>
            <w:vMerge w:val="continue"/>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szCs w:val="24"/>
                <w:lang w:eastAsia="zh-CN"/>
              </w:rPr>
            </w:pPr>
          </w:p>
        </w:tc>
        <w:tc>
          <w:tcPr>
            <w:tcW w:w="7700" w:type="dxa"/>
            <w:gridSpan w:val="2"/>
            <w:tcBorders>
              <w:left w:val="single" w:color="auto" w:sz="4" w:space="0"/>
            </w:tcBorders>
            <w:vAlign w:val="center"/>
          </w:tcPr>
          <w:p>
            <w:pPr>
              <w:pStyle w:val="8"/>
              <w:rPr>
                <w:rFonts w:ascii="宋体" w:hAnsi="宋体" w:eastAsia="宋体" w:cs="宋体"/>
                <w:spacing w:val="-1"/>
                <w:lang w:eastAsia="zh-CN"/>
              </w:rPr>
            </w:pPr>
            <w:r>
              <w:rPr>
                <w:rFonts w:hint="eastAsia" w:ascii="宋体" w:hAnsi="宋体" w:eastAsia="宋体" w:cs="宋体"/>
                <w:spacing w:val="-1"/>
                <w:lang w:eastAsia="zh-CN"/>
              </w:rPr>
              <w:t>□</w:t>
            </w:r>
            <w:r>
              <w:rPr>
                <w:rFonts w:hint="eastAsia" w:ascii="宋体" w:hAnsi="宋体" w:eastAsia="宋体" w:cs="宋体"/>
                <w:spacing w:val="3"/>
                <w:lang w:eastAsia="zh-CN"/>
              </w:rPr>
              <w:t>5.参与集中的经营者收购境外企业股权或资产的，该</w:t>
            </w:r>
            <w:r>
              <w:rPr>
                <w:rFonts w:hint="eastAsia" w:ascii="宋体" w:hAnsi="宋体" w:eastAsia="宋体" w:cs="宋体"/>
                <w:spacing w:val="2"/>
                <w:lang w:eastAsia="zh-CN"/>
              </w:rPr>
              <w:t>境外企业不在中</w:t>
            </w:r>
            <w:r>
              <w:rPr>
                <w:rFonts w:hint="eastAsia" w:ascii="宋体" w:hAnsi="宋体" w:eastAsia="宋体" w:cs="宋体"/>
                <w:lang w:eastAsia="zh-CN"/>
              </w:rPr>
              <w:t xml:space="preserve"> </w:t>
            </w:r>
            <w:r>
              <w:rPr>
                <w:rFonts w:hint="eastAsia" w:ascii="宋体" w:hAnsi="宋体" w:eastAsia="宋体" w:cs="宋体"/>
                <w:spacing w:val="-3"/>
                <w:lang w:eastAsia="zh-CN"/>
              </w:rPr>
              <w:t>国境内从事经济活动。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3" w:hRule="atLeast"/>
        </w:trPr>
        <w:tc>
          <w:tcPr>
            <w:tcW w:w="1944" w:type="dxa"/>
            <w:vMerge w:val="continue"/>
            <w:tcBorders>
              <w:top w:val="single" w:color="auto" w:sz="4" w:space="0"/>
              <w:left w:val="single" w:color="auto" w:sz="4" w:space="0"/>
              <w:bottom w:val="single" w:color="auto" w:sz="4" w:space="0"/>
              <w:right w:val="single" w:color="auto" w:sz="4" w:space="0"/>
            </w:tcBorders>
          </w:tcPr>
          <w:p>
            <w:pPr>
              <w:rPr>
                <w:rFonts w:ascii="宋体" w:hAnsi="宋体" w:eastAsia="宋体" w:cs="宋体"/>
                <w:sz w:val="24"/>
                <w:szCs w:val="24"/>
                <w:lang w:eastAsia="zh-CN"/>
              </w:rPr>
            </w:pPr>
          </w:p>
        </w:tc>
        <w:tc>
          <w:tcPr>
            <w:tcW w:w="7700" w:type="dxa"/>
            <w:gridSpan w:val="2"/>
            <w:tcBorders>
              <w:left w:val="single" w:color="auto" w:sz="4" w:space="0"/>
            </w:tcBorders>
            <w:vAlign w:val="center"/>
          </w:tcPr>
          <w:p>
            <w:pPr>
              <w:pStyle w:val="8"/>
              <w:rPr>
                <w:rFonts w:ascii="宋体" w:hAnsi="宋体" w:eastAsia="宋体" w:cs="宋体"/>
                <w:spacing w:val="-1"/>
                <w:lang w:eastAsia="zh-CN"/>
              </w:rPr>
            </w:pPr>
            <w:r>
              <w:rPr>
                <w:rFonts w:hint="eastAsia" w:ascii="宋体" w:hAnsi="宋体" w:eastAsia="宋体" w:cs="宋体"/>
                <w:spacing w:val="-1"/>
                <w:lang w:eastAsia="zh-CN"/>
              </w:rPr>
              <w:t>□</w:t>
            </w:r>
            <w:r>
              <w:rPr>
                <w:rFonts w:hint="eastAsia" w:ascii="宋体" w:hAnsi="宋体" w:eastAsia="宋体" w:cs="宋体"/>
                <w:lang w:eastAsia="zh-CN"/>
              </w:rPr>
              <w:t>6.</w:t>
            </w:r>
            <w:r>
              <w:rPr>
                <w:rFonts w:hint="eastAsia" w:ascii="宋体" w:hAnsi="宋体" w:eastAsia="宋体" w:cs="宋体"/>
                <w:spacing w:val="-27"/>
                <w:lang w:eastAsia="zh-CN"/>
              </w:rPr>
              <w:t xml:space="preserve"> </w:t>
            </w:r>
            <w:r>
              <w:rPr>
                <w:rFonts w:hint="eastAsia" w:ascii="宋体" w:hAnsi="宋体" w:eastAsia="宋体" w:cs="宋体"/>
                <w:lang w:eastAsia="zh-CN"/>
              </w:rPr>
              <w:t>由两个以上的经营者共同控制的合营企业</w:t>
            </w:r>
            <w:r>
              <w:rPr>
                <w:rFonts w:hint="eastAsia" w:ascii="宋体" w:hAnsi="宋体" w:eastAsia="宋体" w:cs="宋体"/>
                <w:spacing w:val="-26"/>
                <w:lang w:eastAsia="zh-CN"/>
              </w:rPr>
              <w:t xml:space="preserve"> </w:t>
            </w:r>
            <w:r>
              <w:rPr>
                <w:rFonts w:hint="eastAsia" w:ascii="宋体" w:hAnsi="宋体" w:eastAsia="宋体" w:cs="宋体"/>
                <w:lang w:eastAsia="zh-CN"/>
              </w:rPr>
              <w:t xml:space="preserve">，通过集中被其中一个或 </w:t>
            </w:r>
            <w:r>
              <w:rPr>
                <w:rFonts w:hint="eastAsia" w:ascii="宋体" w:hAnsi="宋体" w:eastAsia="宋体" w:cs="宋体"/>
                <w:spacing w:val="-1"/>
                <w:lang w:eastAsia="zh-CN"/>
              </w:rPr>
              <w:t>一个以上经营者控制。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99" w:hRule="atLeast"/>
        </w:trPr>
        <w:tc>
          <w:tcPr>
            <w:tcW w:w="1944" w:type="dxa"/>
            <w:tcBorders>
              <w:top w:val="single" w:color="auto" w:sz="4" w:space="0"/>
              <w:left w:val="single" w:color="auto" w:sz="4" w:space="0"/>
              <w:bottom w:val="single" w:color="auto" w:sz="4" w:space="0"/>
              <w:right w:val="single" w:color="auto" w:sz="4" w:space="0"/>
            </w:tcBorders>
            <w:shd w:val="clear" w:color="auto" w:fill="D8D8D8"/>
            <w:vAlign w:val="center"/>
          </w:tcPr>
          <w:p>
            <w:pPr>
              <w:rPr>
                <w:rFonts w:ascii="宋体" w:hAnsi="宋体" w:eastAsia="宋体" w:cs="宋体"/>
                <w:sz w:val="24"/>
                <w:szCs w:val="24"/>
              </w:rPr>
            </w:pPr>
            <w:r>
              <w:rPr>
                <w:rFonts w:hint="eastAsia" w:ascii="宋体" w:hAnsi="宋体" w:eastAsia="宋体" w:cs="宋体"/>
                <w:spacing w:val="-3"/>
                <w:sz w:val="24"/>
                <w:szCs w:val="24"/>
              </w:rPr>
              <w:t>备注</w:t>
            </w:r>
          </w:p>
        </w:tc>
        <w:tc>
          <w:tcPr>
            <w:tcW w:w="7700" w:type="dxa"/>
            <w:gridSpan w:val="2"/>
            <w:tcBorders>
              <w:left w:val="single" w:color="auto" w:sz="4" w:space="0"/>
            </w:tcBorders>
            <w:vAlign w:val="center"/>
          </w:tcPr>
          <w:p>
            <w:pPr>
              <w:pStyle w:val="2"/>
              <w:kinsoku/>
              <w:autoSpaceDE/>
              <w:autoSpaceDN/>
              <w:jc w:val="both"/>
              <w:textAlignment w:val="auto"/>
              <w:rPr>
                <w:rFonts w:ascii="宋体" w:hAnsi="宋体" w:eastAsia="宋体" w:cs="宋体"/>
                <w:bCs/>
                <w:sz w:val="24"/>
                <w:szCs w:val="24"/>
                <w:lang w:eastAsia="zh-CN"/>
              </w:rPr>
            </w:pPr>
            <w:r>
              <w:rPr>
                <w:rFonts w:hint="eastAsia" w:ascii="宋体" w:hAnsi="宋体" w:eastAsia="宋体" w:cs="宋体"/>
                <w:bCs/>
                <w:sz w:val="24"/>
                <w:szCs w:val="24"/>
                <w:lang w:eastAsia="zh-CN"/>
              </w:rPr>
              <w:t>混合集中：</w:t>
            </w:r>
          </w:p>
          <w:p>
            <w:pPr>
              <w:pStyle w:val="2"/>
              <w:kinsoku/>
              <w:autoSpaceDE/>
              <w:autoSpaceDN/>
              <w:jc w:val="both"/>
              <w:textAlignment w:val="auto"/>
              <w:rPr>
                <w:rFonts w:ascii="宋体" w:hAnsi="宋体" w:eastAsia="宋体" w:cs="宋体"/>
                <w:bCs/>
                <w:sz w:val="24"/>
                <w:szCs w:val="24"/>
                <w:lang w:eastAsia="zh-CN"/>
              </w:rPr>
            </w:pPr>
            <w:r>
              <w:rPr>
                <w:rFonts w:ascii="宋体" w:hAnsi="宋体" w:eastAsia="宋体" w:cs="宋体"/>
                <w:bCs/>
                <w:sz w:val="24"/>
                <w:szCs w:val="24"/>
                <w:lang w:eastAsia="zh-CN"/>
              </w:rPr>
              <w:t>1</w:t>
            </w:r>
            <w:r>
              <w:rPr>
                <w:rFonts w:hint="eastAsia" w:ascii="宋体" w:hAnsi="宋体" w:eastAsia="宋体" w:cs="宋体"/>
                <w:bCs/>
                <w:sz w:val="24"/>
                <w:szCs w:val="24"/>
                <w:lang w:eastAsia="zh-CN"/>
              </w:rPr>
              <w:t>.2023年</w:t>
            </w:r>
            <w:r>
              <w:rPr>
                <w:rFonts w:hint="eastAsia" w:ascii="宋体" w:hAnsi="宋体" w:eastAsia="宋体" w:cs="宋体"/>
                <w:bCs/>
                <w:sz w:val="24"/>
                <w:szCs w:val="24"/>
                <w:lang w:val="en-GB" w:eastAsia="zh-CN"/>
              </w:rPr>
              <w:t>中国境内精炼</w:t>
            </w:r>
            <w:r>
              <w:rPr>
                <w:rFonts w:hint="eastAsia" w:ascii="宋体" w:hAnsi="宋体" w:eastAsia="宋体" w:cs="宋体"/>
                <w:bCs/>
                <w:sz w:val="24"/>
                <w:szCs w:val="24"/>
                <w:lang w:eastAsia="zh-CN"/>
              </w:rPr>
              <w:t>菜籽油生产加工市场：</w:t>
            </w:r>
          </w:p>
          <w:p>
            <w:pPr>
              <w:pStyle w:val="2"/>
              <w:kinsoku/>
              <w:autoSpaceDE/>
              <w:autoSpaceDN/>
              <w:jc w:val="both"/>
              <w:textAlignment w:val="auto"/>
              <w:rPr>
                <w:rFonts w:ascii="宋体" w:hAnsi="宋体" w:eastAsia="宋体" w:cs="宋体"/>
                <w:bCs/>
                <w:sz w:val="24"/>
                <w:szCs w:val="24"/>
                <w:lang w:eastAsia="zh-CN"/>
              </w:rPr>
            </w:pPr>
            <w:r>
              <w:rPr>
                <w:rFonts w:hint="eastAsia" w:ascii="宋体" w:hAnsi="宋体" w:eastAsia="宋体" w:cs="宋体"/>
                <w:bCs/>
                <w:sz w:val="24"/>
                <w:szCs w:val="24"/>
                <w:lang w:eastAsia="zh-CN"/>
              </w:rPr>
              <w:t>重庆粮食集团：0-5%</w:t>
            </w:r>
          </w:p>
          <w:p>
            <w:pPr>
              <w:pStyle w:val="2"/>
              <w:kinsoku/>
              <w:autoSpaceDE/>
              <w:autoSpaceDN/>
              <w:jc w:val="both"/>
              <w:textAlignment w:val="auto"/>
              <w:rPr>
                <w:rFonts w:ascii="宋体" w:hAnsi="宋体" w:eastAsia="宋体" w:cs="宋体"/>
                <w:bCs/>
                <w:sz w:val="24"/>
                <w:szCs w:val="24"/>
                <w:lang w:eastAsia="zh-CN"/>
              </w:rPr>
            </w:pPr>
            <w:r>
              <w:rPr>
                <w:rFonts w:hint="eastAsia" w:ascii="宋体" w:hAnsi="宋体" w:eastAsia="宋体" w:cs="宋体"/>
                <w:bCs/>
                <w:sz w:val="24"/>
                <w:szCs w:val="24"/>
                <w:lang w:eastAsia="zh-CN"/>
              </w:rPr>
              <w:t>2</w:t>
            </w:r>
            <w:r>
              <w:rPr>
                <w:rFonts w:ascii="宋体" w:hAnsi="宋体" w:eastAsia="宋体" w:cs="宋体"/>
                <w:bCs/>
                <w:sz w:val="24"/>
                <w:szCs w:val="24"/>
                <w:lang w:eastAsia="zh-CN"/>
              </w:rPr>
              <w:t>.</w:t>
            </w:r>
            <w:r>
              <w:rPr>
                <w:rFonts w:hint="eastAsia" w:ascii="宋体" w:hAnsi="宋体" w:eastAsia="宋体" w:cs="宋体"/>
                <w:bCs/>
                <w:sz w:val="24"/>
                <w:szCs w:val="24"/>
                <w:lang w:eastAsia="zh-CN"/>
              </w:rPr>
              <w:t>2023年</w:t>
            </w:r>
            <w:r>
              <w:rPr>
                <w:rFonts w:hint="eastAsia" w:ascii="宋体" w:hAnsi="宋体" w:eastAsia="宋体" w:cs="宋体"/>
                <w:bCs/>
                <w:sz w:val="24"/>
                <w:szCs w:val="24"/>
                <w:lang w:val="en-GB" w:eastAsia="zh-CN"/>
              </w:rPr>
              <w:t>中国境内精炼大豆</w:t>
            </w:r>
            <w:r>
              <w:rPr>
                <w:rFonts w:hint="eastAsia" w:ascii="宋体" w:hAnsi="宋体" w:eastAsia="宋体" w:cs="宋体"/>
                <w:bCs/>
                <w:sz w:val="24"/>
                <w:szCs w:val="24"/>
                <w:lang w:eastAsia="zh-CN"/>
              </w:rPr>
              <w:t>油生产加工市场：</w:t>
            </w:r>
          </w:p>
          <w:p>
            <w:pPr>
              <w:pStyle w:val="2"/>
              <w:kinsoku/>
              <w:autoSpaceDE/>
              <w:autoSpaceDN/>
              <w:jc w:val="both"/>
              <w:textAlignment w:val="auto"/>
              <w:rPr>
                <w:rFonts w:ascii="宋体" w:hAnsi="宋体" w:eastAsia="宋体" w:cs="宋体"/>
                <w:bCs/>
                <w:sz w:val="24"/>
                <w:szCs w:val="24"/>
                <w:lang w:eastAsia="zh-CN"/>
              </w:rPr>
            </w:pPr>
            <w:r>
              <w:rPr>
                <w:rFonts w:hint="eastAsia" w:ascii="宋体" w:hAnsi="宋体" w:eastAsia="宋体" w:cs="宋体"/>
                <w:bCs/>
                <w:sz w:val="24"/>
                <w:szCs w:val="24"/>
                <w:lang w:eastAsia="zh-CN"/>
              </w:rPr>
              <w:t>重庆粮食集团：0-5%</w:t>
            </w:r>
          </w:p>
        </w:tc>
      </w:tr>
    </w:tbl>
    <w:p>
      <w:pPr>
        <w:rPr>
          <w:lang w:eastAsia="zh-CN"/>
        </w:rPr>
      </w:pPr>
    </w:p>
    <w:sectPr>
      <w:pgSz w:w="11906" w:h="16839"/>
      <w:pgMar w:top="1431" w:right="1473" w:bottom="0" w:left="1361" w:header="0"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Arial">
    <w:altName w:val="Times New Roman"/>
    <w:panose1 w:val="020B0604020002020204"/>
    <w:charset w:val="00"/>
    <w:family w:val="swiss"/>
    <w:pitch w:val="default"/>
    <w:sig w:usb0="00000000" w:usb1="00000000" w:usb2="00000009" w:usb3="00000000" w:csb0="000001FF" w:csb1="00000000"/>
  </w:font>
  <w:font w:name="微软雅黑">
    <w:altName w:val="黑体"/>
    <w:panose1 w:val="020B0503020002020204"/>
    <w:charset w:val="86"/>
    <w:family w:val="swiss"/>
    <w:pitch w:val="default"/>
    <w:sig w:usb0="00000000" w:usb1="00000000" w:usb2="00000016" w:usb3="00000000" w:csb0="0004001F" w:csb1="00000000"/>
  </w:font>
  <w:font w:name="Wingdings">
    <w:panose1 w:val="05000000000000000000"/>
    <w:charset w:val="00"/>
    <w:family w:val="decorative"/>
    <w:pitch w:val="default"/>
    <w:sig w:usb0="00000000" w:usb1="00000000" w:usb2="00000000" w:usb3="00000000" w:csb0="8000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doNotDisplayPageBoundaries w:val="true"/>
  <w:displayBackgroundShape w:val="true"/>
  <w:bordersDoNotSurroundHeader w:val="true"/>
  <w:bordersDoNotSurroundFooter w:val="true"/>
  <w:documentProtection w:enforcement="0"/>
  <w:defaultTabStop w:val="420"/>
  <w:noPunctuationKerning w:val="true"/>
  <w:characterSpacingControl w:val="doNotCompress"/>
  <w:compat>
    <w:spaceForUL/>
    <w:balanceSingleByteDoubleByteWidth/>
    <w:ulTrailSpace/>
    <w:doNotExpandShiftReturn/>
    <w:adjustLineHeightInTable/>
    <w:doNotWrapTextWithPunct/>
    <w:doNotUseEastAsianBreakRules/>
    <w:useFELayout/>
    <w:doNotUseIndentAsNumberingTabStop/>
    <w:compatSetting w:name="compatibilityMode" w:uri="http://schemas.microsoft.com/office/word" w:val="14"/>
  </w:compat>
  <w:rsids>
    <w:rsidRoot w:val="00000000"/>
    <w:rsid w:val="AE7FF4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6">
    <w:name w:val="Default Paragraph Font"/>
    <w:qFormat/>
    <w:uiPriority w:val="1"/>
  </w:style>
  <w:style w:type="table" w:default="1" w:styleId="5">
    <w:name w:val="Normal Table"/>
    <w:qFormat/>
    <w:uiPriority w:val="99"/>
    <w:tblPr>
      <w:tblCellMar>
        <w:top w:w="0" w:type="dxa"/>
        <w:left w:w="108" w:type="dxa"/>
        <w:bottom w:w="0" w:type="dxa"/>
        <w:right w:w="108" w:type="dxa"/>
      </w:tblCellMar>
    </w:tblPr>
  </w:style>
  <w:style w:type="paragraph" w:styleId="2">
    <w:name w:val="Body Text"/>
    <w:basedOn w:val="1"/>
    <w:qFormat/>
    <w:uiPriority w:val="0"/>
    <w:rPr>
      <w:rFonts w:ascii="微软雅黑" w:hAnsi="微软雅黑" w:eastAsia="微软雅黑" w:cs="微软雅黑"/>
      <w:sz w:val="28"/>
      <w:szCs w:val="28"/>
    </w:rPr>
  </w:style>
  <w:style w:type="paragraph" w:styleId="3">
    <w:name w:val="Body Text Indent"/>
    <w:basedOn w:val="1"/>
    <w:link w:val="10"/>
    <w:qFormat/>
    <w:uiPriority w:val="0"/>
    <w:pPr>
      <w:spacing w:after="120"/>
      <w:ind w:left="420" w:leftChars="200"/>
    </w:pPr>
  </w:style>
  <w:style w:type="paragraph" w:styleId="4">
    <w:name w:val="Balloon Text"/>
    <w:basedOn w:val="1"/>
    <w:link w:val="11"/>
    <w:qFormat/>
    <w:uiPriority w:val="0"/>
    <w:rPr>
      <w:rFonts w:ascii="宋体" w:eastAsia="宋体"/>
      <w:sz w:val="18"/>
      <w:szCs w:val="18"/>
    </w:rPr>
  </w:style>
  <w:style w:type="table" w:customStyle="1" w:styleId="7">
    <w:name w:val="Table Normal"/>
    <w:qFormat/>
    <w:uiPriority w:val="0"/>
    <w:tblPr>
      <w:tblCellMar>
        <w:top w:w="0" w:type="dxa"/>
        <w:left w:w="0" w:type="dxa"/>
        <w:bottom w:w="0" w:type="dxa"/>
        <w:right w:w="0" w:type="dxa"/>
      </w:tblCellMar>
    </w:tblPr>
  </w:style>
  <w:style w:type="paragraph" w:customStyle="1" w:styleId="8">
    <w:name w:val="Table Text"/>
    <w:basedOn w:val="1"/>
    <w:qFormat/>
    <w:uiPriority w:val="0"/>
    <w:rPr>
      <w:rFonts w:ascii="微软雅黑" w:hAnsi="微软雅黑" w:eastAsia="微软雅黑" w:cs="微软雅黑"/>
      <w:sz w:val="24"/>
      <w:szCs w:val="24"/>
    </w:rPr>
  </w:style>
  <w:style w:type="character" w:customStyle="1" w:styleId="9">
    <w:name w:val="正文文本首行缩进 2 字符"/>
    <w:basedOn w:val="10"/>
    <w:qFormat/>
    <w:uiPriority w:val="0"/>
    <w:rPr>
      <w:rFonts w:hint="eastAsia" w:ascii="宋体" w:hAnsi="宋体" w:eastAsia="宋体" w:cs="宋体"/>
      <w:sz w:val="24"/>
      <w:szCs w:val="24"/>
    </w:rPr>
  </w:style>
  <w:style w:type="character" w:customStyle="1" w:styleId="10">
    <w:name w:val="正文文本缩进 字符"/>
    <w:basedOn w:val="6"/>
    <w:link w:val="3"/>
    <w:qFormat/>
    <w:uiPriority w:val="0"/>
    <w:rPr>
      <w:rFonts w:hint="eastAsia" w:ascii="宋体" w:hAnsi="宋体" w:eastAsia="宋体" w:cs="宋体"/>
      <w:sz w:val="24"/>
      <w:szCs w:val="24"/>
    </w:rPr>
  </w:style>
  <w:style w:type="character" w:customStyle="1" w:styleId="11">
    <w:name w:val="批注框文本 字符"/>
    <w:basedOn w:val="6"/>
    <w:link w:val="4"/>
    <w:qFormat/>
    <w:uiPriority w:val="0"/>
    <w:rPr>
      <w:rFonts w:ascii="宋体" w:hAnsi="Arial" w:eastAsia="宋体" w:cs="Arial"/>
      <w:snapToGrid w:val="0"/>
      <w:color w:val="000000"/>
      <w:sz w:val="18"/>
      <w:szCs w:val="18"/>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686</Words>
  <Characters>753</Characters>
  <Paragraphs>45</Paragraphs>
  <TotalTime>8</TotalTime>
  <ScaleCrop>false</ScaleCrop>
  <LinksUpToDate>false</LinksUpToDate>
  <CharactersWithSpaces>759</CharactersWithSpaces>
  <Application>WPS Office_11.8.2.10552_F1E327BC-269C-435d-A152-05C5408002CA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2024-09-17T01:21:00Z</dcterms:created>
  <dc:creator>oa</dc:creator>
  <cp:lastModifiedBy>oa</cp:lastModifiedBy>
  <dcterms:modified xsi:type="dcterms:W3CDTF">2024-12-19T10:41:01Z</dcterms:modified>
  <dc:title>附件4</dc:title>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2024-10-24T10:17:06Z</vt:filetime>
  </property>
  <property fmtid="{D5CDD505-2E9C-101B-9397-08002B2CF9AE}" pid="4" name="KSOProductBuildVer">
    <vt:lpwstr>2052-11.8.2.10552</vt:lpwstr>
  </property>
  <property fmtid="{D5CDD505-2E9C-101B-9397-08002B2CF9AE}" pid="5" name="ICV">
    <vt:lpwstr>66dc4fba81b4464b9de785ae829f9174_23</vt:lpwstr>
  </property>
</Properties>
</file>