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31D538">
      <w:pPr>
        <w:widowControl/>
        <w:spacing w:after="240"/>
        <w:jc w:val="center"/>
        <w:rPr>
          <w:rFonts w:eastAsia="黑体"/>
          <w:bCs/>
          <w:kern w:val="0"/>
          <w:sz w:val="44"/>
          <w:szCs w:val="44"/>
          <w:lang w:val="en-GB" w:bidi="ar-AE"/>
        </w:rPr>
      </w:pPr>
      <w:bookmarkStart w:id="0" w:name="_GoBack"/>
      <w:r>
        <w:rPr>
          <w:rFonts w:eastAsia="黑体"/>
          <w:bCs/>
          <w:sz w:val="44"/>
          <w:szCs w:val="44"/>
        </w:rPr>
        <w:t xml:space="preserve"> </w:t>
      </w:r>
      <w:r>
        <w:rPr>
          <w:rFonts w:eastAsia="方正小标宋简体"/>
          <w:bCs/>
          <w:kern w:val="0"/>
          <w:sz w:val="44"/>
          <w:szCs w:val="44"/>
          <w:lang w:val="en-GB" w:bidi="ar-AE"/>
        </w:rPr>
        <w:t>经营者集中简易案件公示表</w:t>
      </w:r>
    </w:p>
    <w:bookmarkEnd w:id="0"/>
    <w:tbl>
      <w:tblPr>
        <w:tblStyle w:val="5"/>
        <w:tblW w:w="9640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984"/>
        <w:gridCol w:w="5954"/>
      </w:tblGrid>
      <w:tr w14:paraId="0B8F2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702" w:type="dxa"/>
            <w:shd w:val="clear" w:color="auto" w:fill="D9D9D9"/>
            <w:vAlign w:val="center"/>
          </w:tcPr>
          <w:p w14:paraId="1AE515B2">
            <w:pPr>
              <w:pStyle w:val="3"/>
              <w:adjustRightInd w:val="0"/>
              <w:snapToGrid w:val="0"/>
              <w:spacing w:after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案件名称</w:t>
            </w:r>
          </w:p>
        </w:tc>
        <w:tc>
          <w:tcPr>
            <w:tcW w:w="7938" w:type="dxa"/>
            <w:gridSpan w:val="2"/>
            <w:vAlign w:val="center"/>
          </w:tcPr>
          <w:p w14:paraId="264FCCD6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/>
              <w:textAlignment w:val="auto"/>
              <w:rPr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 w:val="24"/>
                <w:lang w:val="en-US" w:eastAsia="zh-CN" w:bidi="ar"/>
              </w:rPr>
              <w:t>中海</w:t>
            </w:r>
            <w:r>
              <w:rPr>
                <w:rFonts w:hint="eastAsia"/>
                <w:bCs/>
                <w:color w:val="000000"/>
                <w:sz w:val="24"/>
                <w:szCs w:val="24"/>
              </w:rPr>
              <w:t>油电力投资有限公司收购广州恒运东区天然气热电有限公司股权案</w:t>
            </w:r>
          </w:p>
        </w:tc>
      </w:tr>
      <w:tr w14:paraId="31CA1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1702" w:type="dxa"/>
            <w:shd w:val="clear" w:color="auto" w:fill="D9D9D9"/>
            <w:vAlign w:val="center"/>
          </w:tcPr>
          <w:p w14:paraId="5BAA0861">
            <w:pPr>
              <w:pStyle w:val="3"/>
              <w:adjustRightInd w:val="0"/>
              <w:snapToGrid w:val="0"/>
              <w:spacing w:after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交易概况（限200字内）</w:t>
            </w:r>
          </w:p>
        </w:tc>
        <w:tc>
          <w:tcPr>
            <w:tcW w:w="7938" w:type="dxa"/>
            <w:gridSpan w:val="2"/>
            <w:vAlign w:val="center"/>
          </w:tcPr>
          <w:p w14:paraId="792474C6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/>
              <w:textAlignment w:val="auto"/>
              <w:rPr>
                <w:rFonts w:hint="eastAsia"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Cs/>
                <w:color w:val="000000"/>
                <w:sz w:val="24"/>
                <w:szCs w:val="24"/>
              </w:rPr>
              <w:t>中海油电力投资有限公司（“</w:t>
            </w:r>
            <w:r>
              <w:rPr>
                <w:rFonts w:hint="eastAsia"/>
                <w:color w:val="000000"/>
                <w:sz w:val="24"/>
                <w:szCs w:val="24"/>
              </w:rPr>
              <w:t>海油电投</w:t>
            </w:r>
            <w:r>
              <w:rPr>
                <w:rFonts w:hint="eastAsia"/>
                <w:bCs/>
                <w:color w:val="000000"/>
                <w:sz w:val="24"/>
                <w:szCs w:val="24"/>
              </w:rPr>
              <w:t>”）与广州恒运企业集团股份有限公司（“</w:t>
            </w:r>
            <w:r>
              <w:rPr>
                <w:rFonts w:hint="eastAsia"/>
                <w:color w:val="000000"/>
                <w:sz w:val="24"/>
                <w:szCs w:val="24"/>
              </w:rPr>
              <w:t>恒运集团</w:t>
            </w:r>
            <w:r>
              <w:rPr>
                <w:rFonts w:hint="eastAsia"/>
                <w:bCs/>
                <w:color w:val="000000"/>
                <w:sz w:val="24"/>
                <w:szCs w:val="24"/>
              </w:rPr>
              <w:t>”）签署交易协议，海油电投拟收购广州恒运东区天然气热电有限公司（“</w:t>
            </w:r>
            <w:r>
              <w:rPr>
                <w:rFonts w:hint="eastAsia"/>
                <w:color w:val="000000"/>
                <w:sz w:val="24"/>
                <w:szCs w:val="24"/>
              </w:rPr>
              <w:t>恒运东区</w:t>
            </w:r>
            <w:r>
              <w:rPr>
                <w:rFonts w:hint="eastAsia"/>
                <w:bCs/>
                <w:color w:val="000000"/>
                <w:sz w:val="24"/>
                <w:szCs w:val="24"/>
              </w:rPr>
              <w:t>”）40%的股权。交易前，恒运集团持有恒运东区100%股权，单独控制恒运东区。交易后，恒运集团和海油电投将分别持有恒运东区60%和40%的股权，二者共同控制恒运东区。</w:t>
            </w:r>
          </w:p>
        </w:tc>
      </w:tr>
      <w:tr w14:paraId="2EA69F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1702" w:type="dxa"/>
            <w:vMerge w:val="restart"/>
            <w:shd w:val="clear" w:color="auto" w:fill="D9D9D9"/>
            <w:vAlign w:val="center"/>
          </w:tcPr>
          <w:p w14:paraId="59D5DB63">
            <w:pPr>
              <w:pStyle w:val="3"/>
              <w:adjustRightInd w:val="0"/>
              <w:snapToGrid w:val="0"/>
              <w:spacing w:after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参与集中的经营者简介（每个限100字以内）</w:t>
            </w:r>
          </w:p>
        </w:tc>
        <w:tc>
          <w:tcPr>
            <w:tcW w:w="1984" w:type="dxa"/>
            <w:vAlign w:val="center"/>
          </w:tcPr>
          <w:p w14:paraId="3E2C071C">
            <w:pPr>
              <w:pStyle w:val="3"/>
              <w:widowControl/>
              <w:numPr>
                <w:ilvl w:val="0"/>
                <w:numId w:val="1"/>
              </w:numPr>
              <w:adjustRightInd w:val="0"/>
              <w:snapToGrid w:val="0"/>
              <w:spacing w:after="0" w:line="240" w:lineRule="auto"/>
              <w:rPr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Cs/>
                <w:color w:val="000000"/>
                <w:sz w:val="24"/>
                <w:szCs w:val="24"/>
              </w:rPr>
              <w:t>海油电投</w:t>
            </w:r>
          </w:p>
        </w:tc>
        <w:tc>
          <w:tcPr>
            <w:tcW w:w="5954" w:type="dxa"/>
            <w:vAlign w:val="center"/>
          </w:tcPr>
          <w:p w14:paraId="7DA86F41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海油电投</w:t>
            </w:r>
            <w:r>
              <w:rPr>
                <w:sz w:val="24"/>
                <w:szCs w:val="24"/>
              </w:rPr>
              <w:t>于</w:t>
            </w:r>
            <w:r>
              <w:rPr>
                <w:rFonts w:hint="eastAsia"/>
                <w:sz w:val="24"/>
                <w:szCs w:val="24"/>
              </w:rPr>
              <w:t>2020年12月17日</w:t>
            </w:r>
            <w:r>
              <w:rPr>
                <w:sz w:val="24"/>
                <w:szCs w:val="24"/>
              </w:rPr>
              <w:t>成立于</w:t>
            </w:r>
            <w:r>
              <w:rPr>
                <w:rFonts w:hint="eastAsia"/>
                <w:sz w:val="24"/>
                <w:szCs w:val="24"/>
              </w:rPr>
              <w:t>广东省中山市，主要从事天然气发电、电力投资、购售电、碳交易等业务。</w:t>
            </w:r>
          </w:p>
          <w:p w14:paraId="317B79C2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海油电投的最终控制人为中国海洋石油集团有限公司（“中国海油”），中国海油主要从事油气勘探开发、炼化与销售、天然气及发电、海上风电等业务。</w:t>
            </w:r>
          </w:p>
        </w:tc>
      </w:tr>
      <w:tr w14:paraId="4B9C4A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702" w:type="dxa"/>
            <w:vMerge w:val="continue"/>
            <w:shd w:val="clear" w:color="auto" w:fill="D9D9D9"/>
            <w:vAlign w:val="center"/>
          </w:tcPr>
          <w:p w14:paraId="77B2A1F8">
            <w:pPr>
              <w:pStyle w:val="3"/>
              <w:adjustRightInd w:val="0"/>
              <w:snapToGrid w:val="0"/>
              <w:spacing w:after="0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7BA7E5D9">
            <w:pPr>
              <w:pStyle w:val="3"/>
              <w:widowControl/>
              <w:numPr>
                <w:ilvl w:val="0"/>
                <w:numId w:val="1"/>
              </w:numPr>
              <w:adjustRightInd w:val="0"/>
              <w:snapToGrid w:val="0"/>
              <w:spacing w:after="0" w:line="240" w:lineRule="auto"/>
              <w:rPr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Cs/>
                <w:color w:val="000000"/>
                <w:sz w:val="24"/>
                <w:szCs w:val="24"/>
              </w:rPr>
              <w:t>恒运集团</w:t>
            </w:r>
          </w:p>
        </w:tc>
        <w:tc>
          <w:tcPr>
            <w:tcW w:w="5954" w:type="dxa"/>
            <w:vAlign w:val="center"/>
          </w:tcPr>
          <w:p w14:paraId="2C95CFC7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恒运集团</w:t>
            </w:r>
            <w:r>
              <w:rPr>
                <w:sz w:val="24"/>
                <w:szCs w:val="24"/>
              </w:rPr>
              <w:t>于</w:t>
            </w:r>
            <w:r>
              <w:rPr>
                <w:rFonts w:hint="eastAsia"/>
                <w:sz w:val="24"/>
                <w:szCs w:val="24"/>
              </w:rPr>
              <w:t>1992</w:t>
            </w:r>
            <w:r>
              <w:rPr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>11</w:t>
            </w:r>
            <w:r>
              <w:rPr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>30</w:t>
            </w:r>
            <w:r>
              <w:rPr>
                <w:sz w:val="24"/>
                <w:szCs w:val="24"/>
              </w:rPr>
              <w:t>日成立于</w:t>
            </w:r>
            <w:r>
              <w:rPr>
                <w:rFonts w:hint="eastAsia"/>
                <w:sz w:val="24"/>
                <w:szCs w:val="24"/>
              </w:rPr>
              <w:t>广东省广州市，为深圳证券交易所上市公司，主要从事清洁能源业务、新能源业务、金融业务和园区建设。</w:t>
            </w:r>
          </w:p>
          <w:p w14:paraId="3112BEAC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恒运集团最终控制人为广州开发区控股集团有限公司（“广开控股”）和广州高新区投资集团有限公司（“高新区集团”）。广开控股主要从事科技金融服务、科技战略投资与科技园区运营业务，高新区集团主要从事生物医药、检验检测、医美健康等生物医药与健康产业。</w:t>
            </w:r>
          </w:p>
        </w:tc>
      </w:tr>
      <w:tr w14:paraId="495F5B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702" w:type="dxa"/>
            <w:vMerge w:val="restart"/>
            <w:shd w:val="clear" w:color="auto" w:fill="D9D9D9"/>
            <w:vAlign w:val="center"/>
          </w:tcPr>
          <w:p w14:paraId="5920779F">
            <w:pPr>
              <w:pStyle w:val="3"/>
              <w:adjustRightInd w:val="0"/>
              <w:snapToGrid w:val="0"/>
              <w:spacing w:after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简易案件理由（可以单选，也可以多选）</w:t>
            </w:r>
          </w:p>
        </w:tc>
        <w:tc>
          <w:tcPr>
            <w:tcW w:w="7938" w:type="dxa"/>
            <w:gridSpan w:val="2"/>
            <w:vAlign w:val="center"/>
          </w:tcPr>
          <w:p w14:paraId="6E2BE2F7">
            <w:pPr>
              <w:pStyle w:val="3"/>
              <w:adjustRightInd w:val="0"/>
              <w:snapToGrid w:val="0"/>
              <w:spacing w:after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sym w:font="Wingdings" w:char="00FE"/>
            </w:r>
            <w:r>
              <w:rPr>
                <w:bCs/>
                <w:color w:val="000000"/>
                <w:sz w:val="24"/>
                <w:szCs w:val="24"/>
              </w:rPr>
              <w:t xml:space="preserve"> 1、在同一相关市场，所有参与集中的经营者所占市场份额之和小于15%。</w:t>
            </w:r>
          </w:p>
        </w:tc>
      </w:tr>
      <w:tr w14:paraId="4B75C1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702" w:type="dxa"/>
            <w:vMerge w:val="continue"/>
            <w:shd w:val="clear" w:color="auto" w:fill="D9D9D9"/>
            <w:vAlign w:val="center"/>
          </w:tcPr>
          <w:p w14:paraId="16F7FE90">
            <w:pPr>
              <w:pStyle w:val="3"/>
              <w:adjustRightInd w:val="0"/>
              <w:snapToGrid w:val="0"/>
              <w:spacing w:after="0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7938" w:type="dxa"/>
            <w:gridSpan w:val="2"/>
            <w:vAlign w:val="center"/>
          </w:tcPr>
          <w:p w14:paraId="15BC7F57">
            <w:pPr>
              <w:pStyle w:val="3"/>
              <w:adjustRightInd w:val="0"/>
              <w:snapToGrid w:val="0"/>
              <w:spacing w:after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sym w:font="Wingdings" w:char="00FE"/>
            </w:r>
            <w:r>
              <w:rPr>
                <w:bCs/>
                <w:color w:val="000000"/>
                <w:sz w:val="24"/>
                <w:szCs w:val="24"/>
              </w:rPr>
              <w:t xml:space="preserve"> 2、存在上下游关系的参与集中的经营者，在上下游市场所占的市场份额均小于25%。</w:t>
            </w:r>
          </w:p>
        </w:tc>
      </w:tr>
      <w:tr w14:paraId="2DCA93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02" w:type="dxa"/>
            <w:vMerge w:val="continue"/>
            <w:shd w:val="clear" w:color="auto" w:fill="D9D9D9"/>
            <w:vAlign w:val="center"/>
          </w:tcPr>
          <w:p w14:paraId="50A89093">
            <w:pPr>
              <w:pStyle w:val="3"/>
              <w:adjustRightInd w:val="0"/>
              <w:snapToGrid w:val="0"/>
              <w:spacing w:after="0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7938" w:type="dxa"/>
            <w:gridSpan w:val="2"/>
            <w:vAlign w:val="center"/>
          </w:tcPr>
          <w:p w14:paraId="27B0C7B5">
            <w:pPr>
              <w:pStyle w:val="3"/>
              <w:adjustRightInd w:val="0"/>
              <w:snapToGrid w:val="0"/>
              <w:spacing w:after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sym w:font="Wingdings" w:char="00A8"/>
            </w:r>
            <w:r>
              <w:rPr>
                <w:bCs/>
                <w:color w:val="000000"/>
                <w:sz w:val="24"/>
                <w:szCs w:val="24"/>
              </w:rPr>
              <w:t xml:space="preserve"> 3、不在同一相关市场、也不存在上下游关系的参与集中的经营者，在与交易有关的每个市场所占的份额均小于25%。</w:t>
            </w:r>
          </w:p>
        </w:tc>
      </w:tr>
      <w:tr w14:paraId="0348FE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702" w:type="dxa"/>
            <w:vMerge w:val="continue"/>
            <w:shd w:val="clear" w:color="auto" w:fill="D9D9D9"/>
            <w:vAlign w:val="center"/>
          </w:tcPr>
          <w:p w14:paraId="30D12D2F">
            <w:pPr>
              <w:pStyle w:val="3"/>
              <w:adjustRightInd w:val="0"/>
              <w:snapToGrid w:val="0"/>
              <w:spacing w:after="0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7938" w:type="dxa"/>
            <w:gridSpan w:val="2"/>
            <w:vAlign w:val="center"/>
          </w:tcPr>
          <w:p w14:paraId="6180443E">
            <w:pPr>
              <w:pStyle w:val="3"/>
              <w:adjustRightInd w:val="0"/>
              <w:snapToGrid w:val="0"/>
              <w:spacing w:after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sym w:font="Wingdings" w:char="00A8"/>
            </w:r>
            <w:r>
              <w:rPr>
                <w:bCs/>
                <w:color w:val="000000"/>
                <w:sz w:val="24"/>
                <w:szCs w:val="24"/>
              </w:rPr>
              <w:t xml:space="preserve"> 4、参与集中的经营者在中国境外设立合营企业，合营企业不在中国境内从事经济活动。</w:t>
            </w:r>
          </w:p>
        </w:tc>
      </w:tr>
      <w:tr w14:paraId="5C71BE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702" w:type="dxa"/>
            <w:vMerge w:val="continue"/>
            <w:shd w:val="clear" w:color="auto" w:fill="D9D9D9"/>
            <w:vAlign w:val="center"/>
          </w:tcPr>
          <w:p w14:paraId="4DC08D70">
            <w:pPr>
              <w:pStyle w:val="3"/>
              <w:adjustRightInd w:val="0"/>
              <w:snapToGrid w:val="0"/>
              <w:spacing w:after="0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7938" w:type="dxa"/>
            <w:gridSpan w:val="2"/>
            <w:vAlign w:val="center"/>
          </w:tcPr>
          <w:p w14:paraId="7E3A65F9">
            <w:pPr>
              <w:pStyle w:val="3"/>
              <w:adjustRightInd w:val="0"/>
              <w:snapToGrid w:val="0"/>
              <w:spacing w:after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sym w:font="Wingdings" w:char="00A8"/>
            </w:r>
            <w:r>
              <w:rPr>
                <w:bCs/>
                <w:color w:val="000000"/>
                <w:sz w:val="24"/>
                <w:szCs w:val="24"/>
              </w:rPr>
              <w:t xml:space="preserve"> 5、参与集中的经营者收购境外企业股权或资产的，该境外企业不在中国境内从事经济活动。</w:t>
            </w:r>
          </w:p>
        </w:tc>
      </w:tr>
      <w:tr w14:paraId="6F3AB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702" w:type="dxa"/>
            <w:vMerge w:val="continue"/>
            <w:shd w:val="clear" w:color="auto" w:fill="D9D9D9"/>
            <w:vAlign w:val="center"/>
          </w:tcPr>
          <w:p w14:paraId="59B03633">
            <w:pPr>
              <w:pStyle w:val="3"/>
              <w:adjustRightInd w:val="0"/>
              <w:snapToGrid w:val="0"/>
              <w:spacing w:after="0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7938" w:type="dxa"/>
            <w:gridSpan w:val="2"/>
            <w:vAlign w:val="center"/>
          </w:tcPr>
          <w:p w14:paraId="64EE1106">
            <w:pPr>
              <w:pStyle w:val="3"/>
              <w:adjustRightInd w:val="0"/>
              <w:snapToGrid w:val="0"/>
              <w:spacing w:after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sym w:font="Wingdings" w:char="00A8"/>
            </w:r>
            <w:r>
              <w:rPr>
                <w:bCs/>
                <w:color w:val="000000"/>
                <w:sz w:val="24"/>
                <w:szCs w:val="24"/>
              </w:rPr>
              <w:t xml:space="preserve"> 6、由两个以上的经营者共同控制的合营企业，通过集中被其中一个或一个以上经营者控制。</w:t>
            </w:r>
          </w:p>
        </w:tc>
      </w:tr>
      <w:tr w14:paraId="62974D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</w:trPr>
        <w:tc>
          <w:tcPr>
            <w:tcW w:w="1702" w:type="dxa"/>
            <w:shd w:val="clear" w:color="auto" w:fill="D9D9D9"/>
            <w:vAlign w:val="center"/>
          </w:tcPr>
          <w:p w14:paraId="3B5C0B59">
            <w:pPr>
              <w:pStyle w:val="3"/>
              <w:adjustRightInd w:val="0"/>
              <w:snapToGrid w:val="0"/>
              <w:spacing w:after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7938" w:type="dxa"/>
            <w:gridSpan w:val="2"/>
            <w:vAlign w:val="center"/>
          </w:tcPr>
          <w:p w14:paraId="2EC72A5E">
            <w:pPr>
              <w:pStyle w:val="3"/>
              <w:adjustRightInd w:val="0"/>
              <w:snapToGrid w:val="0"/>
              <w:spacing w:after="0"/>
              <w:rPr>
                <w:rFonts w:hint="eastAsia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横向重叠</w:t>
            </w:r>
            <w:r>
              <w:rPr>
                <w:rFonts w:hint="eastAsia"/>
                <w:b/>
                <w:color w:val="000000"/>
                <w:sz w:val="24"/>
                <w:szCs w:val="24"/>
                <w:lang w:eastAsia="zh-CN"/>
              </w:rPr>
              <w:t>：</w:t>
            </w:r>
          </w:p>
          <w:tbl>
            <w:tblPr>
              <w:tblStyle w:val="5"/>
              <w:tblW w:w="0" w:type="auto"/>
              <w:tblInd w:w="0" w:type="dxa"/>
              <w:tblBorders>
                <w:top w:val="single" w:color="000000" w:sz="4" w:space="0"/>
                <w:left w:val="single" w:color="000000" w:sz="4" w:space="0"/>
                <w:bottom w:val="single" w:color="000000" w:sz="4" w:space="0"/>
                <w:right w:val="single" w:color="000000" w:sz="4" w:space="0"/>
                <w:insideH w:val="single" w:color="000000" w:sz="4" w:space="0"/>
                <w:insideV w:val="single" w:color="000000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586"/>
              <w:gridCol w:w="2268"/>
              <w:gridCol w:w="2853"/>
            </w:tblGrid>
            <w:tr w14:paraId="68D54EEE"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586" w:type="dxa"/>
                  <w:shd w:val="clear" w:color="auto" w:fill="auto"/>
                  <w:vAlign w:val="center"/>
                </w:tcPr>
                <w:p w14:paraId="77E76081">
                  <w:pPr>
                    <w:pStyle w:val="3"/>
                    <w:adjustRightInd w:val="0"/>
                    <w:snapToGrid w:val="0"/>
                    <w:spacing w:after="0"/>
                    <w:jc w:val="center"/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相关商品市场</w:t>
                  </w:r>
                </w:p>
              </w:tc>
              <w:tc>
                <w:tcPr>
                  <w:tcW w:w="2268" w:type="dxa"/>
                  <w:shd w:val="clear" w:color="auto" w:fill="auto"/>
                  <w:vAlign w:val="center"/>
                </w:tcPr>
                <w:p w14:paraId="3CAA3EC8">
                  <w:pPr>
                    <w:pStyle w:val="3"/>
                    <w:adjustRightInd w:val="0"/>
                    <w:snapToGrid w:val="0"/>
                    <w:spacing w:after="0"/>
                    <w:jc w:val="center"/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相关地域市场</w:t>
                  </w:r>
                </w:p>
              </w:tc>
              <w:tc>
                <w:tcPr>
                  <w:tcW w:w="2853" w:type="dxa"/>
                  <w:shd w:val="clear" w:color="auto" w:fill="auto"/>
                  <w:vAlign w:val="center"/>
                </w:tcPr>
                <w:p w14:paraId="2D88E0B2">
                  <w:pPr>
                    <w:pStyle w:val="3"/>
                    <w:adjustRightInd w:val="0"/>
                    <w:snapToGrid w:val="0"/>
                    <w:spacing w:after="0"/>
                    <w:jc w:val="center"/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2023年市场份额</w:t>
                  </w:r>
                </w:p>
              </w:tc>
            </w:tr>
            <w:tr w14:paraId="20F2558A"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586" w:type="dxa"/>
                  <w:shd w:val="clear" w:color="auto" w:fill="auto"/>
                  <w:vAlign w:val="center"/>
                </w:tcPr>
                <w:p w14:paraId="616C1B46">
                  <w:pPr>
                    <w:pStyle w:val="3"/>
                    <w:adjustRightInd w:val="0"/>
                    <w:snapToGrid w:val="0"/>
                    <w:spacing w:after="0"/>
                    <w:jc w:val="center"/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  <w:t>天然气发电市场</w:t>
                  </w:r>
                </w:p>
              </w:tc>
              <w:tc>
                <w:tcPr>
                  <w:tcW w:w="2268" w:type="dxa"/>
                  <w:shd w:val="clear" w:color="auto" w:fill="auto"/>
                  <w:vAlign w:val="center"/>
                </w:tcPr>
                <w:p w14:paraId="224CF2F6">
                  <w:pPr>
                    <w:pStyle w:val="3"/>
                    <w:adjustRightInd w:val="0"/>
                    <w:snapToGrid w:val="0"/>
                    <w:spacing w:after="0"/>
                    <w:jc w:val="center"/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  <w:t>中国境内</w:t>
                  </w:r>
                </w:p>
              </w:tc>
              <w:tc>
                <w:tcPr>
                  <w:tcW w:w="2853" w:type="dxa"/>
                  <w:shd w:val="clear" w:color="auto" w:fill="auto"/>
                  <w:vAlign w:val="center"/>
                </w:tcPr>
                <w:p w14:paraId="61C7A995">
                  <w:pPr>
                    <w:pStyle w:val="3"/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before="0" w:beforeAutospacing="0" w:after="0" w:afterAutospacing="0" w:line="240" w:lineRule="auto"/>
                    <w:ind w:left="0" w:right="0"/>
                    <w:textAlignment w:val="auto"/>
                    <w:rPr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  <w:t>海油电投：5-10%</w:t>
                  </w:r>
                </w:p>
                <w:p w14:paraId="472A8C0E">
                  <w:pPr>
                    <w:pStyle w:val="3"/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before="0" w:beforeAutospacing="0" w:after="0" w:afterAutospacing="0" w:line="240" w:lineRule="auto"/>
                    <w:ind w:left="0" w:right="0"/>
                    <w:textAlignment w:val="auto"/>
                    <w:rPr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  <w:t>恒运</w:t>
                  </w:r>
                  <w:r>
                    <w:rPr>
                      <w:rFonts w:hint="eastAsia" w:ascii="Times New Roman" w:hAnsi="Times New Roman" w:eastAsia="宋体" w:cs="Times New Roman"/>
                      <w:bCs w:val="0"/>
                      <w:sz w:val="24"/>
                      <w:lang w:val="en-US" w:eastAsia="zh-CN" w:bidi="ar"/>
                    </w:rPr>
                    <w:t>集团</w:t>
                  </w:r>
                  <w:r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  <w:t>：0-5%</w:t>
                  </w:r>
                </w:p>
                <w:p w14:paraId="5F5DF174">
                  <w:pPr>
                    <w:pStyle w:val="3"/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before="0" w:beforeAutospacing="0" w:after="0" w:afterAutospacing="0" w:line="240" w:lineRule="auto"/>
                    <w:ind w:left="0" w:right="0"/>
                    <w:textAlignment w:val="auto"/>
                    <w:rPr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  <w:t>恒运东区：0-5%</w:t>
                  </w:r>
                </w:p>
                <w:p w14:paraId="646C2D65">
                  <w:pPr>
                    <w:pStyle w:val="3"/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before="0" w:beforeAutospacing="0" w:after="0" w:afterAutospacing="0" w:line="240" w:lineRule="auto"/>
                    <w:ind w:left="0" w:right="0"/>
                    <w:textAlignment w:val="auto"/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  <w:t>各方合计：5-10%</w:t>
                  </w:r>
                </w:p>
              </w:tc>
            </w:tr>
            <w:tr w14:paraId="125A2379"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586" w:type="dxa"/>
                  <w:shd w:val="clear" w:color="auto" w:fill="auto"/>
                  <w:vAlign w:val="center"/>
                </w:tcPr>
                <w:p w14:paraId="2C780C86">
                  <w:pPr>
                    <w:pStyle w:val="3"/>
                    <w:adjustRightInd w:val="0"/>
                    <w:snapToGrid w:val="0"/>
                    <w:spacing w:after="0"/>
                    <w:jc w:val="center"/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  <w:t>热力生产和供应市场</w:t>
                  </w:r>
                </w:p>
              </w:tc>
              <w:tc>
                <w:tcPr>
                  <w:tcW w:w="2268" w:type="dxa"/>
                  <w:shd w:val="clear" w:color="auto" w:fill="auto"/>
                  <w:vAlign w:val="center"/>
                </w:tcPr>
                <w:p w14:paraId="0952ED03">
                  <w:pPr>
                    <w:pStyle w:val="3"/>
                    <w:adjustRightInd w:val="0"/>
                    <w:snapToGrid w:val="0"/>
                    <w:spacing w:after="0"/>
                    <w:jc w:val="center"/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  <w:t>中国境内</w:t>
                  </w:r>
                </w:p>
              </w:tc>
              <w:tc>
                <w:tcPr>
                  <w:tcW w:w="2853" w:type="dxa"/>
                  <w:shd w:val="clear" w:color="auto" w:fill="auto"/>
                  <w:vAlign w:val="center"/>
                </w:tcPr>
                <w:p w14:paraId="1E7B7F20">
                  <w:pPr>
                    <w:pStyle w:val="3"/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before="0" w:beforeAutospacing="0" w:after="0" w:afterAutospacing="0" w:line="240" w:lineRule="auto"/>
                    <w:ind w:left="0" w:right="0"/>
                    <w:textAlignment w:val="auto"/>
                    <w:rPr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  <w:t>海油电投：0-5%</w:t>
                  </w:r>
                </w:p>
                <w:p w14:paraId="4A8B1D84">
                  <w:pPr>
                    <w:pStyle w:val="3"/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before="0" w:beforeAutospacing="0" w:after="0" w:afterAutospacing="0" w:line="240" w:lineRule="auto"/>
                    <w:ind w:left="0" w:right="0"/>
                    <w:textAlignment w:val="auto"/>
                    <w:rPr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  <w:t>恒运集团：0-5%</w:t>
                  </w:r>
                </w:p>
                <w:p w14:paraId="2BA17F1B">
                  <w:pPr>
                    <w:pStyle w:val="3"/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before="0" w:beforeAutospacing="0" w:after="0" w:afterAutospacing="0" w:line="240" w:lineRule="auto"/>
                    <w:ind w:left="0" w:right="0"/>
                    <w:textAlignment w:val="auto"/>
                    <w:rPr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  <w:t>恒运东区：0-5%</w:t>
                  </w:r>
                </w:p>
                <w:p w14:paraId="638D7ACA">
                  <w:pPr>
                    <w:pStyle w:val="3"/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before="0" w:beforeAutospacing="0" w:after="0" w:afterAutospacing="0" w:line="240" w:lineRule="auto"/>
                    <w:ind w:left="0" w:right="0"/>
                    <w:textAlignment w:val="auto"/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Cs w:val="0"/>
                      <w:sz w:val="24"/>
                      <w:lang w:val="en-US" w:eastAsia="zh-CN" w:bidi="ar"/>
                    </w:rPr>
                    <w:t>各方</w:t>
                  </w:r>
                  <w:r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  <w:t>合计：0-5%</w:t>
                  </w:r>
                </w:p>
              </w:tc>
            </w:tr>
          </w:tbl>
          <w:p w14:paraId="044C7937"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纵向关联：</w:t>
            </w:r>
          </w:p>
          <w:tbl>
            <w:tblPr>
              <w:tblStyle w:val="5"/>
              <w:tblW w:w="0" w:type="auto"/>
              <w:tblInd w:w="0" w:type="dxa"/>
              <w:tblBorders>
                <w:top w:val="single" w:color="000000" w:sz="4" w:space="0"/>
                <w:left w:val="single" w:color="000000" w:sz="4" w:space="0"/>
                <w:bottom w:val="single" w:color="000000" w:sz="4" w:space="0"/>
                <w:right w:val="single" w:color="000000" w:sz="4" w:space="0"/>
                <w:insideH w:val="single" w:color="000000" w:sz="4" w:space="0"/>
                <w:insideV w:val="single" w:color="000000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728"/>
              <w:gridCol w:w="2126"/>
              <w:gridCol w:w="2853"/>
            </w:tblGrid>
            <w:tr w14:paraId="310E815C"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28" w:type="dxa"/>
                  <w:shd w:val="clear" w:color="auto" w:fill="auto"/>
                  <w:vAlign w:val="center"/>
                </w:tcPr>
                <w:p w14:paraId="243E9660">
                  <w:pPr>
                    <w:pStyle w:val="3"/>
                    <w:adjustRightInd w:val="0"/>
                    <w:snapToGrid w:val="0"/>
                    <w:spacing w:after="0"/>
                    <w:jc w:val="center"/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相关商品市场</w:t>
                  </w:r>
                </w:p>
              </w:tc>
              <w:tc>
                <w:tcPr>
                  <w:tcW w:w="2126" w:type="dxa"/>
                  <w:shd w:val="clear" w:color="auto" w:fill="auto"/>
                  <w:vAlign w:val="center"/>
                </w:tcPr>
                <w:p w14:paraId="25893C04">
                  <w:pPr>
                    <w:pStyle w:val="3"/>
                    <w:adjustRightInd w:val="0"/>
                    <w:snapToGrid w:val="0"/>
                    <w:spacing w:after="0"/>
                    <w:jc w:val="center"/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相关地域市场</w:t>
                  </w:r>
                </w:p>
              </w:tc>
              <w:tc>
                <w:tcPr>
                  <w:tcW w:w="2853" w:type="dxa"/>
                  <w:shd w:val="clear" w:color="auto" w:fill="auto"/>
                  <w:vAlign w:val="center"/>
                </w:tcPr>
                <w:p w14:paraId="4C58B704">
                  <w:pPr>
                    <w:pStyle w:val="3"/>
                    <w:adjustRightInd w:val="0"/>
                    <w:snapToGrid w:val="0"/>
                    <w:spacing w:after="0"/>
                    <w:jc w:val="center"/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2023年市场份额</w:t>
                  </w:r>
                </w:p>
              </w:tc>
            </w:tr>
            <w:tr w14:paraId="448DB96C"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28" w:type="dxa"/>
                  <w:shd w:val="clear" w:color="auto" w:fill="auto"/>
                </w:tcPr>
                <w:p w14:paraId="560C82C4">
                  <w:pPr>
                    <w:pStyle w:val="3"/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before="0" w:beforeAutospacing="0" w:after="0" w:afterAutospacing="0" w:line="240" w:lineRule="auto"/>
                    <w:ind w:left="0" w:right="0"/>
                    <w:textAlignment w:val="auto"/>
                    <w:rPr>
                      <w:rFonts w:hint="eastAsia" w:ascii="Times New Roman" w:hAnsi="Times New Roman" w:eastAsia="宋体" w:cs="Times New Roman"/>
                      <w:bCs w:val="0"/>
                      <w:sz w:val="24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Cs w:val="0"/>
                      <w:sz w:val="24"/>
                      <w:lang w:val="en-US" w:eastAsia="zh-CN" w:bidi="ar"/>
                    </w:rPr>
                    <w:t>上游：天然气批发供应市场</w:t>
                  </w:r>
                </w:p>
                <w:p w14:paraId="428E9863">
                  <w:pPr>
                    <w:pStyle w:val="3"/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before="0" w:beforeAutospacing="0" w:after="0" w:afterAutospacing="0" w:line="240" w:lineRule="auto"/>
                    <w:ind w:left="0" w:right="0"/>
                    <w:textAlignment w:val="auto"/>
                    <w:rPr>
                      <w:rFonts w:hint="eastAsia" w:ascii="Times New Roman" w:hAnsi="Times New Roman" w:eastAsia="宋体" w:cs="Times New Roman"/>
                      <w:bCs w:val="0"/>
                      <w:sz w:val="24"/>
                      <w:lang w:val="en-US" w:eastAsia="zh-CN" w:bidi="ar"/>
                    </w:rPr>
                  </w:pPr>
                </w:p>
                <w:p w14:paraId="027F6056">
                  <w:pPr>
                    <w:pStyle w:val="3"/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before="0" w:beforeAutospacing="0" w:after="0" w:afterAutospacing="0" w:line="240" w:lineRule="auto"/>
                    <w:ind w:left="0" w:right="0"/>
                    <w:textAlignment w:val="auto"/>
                    <w:rPr>
                      <w:rFonts w:hint="eastAsia" w:ascii="Times New Roman" w:hAnsi="Times New Roman" w:eastAsia="宋体" w:cs="Times New Roman"/>
                      <w:bCs w:val="0"/>
                      <w:sz w:val="24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Cs w:val="0"/>
                      <w:sz w:val="24"/>
                      <w:lang w:val="en-US" w:eastAsia="zh-CN" w:bidi="ar"/>
                    </w:rPr>
                    <w:t>下游：天然气发电市场</w:t>
                  </w:r>
                </w:p>
              </w:tc>
              <w:tc>
                <w:tcPr>
                  <w:tcW w:w="2126" w:type="dxa"/>
                  <w:shd w:val="clear" w:color="auto" w:fill="auto"/>
                </w:tcPr>
                <w:p w14:paraId="65B89D00">
                  <w:pPr>
                    <w:pStyle w:val="3"/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before="0" w:beforeAutospacing="0" w:after="0" w:afterAutospacing="0" w:line="240" w:lineRule="auto"/>
                    <w:ind w:left="0" w:right="0"/>
                    <w:textAlignment w:val="auto"/>
                    <w:rPr>
                      <w:rFonts w:hint="eastAsia" w:ascii="Times New Roman" w:hAnsi="Times New Roman" w:eastAsia="宋体" w:cs="Times New Roman"/>
                      <w:bCs w:val="0"/>
                      <w:sz w:val="24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Cs w:val="0"/>
                      <w:sz w:val="24"/>
                      <w:lang w:val="en-US" w:eastAsia="zh-CN" w:bidi="ar"/>
                    </w:rPr>
                    <w:t>上游：中国境内</w:t>
                  </w:r>
                </w:p>
                <w:p w14:paraId="64534981">
                  <w:pPr>
                    <w:pStyle w:val="3"/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before="0" w:beforeAutospacing="0" w:after="0" w:afterAutospacing="0" w:line="240" w:lineRule="auto"/>
                    <w:ind w:left="0" w:right="0"/>
                    <w:textAlignment w:val="auto"/>
                    <w:rPr>
                      <w:rFonts w:hint="eastAsia" w:ascii="Times New Roman" w:hAnsi="Times New Roman" w:eastAsia="宋体" w:cs="Times New Roman"/>
                      <w:bCs w:val="0"/>
                      <w:sz w:val="24"/>
                      <w:lang w:val="en-US" w:eastAsia="zh-CN" w:bidi="ar"/>
                    </w:rPr>
                  </w:pPr>
                </w:p>
                <w:p w14:paraId="271DDCE4">
                  <w:pPr>
                    <w:pStyle w:val="3"/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before="0" w:beforeAutospacing="0" w:after="0" w:afterAutospacing="0" w:line="240" w:lineRule="auto"/>
                    <w:ind w:left="0" w:right="0"/>
                    <w:textAlignment w:val="auto"/>
                    <w:rPr>
                      <w:rFonts w:hint="eastAsia" w:ascii="Times New Roman" w:hAnsi="Times New Roman" w:eastAsia="宋体" w:cs="Times New Roman"/>
                      <w:bCs w:val="0"/>
                      <w:sz w:val="24"/>
                      <w:lang w:val="en-US" w:eastAsia="zh-CN" w:bidi="ar"/>
                    </w:rPr>
                  </w:pPr>
                </w:p>
                <w:p w14:paraId="7192B786">
                  <w:pPr>
                    <w:pStyle w:val="3"/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before="0" w:beforeAutospacing="0" w:after="0" w:afterAutospacing="0" w:line="240" w:lineRule="auto"/>
                    <w:ind w:left="0" w:right="0"/>
                    <w:textAlignment w:val="auto"/>
                    <w:rPr>
                      <w:rFonts w:hint="eastAsia" w:ascii="Times New Roman" w:hAnsi="Times New Roman" w:eastAsia="宋体" w:cs="Times New Roman"/>
                      <w:bCs w:val="0"/>
                      <w:sz w:val="24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Cs w:val="0"/>
                      <w:sz w:val="24"/>
                      <w:lang w:val="en-US" w:eastAsia="zh-CN" w:bidi="ar"/>
                    </w:rPr>
                    <w:t>下游：中国境内</w:t>
                  </w:r>
                </w:p>
              </w:tc>
              <w:tc>
                <w:tcPr>
                  <w:tcW w:w="2853" w:type="dxa"/>
                  <w:shd w:val="clear" w:color="auto" w:fill="auto"/>
                </w:tcPr>
                <w:p w14:paraId="4CFFB2CF">
                  <w:pPr>
                    <w:pStyle w:val="3"/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before="0" w:beforeAutospacing="0" w:after="0" w:afterAutospacing="0" w:line="240" w:lineRule="auto"/>
                    <w:ind w:left="0" w:right="0"/>
                    <w:textAlignment w:val="auto"/>
                    <w:rPr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  <w:t>上游：中国境内天然气批发供应市场</w:t>
                  </w:r>
                </w:p>
                <w:p w14:paraId="23CEC242">
                  <w:pPr>
                    <w:pStyle w:val="3"/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before="0" w:beforeAutospacing="0" w:after="0" w:afterAutospacing="0" w:line="240" w:lineRule="auto"/>
                    <w:ind w:left="0" w:right="0"/>
                    <w:textAlignment w:val="auto"/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  <w:t>海油电投：15-20%</w:t>
                  </w:r>
                </w:p>
                <w:p w14:paraId="68BFC79C">
                  <w:pPr>
                    <w:pStyle w:val="3"/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before="0" w:beforeAutospacing="0" w:after="0" w:afterAutospacing="0" w:line="240" w:lineRule="auto"/>
                    <w:ind w:left="0" w:right="0"/>
                    <w:textAlignment w:val="auto"/>
                    <w:rPr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  <w:t>下游：中国境内天然气发电市场</w:t>
                  </w:r>
                </w:p>
                <w:p w14:paraId="694AC6DE">
                  <w:pPr>
                    <w:pStyle w:val="3"/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before="0" w:beforeAutospacing="0" w:after="0" w:afterAutospacing="0" w:line="240" w:lineRule="auto"/>
                    <w:ind w:left="0" w:right="0"/>
                    <w:textAlignment w:val="auto"/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Cs w:val="0"/>
                      <w:sz w:val="24"/>
                      <w:lang w:val="en-US" w:eastAsia="zh-CN" w:bidi="ar"/>
                    </w:rPr>
                    <w:t>如上所述</w:t>
                  </w:r>
                </w:p>
              </w:tc>
            </w:tr>
            <w:tr w14:paraId="22ED8517"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28" w:type="dxa"/>
                  <w:shd w:val="clear" w:color="auto" w:fill="auto"/>
                </w:tcPr>
                <w:p w14:paraId="5B96AE5F">
                  <w:pPr>
                    <w:pStyle w:val="3"/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before="0" w:beforeAutospacing="0" w:after="0" w:afterAutospacing="0" w:line="240" w:lineRule="auto"/>
                    <w:ind w:left="0" w:right="0"/>
                    <w:textAlignment w:val="auto"/>
                    <w:rPr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Cs w:val="0"/>
                      <w:sz w:val="24"/>
                      <w:lang w:val="en-US" w:eastAsia="zh-CN" w:bidi="ar"/>
                    </w:rPr>
                    <w:t>上游</w:t>
                  </w:r>
                  <w:r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  <w:t>：天然气批发供应市场</w:t>
                  </w:r>
                </w:p>
                <w:p w14:paraId="505C6CC2">
                  <w:pPr>
                    <w:pStyle w:val="3"/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before="0" w:beforeAutospacing="0" w:after="0" w:afterAutospacing="0" w:line="240" w:lineRule="auto"/>
                    <w:ind w:left="0" w:right="0"/>
                    <w:textAlignment w:val="auto"/>
                    <w:rPr>
                      <w:rFonts w:hint="eastAsia"/>
                      <w:sz w:val="24"/>
                      <w:szCs w:val="24"/>
                    </w:rPr>
                  </w:pPr>
                </w:p>
                <w:p w14:paraId="2368E8AB">
                  <w:pPr>
                    <w:pStyle w:val="3"/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before="0" w:beforeAutospacing="0" w:after="0" w:afterAutospacing="0" w:line="240" w:lineRule="auto"/>
                    <w:ind w:left="0" w:right="0"/>
                    <w:textAlignment w:val="auto"/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Cs w:val="0"/>
                      <w:sz w:val="24"/>
                      <w:lang w:val="en-US" w:eastAsia="zh-CN" w:bidi="ar"/>
                    </w:rPr>
                    <w:t>下游</w:t>
                  </w:r>
                  <w:r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  <w:t>：热力生产和供应市场</w:t>
                  </w:r>
                </w:p>
              </w:tc>
              <w:tc>
                <w:tcPr>
                  <w:tcW w:w="2126" w:type="dxa"/>
                  <w:shd w:val="clear" w:color="auto" w:fill="auto"/>
                </w:tcPr>
                <w:p w14:paraId="2C16D2AC">
                  <w:pPr>
                    <w:pStyle w:val="3"/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before="0" w:beforeAutospacing="0" w:after="0" w:afterAutospacing="0" w:line="240" w:lineRule="auto"/>
                    <w:ind w:left="0" w:right="0"/>
                    <w:textAlignment w:val="auto"/>
                    <w:rPr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Cs w:val="0"/>
                      <w:sz w:val="24"/>
                      <w:lang w:val="en-US" w:eastAsia="zh-CN" w:bidi="ar"/>
                    </w:rPr>
                    <w:t>上游</w:t>
                  </w:r>
                  <w:r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  <w:t>：中国境内</w:t>
                  </w:r>
                </w:p>
                <w:p w14:paraId="43F6CD81">
                  <w:pPr>
                    <w:pStyle w:val="3"/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before="0" w:beforeAutospacing="0" w:after="0" w:afterAutospacing="0" w:line="240" w:lineRule="auto"/>
                    <w:ind w:left="0" w:right="0"/>
                    <w:textAlignment w:val="auto"/>
                    <w:rPr>
                      <w:rFonts w:hint="eastAsia"/>
                      <w:sz w:val="24"/>
                      <w:szCs w:val="24"/>
                    </w:rPr>
                  </w:pPr>
                </w:p>
                <w:p w14:paraId="388957E6">
                  <w:pPr>
                    <w:pStyle w:val="4"/>
                    <w:rPr>
                      <w:rFonts w:hint="eastAsia"/>
                    </w:rPr>
                  </w:pPr>
                </w:p>
                <w:p w14:paraId="08AB57C9">
                  <w:pPr>
                    <w:pStyle w:val="3"/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before="0" w:beforeAutospacing="0" w:after="0" w:afterAutospacing="0" w:line="240" w:lineRule="auto"/>
                    <w:ind w:left="0" w:right="0"/>
                    <w:textAlignment w:val="auto"/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  <w:t>下游：中国境内</w:t>
                  </w:r>
                </w:p>
              </w:tc>
              <w:tc>
                <w:tcPr>
                  <w:tcW w:w="2853" w:type="dxa"/>
                  <w:shd w:val="clear" w:color="auto" w:fill="auto"/>
                </w:tcPr>
                <w:p w14:paraId="4EFF8611">
                  <w:pPr>
                    <w:pStyle w:val="3"/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before="0" w:beforeAutospacing="0" w:after="0" w:afterAutospacing="0" w:line="240" w:lineRule="auto"/>
                    <w:ind w:left="0" w:right="0"/>
                    <w:textAlignment w:val="auto"/>
                    <w:rPr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  <w:t>上游：中国境内天然气批发供应市场</w:t>
                  </w:r>
                </w:p>
                <w:p w14:paraId="5B8EE2A4">
                  <w:pPr>
                    <w:pStyle w:val="3"/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before="0" w:beforeAutospacing="0" w:after="0" w:afterAutospacing="0" w:line="240" w:lineRule="auto"/>
                    <w:ind w:left="0" w:right="0"/>
                    <w:textAlignment w:val="auto"/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Cs w:val="0"/>
                      <w:sz w:val="24"/>
                      <w:lang w:val="en-US" w:eastAsia="zh-CN" w:bidi="ar"/>
                    </w:rPr>
                    <w:t>如上所述</w:t>
                  </w:r>
                </w:p>
                <w:p w14:paraId="7E1CDDC2">
                  <w:pPr>
                    <w:pStyle w:val="3"/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before="0" w:beforeAutospacing="0" w:after="0" w:afterAutospacing="0" w:line="240" w:lineRule="auto"/>
                    <w:ind w:left="0" w:right="0"/>
                    <w:textAlignment w:val="auto"/>
                    <w:rPr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  <w:t>下游：</w:t>
                  </w:r>
                  <w:r>
                    <w:rPr>
                      <w:rFonts w:hint="eastAsia" w:ascii="Times New Roman" w:hAnsi="Times New Roman" w:eastAsia="宋体" w:cs="Times New Roman"/>
                      <w:bCs w:val="0"/>
                      <w:sz w:val="24"/>
                      <w:lang w:val="en-US" w:eastAsia="zh-CN" w:bidi="ar"/>
                    </w:rPr>
                    <w:t>中国</w:t>
                  </w:r>
                  <w:r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  <w:t>境内热力生产和供应市场</w:t>
                  </w:r>
                </w:p>
                <w:p w14:paraId="342B417C">
                  <w:pPr>
                    <w:pStyle w:val="3"/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before="0" w:beforeAutospacing="0" w:after="0" w:afterAutospacing="0" w:line="240" w:lineRule="auto"/>
                    <w:ind w:left="0" w:right="0"/>
                    <w:textAlignment w:val="auto"/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Cs w:val="0"/>
                      <w:sz w:val="24"/>
                      <w:lang w:val="en-US" w:eastAsia="zh-CN" w:bidi="ar"/>
                    </w:rPr>
                    <w:t>如上所述</w:t>
                  </w:r>
                </w:p>
              </w:tc>
            </w:tr>
            <w:tr w14:paraId="028CBC54"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28" w:type="dxa"/>
                  <w:shd w:val="clear" w:color="auto" w:fill="auto"/>
                </w:tcPr>
                <w:p w14:paraId="2FDC7CEB">
                  <w:pPr>
                    <w:pStyle w:val="3"/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before="0" w:beforeAutospacing="0" w:after="0" w:afterAutospacing="0" w:line="240" w:lineRule="auto"/>
                    <w:ind w:left="0" w:right="0"/>
                    <w:textAlignment w:val="auto"/>
                    <w:rPr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  <w:t>上游：天然气发电市场</w:t>
                  </w:r>
                </w:p>
                <w:p w14:paraId="503BCE98">
                  <w:pPr>
                    <w:pStyle w:val="3"/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before="0" w:beforeAutospacing="0" w:after="0" w:afterAutospacing="0" w:line="240" w:lineRule="auto"/>
                    <w:ind w:left="0" w:right="0"/>
                    <w:textAlignment w:val="auto"/>
                    <w:rPr>
                      <w:bCs/>
                      <w:color w:val="000000"/>
                      <w:sz w:val="24"/>
                      <w:szCs w:val="24"/>
                    </w:rPr>
                  </w:pPr>
                </w:p>
                <w:p w14:paraId="6AA52567">
                  <w:pPr>
                    <w:pStyle w:val="3"/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before="0" w:beforeAutospacing="0" w:after="0" w:afterAutospacing="0" w:line="240" w:lineRule="auto"/>
                    <w:ind w:left="0" w:right="0"/>
                    <w:textAlignment w:val="auto"/>
                  </w:pPr>
                </w:p>
                <w:p w14:paraId="23A9661B">
                  <w:pPr>
                    <w:pStyle w:val="3"/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before="0" w:beforeAutospacing="0" w:after="0" w:afterAutospacing="0" w:line="240" w:lineRule="auto"/>
                    <w:ind w:left="0" w:right="0"/>
                    <w:textAlignment w:val="auto"/>
                    <w:rPr>
                      <w:rFonts w:hint="eastAsia" w:ascii="Times New Roman" w:hAnsi="Times New Roman" w:eastAsia="宋体" w:cs="Times New Roman"/>
                      <w:bCs w:val="0"/>
                      <w:sz w:val="24"/>
                      <w:lang w:val="en-US" w:eastAsia="zh-CN" w:bidi="ar"/>
                    </w:rPr>
                  </w:pPr>
                </w:p>
                <w:p w14:paraId="050C4BFC">
                  <w:pPr>
                    <w:pStyle w:val="3"/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before="0" w:beforeAutospacing="0" w:after="0" w:afterAutospacing="0" w:line="240" w:lineRule="auto"/>
                    <w:ind w:left="0" w:right="0"/>
                    <w:textAlignment w:val="auto"/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Cs w:val="0"/>
                      <w:sz w:val="24"/>
                      <w:lang w:val="en-US" w:eastAsia="zh-CN" w:bidi="ar"/>
                    </w:rPr>
                    <w:t>下游</w:t>
                  </w:r>
                  <w:r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  <w:t>：电力销售</w:t>
                  </w:r>
                  <w:r>
                    <w:rPr>
                      <w:rFonts w:hint="eastAsia" w:ascii="Times New Roman" w:hAnsi="Times New Roman" w:eastAsia="宋体" w:cs="Times New Roman"/>
                      <w:bCs w:val="0"/>
                      <w:sz w:val="24"/>
                      <w:lang w:val="en-US" w:eastAsia="zh-CN" w:bidi="ar"/>
                    </w:rPr>
                    <w:t>市场</w:t>
                  </w:r>
                </w:p>
              </w:tc>
              <w:tc>
                <w:tcPr>
                  <w:tcW w:w="2126" w:type="dxa"/>
                  <w:shd w:val="clear" w:color="auto" w:fill="auto"/>
                </w:tcPr>
                <w:p w14:paraId="7B7E8B11">
                  <w:pPr>
                    <w:pStyle w:val="3"/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before="0" w:beforeAutospacing="0" w:after="0" w:afterAutospacing="0" w:line="240" w:lineRule="auto"/>
                    <w:ind w:left="0" w:right="0"/>
                    <w:textAlignment w:val="auto"/>
                    <w:rPr>
                      <w:rFonts w:hint="eastAsi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Cs w:val="0"/>
                      <w:sz w:val="24"/>
                      <w:lang w:val="en-US" w:eastAsia="zh-CN" w:bidi="ar"/>
                    </w:rPr>
                    <w:t>上游</w:t>
                  </w:r>
                  <w:r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  <w:t>：中国境内</w:t>
                  </w:r>
                </w:p>
                <w:p w14:paraId="3E24E85D">
                  <w:pPr>
                    <w:pStyle w:val="3"/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before="0" w:beforeAutospacing="0" w:after="0" w:afterAutospacing="0" w:line="240" w:lineRule="auto"/>
                    <w:ind w:left="0" w:right="0"/>
                    <w:textAlignment w:val="auto"/>
                    <w:rPr>
                      <w:rFonts w:hint="eastAsia" w:ascii="Times New Roman" w:hAnsi="Times New Roman" w:eastAsia="宋体" w:cs="Times New Roman"/>
                      <w:bCs w:val="0"/>
                      <w:sz w:val="24"/>
                      <w:lang w:val="en-US" w:eastAsia="zh-CN" w:bidi="ar"/>
                    </w:rPr>
                  </w:pPr>
                </w:p>
                <w:p w14:paraId="6CE80C05">
                  <w:pPr>
                    <w:pStyle w:val="3"/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before="0" w:beforeAutospacing="0" w:after="0" w:afterAutospacing="0" w:line="240" w:lineRule="auto"/>
                    <w:ind w:left="0" w:right="0"/>
                    <w:textAlignment w:val="auto"/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</w:pPr>
                </w:p>
                <w:p w14:paraId="048563A9">
                  <w:pPr>
                    <w:pStyle w:val="3"/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before="0" w:beforeAutospacing="0" w:after="0" w:afterAutospacing="0" w:line="240" w:lineRule="auto"/>
                    <w:ind w:left="0" w:right="0"/>
                    <w:textAlignment w:val="auto"/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</w:pPr>
                </w:p>
                <w:p w14:paraId="1A809F33">
                  <w:pPr>
                    <w:pStyle w:val="3"/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before="0" w:beforeAutospacing="0" w:after="0" w:afterAutospacing="0" w:line="240" w:lineRule="auto"/>
                    <w:ind w:left="0" w:right="0"/>
                    <w:textAlignment w:val="auto"/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Cs w:val="0"/>
                      <w:sz w:val="24"/>
                      <w:lang w:val="en-US" w:eastAsia="zh-CN" w:bidi="ar"/>
                    </w:rPr>
                    <w:t>下游</w:t>
                  </w:r>
                  <w:r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  <w:t>：中国境内</w:t>
                  </w:r>
                </w:p>
              </w:tc>
              <w:tc>
                <w:tcPr>
                  <w:tcW w:w="2853" w:type="dxa"/>
                  <w:shd w:val="clear" w:color="auto" w:fill="auto"/>
                </w:tcPr>
                <w:p w14:paraId="59B69D61">
                  <w:pPr>
                    <w:pStyle w:val="3"/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before="0" w:beforeAutospacing="0" w:after="0" w:afterAutospacing="0" w:line="240" w:lineRule="auto"/>
                    <w:ind w:left="0" w:right="0"/>
                    <w:textAlignment w:val="auto"/>
                    <w:rPr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  <w:t>上游：中国境内天然气发电</w:t>
                  </w:r>
                  <w:r>
                    <w:rPr>
                      <w:rFonts w:hint="eastAsia" w:ascii="Times New Roman" w:hAnsi="Times New Roman" w:eastAsia="宋体" w:cs="Times New Roman"/>
                      <w:bCs w:val="0"/>
                      <w:sz w:val="24"/>
                      <w:lang w:val="en-US" w:eastAsia="zh-CN" w:bidi="ar"/>
                    </w:rPr>
                    <w:t>市场</w:t>
                  </w:r>
                </w:p>
                <w:p w14:paraId="47BB7C49">
                  <w:pPr>
                    <w:pStyle w:val="3"/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before="0" w:beforeAutospacing="0" w:after="0" w:afterAutospacing="0" w:line="240" w:lineRule="auto"/>
                    <w:ind w:left="0" w:right="0"/>
                    <w:textAlignment w:val="auto"/>
                    <w:rPr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Cs w:val="0"/>
                      <w:sz w:val="24"/>
                      <w:lang w:val="en-US" w:eastAsia="zh-CN" w:bidi="ar"/>
                    </w:rPr>
                    <w:t>如上所述</w:t>
                  </w:r>
                </w:p>
                <w:p w14:paraId="2FAFC69D">
                  <w:pPr>
                    <w:pStyle w:val="3"/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before="0" w:beforeAutospacing="0" w:after="0" w:afterAutospacing="0" w:line="240" w:lineRule="auto"/>
                    <w:ind w:left="0" w:right="0"/>
                    <w:textAlignment w:val="auto"/>
                    <w:rPr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  <w:t>下游：中国境内电力销售市场</w:t>
                  </w:r>
                </w:p>
                <w:p w14:paraId="323A1178">
                  <w:pPr>
                    <w:pStyle w:val="3"/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before="0" w:beforeAutospacing="0" w:after="0" w:afterAutospacing="0" w:line="240" w:lineRule="auto"/>
                    <w:ind w:left="0" w:right="0"/>
                    <w:textAlignment w:val="auto"/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/>
                      <w:bCs/>
                      <w:color w:val="000000"/>
                      <w:sz w:val="24"/>
                      <w:szCs w:val="24"/>
                    </w:rPr>
                    <w:t>海油电投：0-5%</w:t>
                  </w:r>
                </w:p>
              </w:tc>
            </w:tr>
          </w:tbl>
          <w:p w14:paraId="0F00E4B6">
            <w:pPr>
              <w:pStyle w:val="3"/>
              <w:adjustRightInd w:val="0"/>
              <w:snapToGrid w:val="0"/>
              <w:spacing w:after="0"/>
              <w:rPr>
                <w:rFonts w:hint="eastAsia"/>
                <w:bCs/>
                <w:color w:val="000000"/>
                <w:sz w:val="24"/>
                <w:szCs w:val="24"/>
              </w:rPr>
            </w:pPr>
          </w:p>
        </w:tc>
      </w:tr>
    </w:tbl>
    <w:p w14:paraId="496D8D25">
      <w:pPr>
        <w:adjustRightInd w:val="0"/>
        <w:snapToGrid w:val="0"/>
        <w:rPr>
          <w:rFonts w:eastAsiaTheme="minorEastAsia"/>
        </w:rPr>
      </w:pPr>
    </w:p>
    <w:p w14:paraId="453CF2E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8542BC"/>
    <w:multiLevelType w:val="multilevel"/>
    <w:tmpl w:val="038542B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FB68ED"/>
    <w:rsid w:val="60FB6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278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99"/>
  </w:style>
  <w:style w:type="paragraph" w:styleId="3">
    <w:name w:val="Body Text"/>
    <w:basedOn w:val="1"/>
    <w:next w:val="4"/>
    <w:unhideWhenUsed/>
    <w:qFormat/>
    <w:uiPriority w:val="0"/>
    <w:pPr>
      <w:spacing w:after="120"/>
    </w:pPr>
  </w:style>
  <w:style w:type="paragraph" w:styleId="4">
    <w:name w:val="Body Text First Indent"/>
    <w:basedOn w:val="3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2024-12-12T13:42:00Z</dcterms:created>
  <dc:creator>胡翌婧</dc:creator>
  <cp:lastModifiedBy>胡翌婧</cp:lastModifiedBy>
  <dcterms:modified xsi:type="dcterms:W3CDTF">2024-12-12T13:42:40Z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EAF0DAF5490A4A8EAFA79F992D6ACBFE_11</vt:lpwstr>
  </property>
</Properties>
</file>