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A0EEEB" w14:textId="77777777" w:rsidR="00C87397" w:rsidRDefault="00000000">
      <w:pPr>
        <w:jc w:val="center"/>
        <w:rPr>
          <w:rFonts w:ascii="黑体" w:eastAsia="黑体" w:hAnsi="黑体" w:cs="黑体" w:hint="eastAsia"/>
          <w:bCs/>
          <w:sz w:val="36"/>
          <w:szCs w:val="36"/>
        </w:rPr>
      </w:pPr>
      <w:r>
        <w:rPr>
          <w:rFonts w:ascii="黑体" w:eastAsia="黑体" w:hAnsi="黑体" w:cs="黑体" w:hint="eastAsia"/>
          <w:bCs/>
          <w:sz w:val="36"/>
          <w:szCs w:val="36"/>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1607"/>
        <w:gridCol w:w="6093"/>
      </w:tblGrid>
      <w:tr w:rsidR="00C87397" w14:paraId="4E6BDCCF" w14:textId="77777777">
        <w:trPr>
          <w:trHeight w:val="695"/>
        </w:trPr>
        <w:tc>
          <w:tcPr>
            <w:tcW w:w="1940" w:type="dxa"/>
            <w:shd w:val="clear" w:color="auto" w:fill="D9D9D9"/>
            <w:vAlign w:val="center"/>
          </w:tcPr>
          <w:p w14:paraId="2EFA99F2" w14:textId="77777777" w:rsidR="00C87397" w:rsidRDefault="00000000">
            <w:pPr>
              <w:pStyle w:val="a0"/>
              <w:adjustRightInd w:val="0"/>
              <w:snapToGrid w:val="0"/>
              <w:spacing w:after="0"/>
              <w:rPr>
                <w:rFonts w:ascii="宋体" w:hAnsi="宋体" w:cs="宋体" w:hint="eastAsia"/>
                <w:bCs/>
                <w:color w:val="000000"/>
                <w:lang w:val="en-US"/>
              </w:rPr>
            </w:pPr>
            <w:proofErr w:type="spellStart"/>
            <w:r>
              <w:rPr>
                <w:rFonts w:ascii="宋体" w:hAnsi="宋体" w:cs="宋体" w:hint="eastAsia"/>
                <w:bCs/>
                <w:color w:val="000000"/>
              </w:rPr>
              <w:t>案件名称</w:t>
            </w:r>
            <w:proofErr w:type="spellEnd"/>
          </w:p>
        </w:tc>
        <w:tc>
          <w:tcPr>
            <w:tcW w:w="7700" w:type="dxa"/>
            <w:gridSpan w:val="2"/>
            <w:vAlign w:val="center"/>
          </w:tcPr>
          <w:p w14:paraId="5EF09408" w14:textId="77777777" w:rsidR="00C87397" w:rsidRDefault="00000000">
            <w:pPr>
              <w:adjustRightInd w:val="0"/>
              <w:snapToGrid w:val="0"/>
              <w:spacing w:after="0"/>
              <w:rPr>
                <w:rFonts w:ascii="宋体" w:hAnsi="宋体" w:cs="宋体" w:hint="eastAsia"/>
                <w:bCs/>
                <w:color w:val="000000"/>
                <w:lang w:val="en-US"/>
              </w:rPr>
            </w:pPr>
            <w:r>
              <w:rPr>
                <w:rFonts w:ascii="宋体" w:hAnsi="宋体" w:cs="宋体" w:hint="eastAsia"/>
                <w:bCs/>
                <w:color w:val="000000"/>
                <w:lang w:val="en-US"/>
              </w:rPr>
              <w:t>莱州华润燃气有限公司收购烟台市实华天然气有限公司股权案</w:t>
            </w:r>
          </w:p>
        </w:tc>
      </w:tr>
      <w:tr w:rsidR="00C87397" w14:paraId="11DE060B" w14:textId="77777777">
        <w:trPr>
          <w:trHeight w:val="1391"/>
        </w:trPr>
        <w:tc>
          <w:tcPr>
            <w:tcW w:w="1940" w:type="dxa"/>
            <w:shd w:val="clear" w:color="auto" w:fill="D9D9D9"/>
            <w:vAlign w:val="center"/>
          </w:tcPr>
          <w:p w14:paraId="1B02CC3D" w14:textId="77777777" w:rsidR="00C87397" w:rsidRDefault="00000000">
            <w:pPr>
              <w:pStyle w:val="a0"/>
              <w:adjustRightInd w:val="0"/>
              <w:snapToGrid w:val="0"/>
              <w:spacing w:after="0"/>
              <w:jc w:val="left"/>
              <w:rPr>
                <w:rFonts w:ascii="宋体" w:hAnsi="宋体" w:cs="宋体" w:hint="eastAsia"/>
                <w:bCs/>
                <w:color w:val="000000"/>
                <w:lang w:val="en-US" w:eastAsia="zh-CN"/>
              </w:rPr>
            </w:pPr>
            <w:r>
              <w:rPr>
                <w:rFonts w:ascii="宋体" w:hAnsi="宋体" w:cs="宋体" w:hint="eastAsia"/>
                <w:bCs/>
                <w:color w:val="000000"/>
                <w:lang w:eastAsia="zh-CN"/>
              </w:rPr>
              <w:t>交易概况</w:t>
            </w:r>
          </w:p>
        </w:tc>
        <w:tc>
          <w:tcPr>
            <w:tcW w:w="7700" w:type="dxa"/>
            <w:gridSpan w:val="2"/>
            <w:vAlign w:val="center"/>
          </w:tcPr>
          <w:p w14:paraId="55620E3C" w14:textId="77777777" w:rsidR="00C87397" w:rsidRDefault="00000000">
            <w:pPr>
              <w:widowControl w:val="0"/>
              <w:adjustRightInd w:val="0"/>
              <w:snapToGrid w:val="0"/>
              <w:spacing w:after="0" w:line="360" w:lineRule="auto"/>
              <w:rPr>
                <w:lang w:val="en-US"/>
              </w:rPr>
            </w:pPr>
            <w:r>
              <w:rPr>
                <w:rFonts w:ascii="宋体" w:hAnsi="宋体" w:cs="宋体" w:hint="eastAsia"/>
                <w:bCs/>
                <w:color w:val="000000"/>
                <w:lang w:val="en-US"/>
              </w:rPr>
              <w:t>莱州华润燃气有限公司（“</w:t>
            </w:r>
            <w:r>
              <w:rPr>
                <w:rFonts w:ascii="宋体" w:hAnsi="宋体" w:cs="宋体" w:hint="eastAsia"/>
                <w:b/>
                <w:color w:val="000000"/>
                <w:lang w:val="en-US"/>
              </w:rPr>
              <w:t>莱州华润</w:t>
            </w:r>
            <w:r>
              <w:rPr>
                <w:rFonts w:ascii="宋体" w:hAnsi="宋体" w:cs="宋体" w:hint="eastAsia"/>
                <w:bCs/>
                <w:color w:val="000000"/>
                <w:lang w:val="en-US"/>
              </w:rPr>
              <w:t>”）</w:t>
            </w:r>
            <w:r>
              <w:rPr>
                <w:rFonts w:hint="eastAsia"/>
                <w:lang w:val="en-US"/>
              </w:rPr>
              <w:t>、联合能源投资有限公司（“</w:t>
            </w:r>
            <w:r>
              <w:rPr>
                <w:rFonts w:hint="eastAsia"/>
                <w:b/>
                <w:bCs/>
                <w:lang w:val="en-US"/>
              </w:rPr>
              <w:t>联合能源</w:t>
            </w:r>
            <w:r>
              <w:rPr>
                <w:rFonts w:hint="eastAsia"/>
                <w:lang w:val="en-US"/>
              </w:rPr>
              <w:t>”）和</w:t>
            </w:r>
            <w:r>
              <w:rPr>
                <w:rFonts w:ascii="宋体" w:hAnsi="宋体" w:cs="宋体" w:hint="eastAsia"/>
                <w:bCs/>
                <w:color w:val="000000"/>
                <w:lang w:val="en-US"/>
              </w:rPr>
              <w:t>山东昌德置业有限公司（“</w:t>
            </w:r>
            <w:r>
              <w:rPr>
                <w:rFonts w:ascii="宋体" w:hAnsi="宋体" w:cs="宋体" w:hint="eastAsia"/>
                <w:b/>
                <w:color w:val="000000"/>
                <w:lang w:val="en-US"/>
              </w:rPr>
              <w:t>昌德置业</w:t>
            </w:r>
            <w:r>
              <w:rPr>
                <w:rFonts w:ascii="宋体" w:hAnsi="宋体" w:cs="宋体" w:hint="eastAsia"/>
                <w:bCs/>
                <w:color w:val="000000"/>
                <w:lang w:val="en-US"/>
              </w:rPr>
              <w:t>”）</w:t>
            </w:r>
            <w:r>
              <w:rPr>
                <w:rFonts w:hint="eastAsia"/>
                <w:lang w:val="en-US"/>
              </w:rPr>
              <w:t>等签署《股权转让协议》，莱州华润拟收购联合能源与昌德置业持有的烟台市实华天然气有限公司（</w:t>
            </w:r>
            <w:r>
              <w:rPr>
                <w:rFonts w:hint="eastAsia"/>
                <w:b/>
                <w:bCs/>
                <w:lang w:val="en-US"/>
              </w:rPr>
              <w:t>“烟台实华”</w:t>
            </w:r>
            <w:r>
              <w:rPr>
                <w:rFonts w:hint="eastAsia"/>
                <w:lang w:val="en-US"/>
              </w:rPr>
              <w:t>）</w:t>
            </w:r>
            <w:r>
              <w:rPr>
                <w:rFonts w:hint="eastAsia"/>
                <w:lang w:val="en-US"/>
              </w:rPr>
              <w:t>6</w:t>
            </w:r>
            <w:r>
              <w:rPr>
                <w:lang w:val="en-US"/>
              </w:rPr>
              <w:t>4</w:t>
            </w:r>
            <w:r>
              <w:rPr>
                <w:rFonts w:hint="eastAsia"/>
                <w:lang w:val="en-US"/>
              </w:rPr>
              <w:t>%</w:t>
            </w:r>
            <w:r>
              <w:rPr>
                <w:rFonts w:hint="eastAsia"/>
                <w:lang w:val="en-US"/>
              </w:rPr>
              <w:t>股权。</w:t>
            </w:r>
          </w:p>
          <w:p w14:paraId="2DC8F7FA" w14:textId="77777777" w:rsidR="00C87397" w:rsidRDefault="00000000">
            <w:pPr>
              <w:widowControl w:val="0"/>
              <w:adjustRightInd w:val="0"/>
              <w:snapToGrid w:val="0"/>
              <w:spacing w:after="0" w:line="360" w:lineRule="auto"/>
              <w:rPr>
                <w:lang w:val="en-US"/>
              </w:rPr>
            </w:pPr>
            <w:r>
              <w:rPr>
                <w:rFonts w:hint="eastAsia"/>
                <w:lang w:val="en-US"/>
              </w:rPr>
              <w:t>烟台实华主要在山东省烟台市莱州市从事销售天然气业务。</w:t>
            </w:r>
            <w:r>
              <w:rPr>
                <w:lang w:val="en-US"/>
              </w:rPr>
              <w:t>交易前，</w:t>
            </w:r>
            <w:r>
              <w:rPr>
                <w:rFonts w:hint="eastAsia"/>
                <w:lang w:val="en-US"/>
              </w:rPr>
              <w:t>烟台实华由联合能源持股</w:t>
            </w:r>
            <w:r>
              <w:rPr>
                <w:rFonts w:hint="eastAsia"/>
                <w:lang w:val="en-US"/>
              </w:rPr>
              <w:t>3</w:t>
            </w:r>
            <w:r>
              <w:rPr>
                <w:lang w:val="en-US"/>
              </w:rPr>
              <w:t>8%</w:t>
            </w:r>
            <w:r>
              <w:rPr>
                <w:rFonts w:hint="eastAsia"/>
                <w:lang w:val="en-US"/>
              </w:rPr>
              <w:t>、山东实华天然气有限公司（</w:t>
            </w:r>
            <w:r>
              <w:rPr>
                <w:rFonts w:hint="eastAsia"/>
                <w:b/>
                <w:bCs/>
                <w:lang w:val="en-US"/>
              </w:rPr>
              <w:t>“山东实华”</w:t>
            </w:r>
            <w:r>
              <w:rPr>
                <w:rFonts w:hint="eastAsia"/>
                <w:lang w:val="en-US"/>
              </w:rPr>
              <w:t>）持股</w:t>
            </w:r>
            <w:r>
              <w:rPr>
                <w:rFonts w:hint="eastAsia"/>
                <w:lang w:val="en-US"/>
              </w:rPr>
              <w:t>3</w:t>
            </w:r>
            <w:r>
              <w:rPr>
                <w:lang w:val="en-US"/>
              </w:rPr>
              <w:t>5%</w:t>
            </w:r>
            <w:r>
              <w:rPr>
                <w:rFonts w:hint="eastAsia"/>
                <w:lang w:val="en-US"/>
              </w:rPr>
              <w:t>，昌德置业持股</w:t>
            </w:r>
            <w:r>
              <w:rPr>
                <w:rFonts w:hint="eastAsia"/>
                <w:lang w:val="en-US"/>
              </w:rPr>
              <w:t>2</w:t>
            </w:r>
            <w:r>
              <w:rPr>
                <w:lang w:val="en-US"/>
              </w:rPr>
              <w:t>6%</w:t>
            </w:r>
            <w:r>
              <w:rPr>
                <w:rFonts w:hint="eastAsia"/>
                <w:lang w:val="en-US"/>
              </w:rPr>
              <w:t>，莱州市中裕汽车燃气有限公司（“</w:t>
            </w:r>
            <w:r>
              <w:rPr>
                <w:rFonts w:hint="eastAsia"/>
                <w:b/>
                <w:bCs/>
                <w:lang w:val="en-US"/>
              </w:rPr>
              <w:t>中裕汽车</w:t>
            </w:r>
            <w:r>
              <w:rPr>
                <w:rFonts w:hint="eastAsia"/>
                <w:lang w:val="en-US"/>
              </w:rPr>
              <w:t>”）持股</w:t>
            </w:r>
            <w:r>
              <w:rPr>
                <w:rFonts w:hint="eastAsia"/>
                <w:lang w:val="en-US"/>
              </w:rPr>
              <w:t>1</w:t>
            </w:r>
            <w:r>
              <w:rPr>
                <w:lang w:val="en-US"/>
              </w:rPr>
              <w:t>%</w:t>
            </w:r>
            <w:r>
              <w:rPr>
                <w:rFonts w:hint="eastAsia"/>
                <w:lang w:val="en-US"/>
              </w:rPr>
              <w:t>。联合能源和山东实华共同共控制烟台实华。交易后，莱州华润与山东实华分别持有烟台实华</w:t>
            </w:r>
            <w:r>
              <w:rPr>
                <w:rFonts w:hint="eastAsia"/>
                <w:lang w:val="en-US"/>
              </w:rPr>
              <w:t>6</w:t>
            </w:r>
            <w:r>
              <w:rPr>
                <w:lang w:val="en-US"/>
              </w:rPr>
              <w:t>4%</w:t>
            </w:r>
            <w:r>
              <w:rPr>
                <w:rFonts w:hint="eastAsia"/>
                <w:lang w:val="en-US"/>
              </w:rPr>
              <w:t>、</w:t>
            </w:r>
            <w:r>
              <w:rPr>
                <w:rFonts w:hint="eastAsia"/>
                <w:lang w:val="en-US"/>
              </w:rPr>
              <w:t>3</w:t>
            </w:r>
            <w:r>
              <w:rPr>
                <w:lang w:val="en-US"/>
              </w:rPr>
              <w:t>5%</w:t>
            </w:r>
            <w:r>
              <w:rPr>
                <w:rFonts w:hint="eastAsia"/>
                <w:lang w:val="en-US"/>
              </w:rPr>
              <w:t>的股权，中裕汽车仍持股</w:t>
            </w:r>
            <w:r>
              <w:rPr>
                <w:rFonts w:hint="eastAsia"/>
                <w:lang w:val="en-US"/>
              </w:rPr>
              <w:t>1</w:t>
            </w:r>
            <w:r>
              <w:rPr>
                <w:lang w:val="en-US"/>
              </w:rPr>
              <w:t>%</w:t>
            </w:r>
            <w:r>
              <w:rPr>
                <w:rFonts w:hint="eastAsia"/>
                <w:lang w:val="en-US"/>
              </w:rPr>
              <w:t>。莱州华润和山东实华共同控制烟台实华。</w:t>
            </w:r>
          </w:p>
        </w:tc>
      </w:tr>
      <w:tr w:rsidR="00C87397" w14:paraId="1868225A" w14:textId="77777777">
        <w:trPr>
          <w:trHeight w:val="942"/>
        </w:trPr>
        <w:tc>
          <w:tcPr>
            <w:tcW w:w="1940" w:type="dxa"/>
            <w:vMerge w:val="restart"/>
            <w:shd w:val="clear" w:color="auto" w:fill="D9D9D9"/>
            <w:vAlign w:val="center"/>
          </w:tcPr>
          <w:p w14:paraId="0D9A8DC5" w14:textId="77777777" w:rsidR="00C87397" w:rsidRDefault="00000000">
            <w:pPr>
              <w:pStyle w:val="a0"/>
              <w:adjustRightInd w:val="0"/>
              <w:snapToGrid w:val="0"/>
              <w:spacing w:after="0"/>
              <w:rPr>
                <w:rFonts w:ascii="宋体" w:hAnsi="宋体" w:cs="宋体" w:hint="eastAsia"/>
                <w:bCs/>
                <w:color w:val="000000"/>
                <w:lang w:val="en-US" w:eastAsia="zh-CN"/>
              </w:rPr>
            </w:pPr>
            <w:r>
              <w:rPr>
                <w:rFonts w:ascii="宋体" w:hAnsi="宋体" w:cs="宋体" w:hint="eastAsia"/>
                <w:bCs/>
                <w:color w:val="000000"/>
                <w:lang w:eastAsia="zh-CN"/>
              </w:rPr>
              <w:t>参与集中的经营者简介</w:t>
            </w:r>
          </w:p>
        </w:tc>
        <w:tc>
          <w:tcPr>
            <w:tcW w:w="1607" w:type="dxa"/>
            <w:vAlign w:val="center"/>
          </w:tcPr>
          <w:p w14:paraId="7D3D73C3" w14:textId="77777777" w:rsidR="00C87397" w:rsidRDefault="00000000">
            <w:pPr>
              <w:pStyle w:val="a0"/>
              <w:adjustRightInd w:val="0"/>
              <w:snapToGrid w:val="0"/>
              <w:spacing w:after="0"/>
              <w:rPr>
                <w:rFonts w:ascii="宋体" w:hAnsi="宋体" w:cs="宋体" w:hint="eastAsia"/>
                <w:bCs/>
                <w:color w:val="000000"/>
                <w:lang w:eastAsia="zh-CN"/>
              </w:rPr>
            </w:pPr>
            <w:r>
              <w:rPr>
                <w:rFonts w:ascii="宋体" w:hAnsi="宋体" w:cs="宋体" w:hint="eastAsia"/>
                <w:bCs/>
                <w:color w:val="000000"/>
                <w:lang w:val="en-US" w:eastAsia="zh-CN"/>
              </w:rPr>
              <w:t>1.莱州华润</w:t>
            </w:r>
          </w:p>
        </w:tc>
        <w:tc>
          <w:tcPr>
            <w:tcW w:w="6093" w:type="dxa"/>
            <w:vAlign w:val="center"/>
          </w:tcPr>
          <w:p w14:paraId="398EFEB2" w14:textId="77777777" w:rsidR="00C87397" w:rsidRDefault="00000000">
            <w:pPr>
              <w:widowControl w:val="0"/>
              <w:adjustRightInd w:val="0"/>
              <w:snapToGrid w:val="0"/>
              <w:spacing w:after="0" w:line="360" w:lineRule="auto"/>
              <w:rPr>
                <w:lang w:val="en-US"/>
              </w:rPr>
            </w:pPr>
            <w:r>
              <w:rPr>
                <w:rFonts w:hint="eastAsia"/>
                <w:lang w:val="en-US"/>
              </w:rPr>
              <w:t>莱州华润于</w:t>
            </w:r>
            <w:r>
              <w:rPr>
                <w:rFonts w:hint="eastAsia"/>
                <w:lang w:val="en-US"/>
              </w:rPr>
              <w:t>2</w:t>
            </w:r>
            <w:r>
              <w:rPr>
                <w:lang w:val="en-US"/>
              </w:rPr>
              <w:t>000</w:t>
            </w:r>
            <w:r>
              <w:rPr>
                <w:rFonts w:hint="eastAsia"/>
                <w:lang w:val="en-US"/>
              </w:rPr>
              <w:t>年</w:t>
            </w:r>
            <w:r>
              <w:rPr>
                <w:rFonts w:hint="eastAsia"/>
                <w:lang w:val="en-US"/>
              </w:rPr>
              <w:t>3</w:t>
            </w:r>
            <w:r>
              <w:rPr>
                <w:rFonts w:hint="eastAsia"/>
                <w:lang w:val="en-US"/>
              </w:rPr>
              <w:t>月成立于</w:t>
            </w:r>
            <w:r>
              <w:rPr>
                <w:lang w:val="en-US"/>
              </w:rPr>
              <w:t>山东省莱州市</w:t>
            </w:r>
            <w:r>
              <w:rPr>
                <w:rFonts w:hint="eastAsia"/>
                <w:lang w:val="en-US"/>
              </w:rPr>
              <w:t>，主要业务为燃气经营、热力生产和供应</w:t>
            </w:r>
            <w:r>
              <w:rPr>
                <w:lang w:val="en-US"/>
              </w:rPr>
              <w:t>。</w:t>
            </w:r>
          </w:p>
          <w:p w14:paraId="3DCDBA12" w14:textId="77777777" w:rsidR="00C87397" w:rsidRDefault="00000000">
            <w:pPr>
              <w:widowControl w:val="0"/>
              <w:adjustRightInd w:val="0"/>
              <w:snapToGrid w:val="0"/>
              <w:spacing w:after="0" w:line="360" w:lineRule="auto"/>
              <w:rPr>
                <w:lang w:val="en-US"/>
              </w:rPr>
            </w:pPr>
            <w:r>
              <w:rPr>
                <w:rFonts w:hint="eastAsia"/>
                <w:lang w:val="en-US"/>
              </w:rPr>
              <w:t>莱州华润燃气的最终控制人为中国华润有限公司，</w:t>
            </w:r>
            <w:r>
              <w:rPr>
                <w:rFonts w:hint="eastAsia"/>
              </w:rPr>
              <w:t>中国华润有限公司主要业务涉及大消费、综合能源、城市建设与运营、大健康、产业金融、科技及新兴产业等领域。</w:t>
            </w:r>
          </w:p>
        </w:tc>
      </w:tr>
      <w:tr w:rsidR="00C87397" w14:paraId="128170EF" w14:textId="77777777">
        <w:trPr>
          <w:trHeight w:val="984"/>
        </w:trPr>
        <w:tc>
          <w:tcPr>
            <w:tcW w:w="1940" w:type="dxa"/>
            <w:vMerge/>
            <w:shd w:val="clear" w:color="auto" w:fill="D9D9D9"/>
            <w:vAlign w:val="center"/>
          </w:tcPr>
          <w:p w14:paraId="6DFA9A0E"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1607" w:type="dxa"/>
            <w:vAlign w:val="center"/>
          </w:tcPr>
          <w:p w14:paraId="41F4F03D" w14:textId="77777777" w:rsidR="00C87397" w:rsidRDefault="00000000">
            <w:pPr>
              <w:pStyle w:val="a0"/>
              <w:adjustRightInd w:val="0"/>
              <w:snapToGrid w:val="0"/>
              <w:spacing w:after="0"/>
              <w:rPr>
                <w:rFonts w:ascii="宋体" w:hAnsi="宋体" w:cs="宋体" w:hint="eastAsia"/>
                <w:bCs/>
                <w:color w:val="000000"/>
                <w:lang w:eastAsia="zh-CN"/>
              </w:rPr>
            </w:pPr>
            <w:r>
              <w:rPr>
                <w:rFonts w:ascii="宋体" w:hAnsi="宋体" w:cs="宋体" w:hint="eastAsia"/>
                <w:bCs/>
                <w:color w:val="000000"/>
                <w:lang w:val="en-US" w:eastAsia="zh-CN"/>
              </w:rPr>
              <w:t>2.烟台实华</w:t>
            </w:r>
          </w:p>
        </w:tc>
        <w:tc>
          <w:tcPr>
            <w:tcW w:w="6093" w:type="dxa"/>
            <w:vAlign w:val="center"/>
          </w:tcPr>
          <w:p w14:paraId="6CB13664" w14:textId="77777777" w:rsidR="00C87397" w:rsidRDefault="00000000">
            <w:pPr>
              <w:adjustRightInd w:val="0"/>
              <w:snapToGrid w:val="0"/>
              <w:spacing w:after="0" w:line="360" w:lineRule="auto"/>
            </w:pPr>
            <w:r>
              <w:rPr>
                <w:rFonts w:hint="eastAsia"/>
                <w:lang w:val="en-US"/>
              </w:rPr>
              <w:t>烟台实华于</w:t>
            </w:r>
            <w:r>
              <w:t>2012</w:t>
            </w:r>
            <w:r>
              <w:t>年</w:t>
            </w:r>
            <w:r>
              <w:t>06</w:t>
            </w:r>
            <w:r>
              <w:t>月</w:t>
            </w:r>
            <w:r>
              <w:t>26</w:t>
            </w:r>
            <w:r>
              <w:t>日</w:t>
            </w:r>
            <w:r>
              <w:rPr>
                <w:rFonts w:hint="eastAsia"/>
              </w:rPr>
              <w:t>成立于山东省莱州市，主要</w:t>
            </w:r>
            <w:r>
              <w:rPr>
                <w:rFonts w:hint="eastAsia"/>
                <w:lang w:val="en-US"/>
              </w:rPr>
              <w:t>从事</w:t>
            </w:r>
            <w:r>
              <w:t>销售天然气（仅限燃料用途）；燃气设施，设备的建设、安装和天然气综合利用</w:t>
            </w:r>
            <w:r>
              <w:rPr>
                <w:rFonts w:hint="eastAsia"/>
              </w:rPr>
              <w:t>等业务。</w:t>
            </w:r>
          </w:p>
          <w:p w14:paraId="6580792F" w14:textId="77777777" w:rsidR="00C87397" w:rsidRDefault="00000000">
            <w:pPr>
              <w:adjustRightInd w:val="0"/>
              <w:snapToGrid w:val="0"/>
              <w:spacing w:after="0" w:line="360" w:lineRule="auto"/>
              <w:rPr>
                <w:lang w:val="en-US"/>
              </w:rPr>
            </w:pPr>
            <w:r>
              <w:rPr>
                <w:rFonts w:hint="eastAsia"/>
              </w:rPr>
              <w:t>烟台实华</w:t>
            </w:r>
            <w:r>
              <w:rPr>
                <w:rFonts w:hint="eastAsia"/>
                <w:lang w:val="en-US"/>
              </w:rPr>
              <w:t>交易前的最终控制人为联合能源、中国石油化工集团有限公司（“中国石化”）和山东省鲁信投资控股集团有限公司（“鲁信投资”）。</w:t>
            </w:r>
          </w:p>
          <w:p w14:paraId="0CB5FEC8" w14:textId="77777777" w:rsidR="00C87397" w:rsidRDefault="00000000">
            <w:pPr>
              <w:adjustRightInd w:val="0"/>
              <w:snapToGrid w:val="0"/>
              <w:spacing w:after="0" w:line="360" w:lineRule="auto"/>
              <w:rPr>
                <w:lang w:val="en-US"/>
              </w:rPr>
            </w:pPr>
            <w:r>
              <w:rPr>
                <w:rFonts w:hint="eastAsia"/>
                <w:lang w:val="en-US"/>
              </w:rPr>
              <w:t>联合能源</w:t>
            </w:r>
            <w:r>
              <w:rPr>
                <w:lang w:val="en-US"/>
              </w:rPr>
              <w:t>主要从事上游石油及天然气业务</w:t>
            </w:r>
            <w:r>
              <w:rPr>
                <w:rFonts w:hint="eastAsia"/>
                <w:lang w:val="en-US"/>
              </w:rPr>
              <w:t>，</w:t>
            </w:r>
            <w:r>
              <w:rPr>
                <w:lang w:val="en-US"/>
              </w:rPr>
              <w:t>包括开采、开发及生产原油及天然气</w:t>
            </w:r>
            <w:r>
              <w:rPr>
                <w:rFonts w:hint="eastAsia"/>
                <w:lang w:val="en-US"/>
              </w:rPr>
              <w:t>，</w:t>
            </w:r>
            <w:r>
              <w:rPr>
                <w:lang w:val="en-US"/>
              </w:rPr>
              <w:t>亦向中国油田提供专利技术支援服务</w:t>
            </w:r>
            <w:r>
              <w:rPr>
                <w:rFonts w:hint="eastAsia"/>
                <w:lang w:val="en-US"/>
              </w:rPr>
              <w:t>等。</w:t>
            </w:r>
          </w:p>
          <w:p w14:paraId="3CFBF80D" w14:textId="77777777" w:rsidR="00C87397" w:rsidRDefault="00000000">
            <w:pPr>
              <w:adjustRightInd w:val="0"/>
              <w:snapToGrid w:val="0"/>
              <w:spacing w:after="0" w:line="360" w:lineRule="auto"/>
            </w:pPr>
            <w:r>
              <w:rPr>
                <w:rFonts w:hint="eastAsia"/>
                <w:lang w:val="en-US"/>
              </w:rPr>
              <w:lastRenderedPageBreak/>
              <w:t>中国石化是一家以从事石油和天然气开采业为主的企业，组织所属企业石油、天然气的勘探、开采、储运、销售和综合利用等业务。</w:t>
            </w:r>
          </w:p>
          <w:p w14:paraId="2967E9CF" w14:textId="77777777" w:rsidR="00C87397" w:rsidRDefault="00000000">
            <w:pPr>
              <w:adjustRightInd w:val="0"/>
              <w:snapToGrid w:val="0"/>
              <w:spacing w:after="0" w:line="360" w:lineRule="auto"/>
              <w:rPr>
                <w:lang w:val="en-US"/>
              </w:rPr>
            </w:pPr>
            <w:r>
              <w:rPr>
                <w:rFonts w:hint="eastAsia"/>
                <w:lang w:val="en-US"/>
              </w:rPr>
              <w:t>鲁信投资是一家以从事商业服务业为主的企业，主要经营</w:t>
            </w:r>
            <w:r>
              <w:rPr>
                <w:rFonts w:hint="eastAsia"/>
              </w:rPr>
              <w:t>一般项目：以自有资金从事投资活动；社会经济咨询服务；自有资金投资的资产管理服务；非融资担保服务；住房租赁；非居住房地产租赁；物业管理</w:t>
            </w:r>
            <w:r>
              <w:rPr>
                <w:rFonts w:hint="eastAsia"/>
                <w:lang w:val="en-US"/>
              </w:rPr>
              <w:t>等</w:t>
            </w:r>
            <w:r>
              <w:t>。</w:t>
            </w:r>
          </w:p>
        </w:tc>
      </w:tr>
      <w:tr w:rsidR="00C87397" w14:paraId="2D47A5D6" w14:textId="77777777">
        <w:trPr>
          <w:trHeight w:val="984"/>
        </w:trPr>
        <w:tc>
          <w:tcPr>
            <w:tcW w:w="1940" w:type="dxa"/>
            <w:vMerge/>
            <w:shd w:val="clear" w:color="auto" w:fill="D9D9D9"/>
            <w:vAlign w:val="center"/>
          </w:tcPr>
          <w:p w14:paraId="0AD64649"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1607" w:type="dxa"/>
            <w:vAlign w:val="center"/>
          </w:tcPr>
          <w:p w14:paraId="5953209B" w14:textId="77777777" w:rsidR="00C87397" w:rsidRDefault="00000000">
            <w:pPr>
              <w:pStyle w:val="a0"/>
              <w:adjustRightInd w:val="0"/>
              <w:snapToGrid w:val="0"/>
              <w:spacing w:after="0"/>
              <w:rPr>
                <w:rFonts w:ascii="宋体" w:hAnsi="宋体" w:cs="宋体" w:hint="eastAsia"/>
                <w:bCs/>
                <w:color w:val="000000"/>
                <w:lang w:val="en-US" w:eastAsia="zh-CN"/>
              </w:rPr>
            </w:pPr>
            <w:r>
              <w:rPr>
                <w:rFonts w:ascii="宋体" w:hAnsi="宋体" w:cs="宋体" w:hint="eastAsia"/>
                <w:bCs/>
                <w:color w:val="000000"/>
                <w:lang w:val="en-US" w:eastAsia="zh-CN"/>
              </w:rPr>
              <w:t>3.</w:t>
            </w:r>
            <w:proofErr w:type="spellStart"/>
            <w:r>
              <w:rPr>
                <w:rFonts w:hint="eastAsia"/>
                <w:lang w:val="en-US"/>
              </w:rPr>
              <w:t>山东实华</w:t>
            </w:r>
            <w:proofErr w:type="spellEnd"/>
          </w:p>
        </w:tc>
        <w:tc>
          <w:tcPr>
            <w:tcW w:w="6093" w:type="dxa"/>
            <w:vAlign w:val="center"/>
          </w:tcPr>
          <w:p w14:paraId="6516BC17" w14:textId="77777777" w:rsidR="00C87397" w:rsidRDefault="00000000">
            <w:pPr>
              <w:adjustRightInd w:val="0"/>
              <w:snapToGrid w:val="0"/>
              <w:spacing w:after="0" w:line="360" w:lineRule="auto"/>
            </w:pPr>
            <w:r>
              <w:rPr>
                <w:rFonts w:hint="eastAsia"/>
                <w:lang w:val="en-US"/>
              </w:rPr>
              <w:t>山东实华</w:t>
            </w:r>
            <w:r>
              <w:t>于</w:t>
            </w:r>
            <w:r>
              <w:t>2002</w:t>
            </w:r>
            <w:r>
              <w:t>年</w:t>
            </w:r>
            <w:r>
              <w:t>8</w:t>
            </w:r>
            <w:r>
              <w:t>月</w:t>
            </w:r>
            <w:r>
              <w:t>13</w:t>
            </w:r>
            <w:r>
              <w:t>日</w:t>
            </w:r>
            <w:r>
              <w:rPr>
                <w:rFonts w:hint="eastAsia"/>
              </w:rPr>
              <w:t>成立于山东省</w:t>
            </w:r>
            <w:r>
              <w:t>青岛市市</w:t>
            </w:r>
            <w:r>
              <w:rPr>
                <w:rFonts w:hint="eastAsia"/>
              </w:rPr>
              <w:t>，主要从事</w:t>
            </w:r>
            <w:r>
              <w:t>管道天然气销售及城市天然气管道建设；管道营运、城镇居民天然气经营</w:t>
            </w:r>
            <w:r>
              <w:rPr>
                <w:rFonts w:hint="eastAsia"/>
              </w:rPr>
              <w:t>等业务。</w:t>
            </w:r>
          </w:p>
          <w:p w14:paraId="343A99C5" w14:textId="76FB8CA6" w:rsidR="00C87397" w:rsidRDefault="00000000">
            <w:pPr>
              <w:adjustRightInd w:val="0"/>
              <w:snapToGrid w:val="0"/>
              <w:spacing w:after="0" w:line="360" w:lineRule="auto"/>
              <w:rPr>
                <w:szCs w:val="21"/>
              </w:rPr>
            </w:pPr>
            <w:r>
              <w:rPr>
                <w:rFonts w:hint="eastAsia"/>
              </w:rPr>
              <w:t>山东实华</w:t>
            </w:r>
            <w:r>
              <w:t>最终控制人为</w:t>
            </w:r>
            <w:r>
              <w:rPr>
                <w:szCs w:val="21"/>
              </w:rPr>
              <w:t>中国石油化工集团有限公司</w:t>
            </w:r>
            <w:r w:rsidR="009333D1">
              <w:rPr>
                <w:rFonts w:hint="eastAsia"/>
                <w:szCs w:val="21"/>
              </w:rPr>
              <w:t>和</w:t>
            </w:r>
            <w:r w:rsidR="009333D1">
              <w:rPr>
                <w:rFonts w:hint="eastAsia"/>
                <w:lang w:val="en-US"/>
              </w:rPr>
              <w:t>山东省鲁信投资控股集团有限公司（“鲁信投资”）</w:t>
            </w:r>
            <w:r>
              <w:rPr>
                <w:rFonts w:hint="eastAsia"/>
                <w:szCs w:val="21"/>
              </w:rPr>
              <w:t>。</w:t>
            </w:r>
          </w:p>
          <w:p w14:paraId="4729E51F" w14:textId="5CC29E58" w:rsidR="00C87397" w:rsidRDefault="00000000">
            <w:pPr>
              <w:adjustRightInd w:val="0"/>
              <w:snapToGrid w:val="0"/>
              <w:spacing w:after="0" w:line="360" w:lineRule="auto"/>
              <w:rPr>
                <w:lang w:val="en-US"/>
              </w:rPr>
            </w:pPr>
            <w:r>
              <w:rPr>
                <w:rFonts w:hint="eastAsia"/>
                <w:szCs w:val="21"/>
                <w:lang w:val="en-US"/>
              </w:rPr>
              <w:t>中国石化</w:t>
            </w:r>
            <w:r>
              <w:rPr>
                <w:rFonts w:hint="eastAsia"/>
                <w:lang w:val="en-US"/>
              </w:rPr>
              <w:t>是一家以从事石油和天然气开采业为主的企业，组织所属企业石油、天然气的勘探、开采、储运、销售和综合利用等业务</w:t>
            </w:r>
            <w:r>
              <w:t>。</w:t>
            </w:r>
            <w:r w:rsidR="009333D1">
              <w:rPr>
                <w:rFonts w:hint="eastAsia"/>
                <w:lang w:val="en-US"/>
              </w:rPr>
              <w:t>鲁信投资是一家以从事商业服务业为主的企业，主要经营</w:t>
            </w:r>
            <w:r w:rsidR="009333D1">
              <w:rPr>
                <w:rFonts w:hint="eastAsia"/>
              </w:rPr>
              <w:t>一般项目：以自有资金从事投资活动；社会经济咨询服务；自有资金投资的资产管理服务；非融资担保服务；住房租赁；非居住房地产租赁；物业管理</w:t>
            </w:r>
            <w:r w:rsidR="009333D1">
              <w:rPr>
                <w:rFonts w:hint="eastAsia"/>
                <w:lang w:val="en-US"/>
              </w:rPr>
              <w:t>等</w:t>
            </w:r>
            <w:r w:rsidR="009333D1">
              <w:t>。</w:t>
            </w:r>
          </w:p>
        </w:tc>
      </w:tr>
      <w:tr w:rsidR="00C87397" w14:paraId="53BF1054" w14:textId="77777777">
        <w:trPr>
          <w:trHeight w:val="279"/>
        </w:trPr>
        <w:tc>
          <w:tcPr>
            <w:tcW w:w="1940" w:type="dxa"/>
            <w:vMerge w:val="restart"/>
            <w:shd w:val="clear" w:color="auto" w:fill="D9D9D9"/>
            <w:vAlign w:val="center"/>
          </w:tcPr>
          <w:p w14:paraId="30B1D8D6" w14:textId="77777777" w:rsidR="00C87397" w:rsidRDefault="00000000">
            <w:pPr>
              <w:pStyle w:val="a0"/>
              <w:adjustRightInd w:val="0"/>
              <w:snapToGrid w:val="0"/>
              <w:spacing w:after="0"/>
              <w:jc w:val="left"/>
              <w:rPr>
                <w:rFonts w:ascii="宋体" w:hAnsi="宋体" w:cs="宋体" w:hint="eastAsia"/>
                <w:bCs/>
                <w:color w:val="000000"/>
                <w:lang w:val="en-US" w:eastAsia="zh-CN"/>
              </w:rPr>
            </w:pPr>
            <w:r>
              <w:rPr>
                <w:rFonts w:ascii="宋体" w:hAnsi="宋体" w:cs="宋体" w:hint="eastAsia"/>
                <w:bCs/>
                <w:color w:val="000000"/>
                <w:lang w:eastAsia="zh-CN"/>
              </w:rPr>
              <w:t>简易案件理由（可以单选，也可以多选）</w:t>
            </w:r>
          </w:p>
        </w:tc>
        <w:tc>
          <w:tcPr>
            <w:tcW w:w="7700" w:type="dxa"/>
            <w:gridSpan w:val="2"/>
            <w:vAlign w:val="center"/>
          </w:tcPr>
          <w:p w14:paraId="31D85845"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FE"/>
            </w:r>
            <w:r>
              <w:rPr>
                <w:rFonts w:ascii="宋体" w:hAnsi="宋体" w:cs="宋体" w:hint="eastAsia"/>
                <w:bCs/>
                <w:color w:val="000000"/>
                <w:lang w:eastAsia="zh-CN"/>
              </w:rPr>
              <w:t xml:space="preserve"> 1、在同一相关市场，</w:t>
            </w:r>
            <w:bookmarkStart w:id="0" w:name="_Hlk183005272"/>
            <w:r>
              <w:rPr>
                <w:rFonts w:ascii="宋体" w:hAnsi="宋体" w:cs="宋体" w:hint="eastAsia"/>
                <w:bCs/>
                <w:color w:val="000000"/>
                <w:lang w:eastAsia="zh-CN"/>
              </w:rPr>
              <w:t>所有参与集中的经营者所占市场份额之和小于15%</w:t>
            </w:r>
            <w:bookmarkEnd w:id="0"/>
            <w:r>
              <w:rPr>
                <w:rFonts w:ascii="宋体" w:hAnsi="宋体" w:cs="宋体" w:hint="eastAsia"/>
                <w:bCs/>
                <w:color w:val="000000"/>
                <w:lang w:eastAsia="zh-CN"/>
              </w:rPr>
              <w:t>。</w:t>
            </w:r>
          </w:p>
        </w:tc>
      </w:tr>
      <w:tr w:rsidR="00C87397" w14:paraId="2E4F85A0" w14:textId="77777777">
        <w:trPr>
          <w:trHeight w:val="330"/>
        </w:trPr>
        <w:tc>
          <w:tcPr>
            <w:tcW w:w="1940" w:type="dxa"/>
            <w:vMerge/>
            <w:shd w:val="clear" w:color="auto" w:fill="D9D9D9"/>
            <w:vAlign w:val="center"/>
          </w:tcPr>
          <w:p w14:paraId="63E2485F"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7700" w:type="dxa"/>
            <w:gridSpan w:val="2"/>
            <w:vAlign w:val="center"/>
          </w:tcPr>
          <w:p w14:paraId="7AFF46E4"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FE"/>
            </w:r>
            <w:r>
              <w:rPr>
                <w:rFonts w:ascii="宋体" w:hAnsi="宋体" w:cs="宋体" w:hint="eastAsia"/>
                <w:bCs/>
                <w:color w:val="000000"/>
                <w:lang w:eastAsia="zh-CN"/>
              </w:rPr>
              <w:t xml:space="preserve"> 2、存在上下游关系的参与集中的经营者，在上下游市场所占的市场份额均小于25%。</w:t>
            </w:r>
          </w:p>
        </w:tc>
      </w:tr>
      <w:tr w:rsidR="00C87397" w14:paraId="18AC543E" w14:textId="77777777">
        <w:trPr>
          <w:trHeight w:val="285"/>
        </w:trPr>
        <w:tc>
          <w:tcPr>
            <w:tcW w:w="1940" w:type="dxa"/>
            <w:vMerge/>
            <w:shd w:val="clear" w:color="auto" w:fill="D9D9D9"/>
            <w:vAlign w:val="center"/>
          </w:tcPr>
          <w:p w14:paraId="3BC61B13"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7700" w:type="dxa"/>
            <w:gridSpan w:val="2"/>
            <w:vAlign w:val="center"/>
          </w:tcPr>
          <w:p w14:paraId="3A097A79"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3、不在同一相关市场、也不存在上下游关系的参与集中的经营者，在与交易有关的每个市场所占的份额均小于25%。</w:t>
            </w:r>
          </w:p>
        </w:tc>
      </w:tr>
      <w:tr w:rsidR="00C87397" w14:paraId="39191206" w14:textId="77777777">
        <w:trPr>
          <w:trHeight w:val="626"/>
        </w:trPr>
        <w:tc>
          <w:tcPr>
            <w:tcW w:w="1940" w:type="dxa"/>
            <w:vMerge/>
            <w:shd w:val="clear" w:color="auto" w:fill="D9D9D9"/>
            <w:vAlign w:val="center"/>
          </w:tcPr>
          <w:p w14:paraId="262891A9"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7700" w:type="dxa"/>
            <w:gridSpan w:val="2"/>
            <w:vAlign w:val="center"/>
          </w:tcPr>
          <w:p w14:paraId="7D68D0A4"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4、参与集中的经营者在中国境外设立合营企业，合营企业不在中国境内从事经济活动。</w:t>
            </w:r>
          </w:p>
        </w:tc>
      </w:tr>
      <w:tr w:rsidR="00C87397" w14:paraId="445DC23B" w14:textId="77777777">
        <w:trPr>
          <w:trHeight w:val="264"/>
        </w:trPr>
        <w:tc>
          <w:tcPr>
            <w:tcW w:w="1940" w:type="dxa"/>
            <w:vMerge/>
            <w:shd w:val="clear" w:color="auto" w:fill="D9D9D9"/>
            <w:vAlign w:val="center"/>
          </w:tcPr>
          <w:p w14:paraId="11D54022"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7700" w:type="dxa"/>
            <w:gridSpan w:val="2"/>
            <w:vAlign w:val="center"/>
          </w:tcPr>
          <w:p w14:paraId="3D0A048F"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5、参与集中的经营者收购境外企业股权或资产的，该境外企业不在中国境内从事经济活动。</w:t>
            </w:r>
          </w:p>
        </w:tc>
      </w:tr>
      <w:tr w:rsidR="00C87397" w14:paraId="41D8A7FC" w14:textId="77777777">
        <w:trPr>
          <w:trHeight w:val="345"/>
        </w:trPr>
        <w:tc>
          <w:tcPr>
            <w:tcW w:w="1940" w:type="dxa"/>
            <w:vMerge/>
            <w:shd w:val="clear" w:color="auto" w:fill="D9D9D9"/>
            <w:vAlign w:val="center"/>
          </w:tcPr>
          <w:p w14:paraId="5BF13AEE" w14:textId="77777777" w:rsidR="00C87397" w:rsidRDefault="00C87397">
            <w:pPr>
              <w:pStyle w:val="a0"/>
              <w:adjustRightInd w:val="0"/>
              <w:snapToGrid w:val="0"/>
              <w:spacing w:after="0"/>
              <w:rPr>
                <w:rFonts w:ascii="宋体" w:hAnsi="宋体" w:cs="宋体" w:hint="eastAsia"/>
                <w:bCs/>
                <w:color w:val="000000"/>
                <w:lang w:val="en-US" w:eastAsia="zh-CN"/>
              </w:rPr>
            </w:pPr>
          </w:p>
        </w:tc>
        <w:tc>
          <w:tcPr>
            <w:tcW w:w="7700" w:type="dxa"/>
            <w:gridSpan w:val="2"/>
            <w:vAlign w:val="center"/>
          </w:tcPr>
          <w:p w14:paraId="506EB312" w14:textId="77777777" w:rsidR="00C87397" w:rsidRDefault="00000000">
            <w:pPr>
              <w:pStyle w:val="a0"/>
              <w:adjustRightInd w:val="0"/>
              <w:snapToGrid w:val="0"/>
              <w:spacing w:after="0" w:line="360" w:lineRule="auto"/>
              <w:rPr>
                <w:rFonts w:ascii="宋体" w:hAnsi="宋体" w:cs="宋体" w:hint="eastAsia"/>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6、由两个以上的经营者共同控制的合营企业，通过集中被其中一个或一个以上经营者控制。</w:t>
            </w:r>
          </w:p>
        </w:tc>
      </w:tr>
      <w:tr w:rsidR="00C87397" w14:paraId="67232D0D" w14:textId="77777777">
        <w:trPr>
          <w:trHeight w:val="841"/>
        </w:trPr>
        <w:tc>
          <w:tcPr>
            <w:tcW w:w="1940" w:type="dxa"/>
            <w:shd w:val="clear" w:color="auto" w:fill="D9D9D9"/>
            <w:vAlign w:val="center"/>
          </w:tcPr>
          <w:p w14:paraId="2FB13E59" w14:textId="77777777" w:rsidR="00C87397" w:rsidRDefault="00000000">
            <w:pPr>
              <w:pStyle w:val="a0"/>
              <w:adjustRightInd w:val="0"/>
              <w:snapToGrid w:val="0"/>
              <w:spacing w:after="0"/>
              <w:rPr>
                <w:rFonts w:ascii="宋体" w:hAnsi="宋体" w:cs="宋体" w:hint="eastAsia"/>
                <w:bCs/>
                <w:color w:val="000000"/>
                <w:lang w:val="en-US" w:eastAsia="zh-CN"/>
              </w:rPr>
            </w:pPr>
            <w:r>
              <w:rPr>
                <w:rFonts w:ascii="宋体" w:hAnsi="宋体" w:cs="宋体" w:hint="eastAsia"/>
                <w:bCs/>
                <w:color w:val="000000"/>
                <w:lang w:val="en-US" w:eastAsia="zh-CN"/>
              </w:rPr>
              <w:t>备注</w:t>
            </w:r>
          </w:p>
        </w:tc>
        <w:tc>
          <w:tcPr>
            <w:tcW w:w="7700" w:type="dxa"/>
            <w:gridSpan w:val="2"/>
            <w:vAlign w:val="center"/>
          </w:tcPr>
          <w:p w14:paraId="3DB1A0F8"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横向重叠：</w:t>
            </w:r>
          </w:p>
          <w:p w14:paraId="62790C41"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2023年中国境内城市管道天然气供应市场：</w:t>
            </w:r>
          </w:p>
          <w:p w14:paraId="58D8025D"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华润燃气：10-15%，中国石化：0-5%。合计：10-15%</w:t>
            </w:r>
          </w:p>
          <w:p w14:paraId="71DF8113"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纵向关联：</w:t>
            </w:r>
          </w:p>
          <w:p w14:paraId="2667A732"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上游：2023年中国境内天然气批发供应市场：</w:t>
            </w:r>
          </w:p>
          <w:p w14:paraId="7185F537"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中国石化：10-15%。</w:t>
            </w:r>
          </w:p>
          <w:p w14:paraId="3B1D26D5" w14:textId="77777777" w:rsidR="00C87397" w:rsidRDefault="00000000">
            <w:pPr>
              <w:adjustRightInd w:val="0"/>
              <w:snapToGrid w:val="0"/>
              <w:spacing w:after="0" w:line="360" w:lineRule="auto"/>
              <w:rPr>
                <w:rFonts w:ascii="宋体" w:hAnsi="宋体" w:cs="宋体" w:hint="eastAsia"/>
                <w:bCs/>
                <w:color w:val="000000"/>
                <w:lang w:val="en-US"/>
              </w:rPr>
            </w:pPr>
            <w:r>
              <w:rPr>
                <w:rFonts w:ascii="宋体" w:hAnsi="宋体" w:cs="宋体" w:hint="eastAsia"/>
                <w:bCs/>
                <w:color w:val="000000"/>
                <w:lang w:val="en-US"/>
              </w:rPr>
              <w:t>下游：2023年中国境内城市管道天然气供应市场：</w:t>
            </w:r>
          </w:p>
          <w:p w14:paraId="686789ED" w14:textId="77777777" w:rsidR="00C87397" w:rsidRDefault="00000000">
            <w:pPr>
              <w:adjustRightInd w:val="0"/>
              <w:snapToGrid w:val="0"/>
              <w:spacing w:after="0" w:line="360" w:lineRule="auto"/>
              <w:rPr>
                <w:lang w:val="en-US"/>
              </w:rPr>
            </w:pPr>
            <w:r>
              <w:rPr>
                <w:rFonts w:ascii="宋体" w:hAnsi="宋体" w:cs="宋体" w:hint="eastAsia"/>
                <w:bCs/>
                <w:color w:val="000000"/>
                <w:lang w:val="en-US"/>
              </w:rPr>
              <w:t>如上所述。</w:t>
            </w:r>
          </w:p>
        </w:tc>
      </w:tr>
    </w:tbl>
    <w:p w14:paraId="4B843166" w14:textId="77777777" w:rsidR="00C87397" w:rsidRDefault="00C87397">
      <w:pPr>
        <w:pStyle w:val="a0"/>
        <w:rPr>
          <w:rFonts w:ascii="宋体" w:hAnsi="宋体" w:cs="宋体" w:hint="eastAsia"/>
          <w:bCs/>
          <w:color w:val="000000"/>
          <w:sz w:val="28"/>
          <w:szCs w:val="28"/>
          <w:lang w:eastAsia="zh-CN"/>
        </w:rPr>
      </w:pPr>
    </w:p>
    <w:sectPr w:rsidR="00C87397">
      <w:footerReference w:type="default" r:id="rId7"/>
      <w:pgSz w:w="11906" w:h="16838"/>
      <w:pgMar w:top="1418"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4EA32F" w14:textId="77777777" w:rsidR="004D53C4" w:rsidRDefault="004D53C4">
      <w:pPr>
        <w:spacing w:after="0"/>
      </w:pPr>
      <w:r>
        <w:separator/>
      </w:r>
    </w:p>
  </w:endnote>
  <w:endnote w:type="continuationSeparator" w:id="0">
    <w:p w14:paraId="6AA7028C" w14:textId="77777777" w:rsidR="004D53C4" w:rsidRDefault="004D53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plified Arabic">
    <w:altName w:val="Segoe Print"/>
    <w:charset w:val="B2"/>
    <w:family w:val="roman"/>
    <w:pitch w:val="variable"/>
    <w:sig w:usb0="00002003" w:usb1="80000000" w:usb2="00000008" w:usb3="00000000" w:csb0="00000041"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007"/>
      <w:gridCol w:w="3011"/>
      <w:gridCol w:w="3008"/>
    </w:tblGrid>
    <w:tr w:rsidR="00C87397" w14:paraId="7DC24AA9" w14:textId="77777777">
      <w:tc>
        <w:tcPr>
          <w:tcW w:w="3080" w:type="dxa"/>
        </w:tcPr>
        <w:p w14:paraId="34B231D1" w14:textId="77777777" w:rsidR="00C87397" w:rsidRDefault="00C87397">
          <w:pPr>
            <w:pStyle w:val="aff4"/>
          </w:pPr>
        </w:p>
      </w:tc>
      <w:tc>
        <w:tcPr>
          <w:tcW w:w="3081" w:type="dxa"/>
        </w:tcPr>
        <w:p w14:paraId="332DEB21" w14:textId="77777777" w:rsidR="00C87397" w:rsidRDefault="00000000">
          <w:pPr>
            <w:pStyle w:val="aff4"/>
            <w:jc w:val="center"/>
            <w:rPr>
              <w:rStyle w:val="affff2"/>
              <w:rFonts w:cs="Times New Roman"/>
            </w:rPr>
          </w:pPr>
          <w:r>
            <w:rPr>
              <w:rStyle w:val="affff2"/>
              <w:rFonts w:cs="Times New Roman"/>
            </w:rPr>
            <w:t xml:space="preserve">- </w:t>
          </w:r>
          <w:r>
            <w:rPr>
              <w:rStyle w:val="affff2"/>
              <w:rFonts w:cs="Times New Roman"/>
            </w:rPr>
            <w:fldChar w:fldCharType="begin"/>
          </w:r>
          <w:r>
            <w:rPr>
              <w:rStyle w:val="affff2"/>
              <w:rFonts w:cs="Times New Roman"/>
            </w:rPr>
            <w:instrText xml:space="preserve"> PAGE   \* MERGEFORMAT </w:instrText>
          </w:r>
          <w:r>
            <w:rPr>
              <w:rStyle w:val="affff2"/>
              <w:rFonts w:cs="Times New Roman"/>
            </w:rPr>
            <w:fldChar w:fldCharType="separate"/>
          </w:r>
          <w:r>
            <w:rPr>
              <w:rStyle w:val="affff2"/>
              <w:rFonts w:cs="Times New Roman"/>
              <w:lang w:val="en-US"/>
            </w:rPr>
            <w:t>2</w:t>
          </w:r>
          <w:r>
            <w:rPr>
              <w:rStyle w:val="affff2"/>
              <w:rFonts w:cs="Times New Roman"/>
            </w:rPr>
            <w:fldChar w:fldCharType="end"/>
          </w:r>
          <w:r>
            <w:rPr>
              <w:rStyle w:val="affff2"/>
              <w:rFonts w:cs="Times New Roman"/>
            </w:rPr>
            <w:t xml:space="preserve"> -</w:t>
          </w:r>
        </w:p>
      </w:tc>
      <w:tc>
        <w:tcPr>
          <w:tcW w:w="3081" w:type="dxa"/>
        </w:tcPr>
        <w:p w14:paraId="03A2206B" w14:textId="77777777" w:rsidR="00C87397" w:rsidRDefault="00C87397">
          <w:pPr>
            <w:pStyle w:val="FooterRight"/>
          </w:pPr>
        </w:p>
      </w:tc>
    </w:tr>
  </w:tbl>
  <w:p w14:paraId="21B73287" w14:textId="77777777" w:rsidR="00C87397" w:rsidRDefault="00C87397">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B25C9F" w14:textId="77777777" w:rsidR="004D53C4" w:rsidRDefault="004D53C4">
      <w:pPr>
        <w:spacing w:after="0"/>
      </w:pPr>
      <w:r>
        <w:separator/>
      </w:r>
    </w:p>
  </w:footnote>
  <w:footnote w:type="continuationSeparator" w:id="0">
    <w:p w14:paraId="6211ACF7" w14:textId="77777777" w:rsidR="004D53C4" w:rsidRDefault="004D53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195CAD"/>
    <w:multiLevelType w:val="multilevel"/>
    <w:tmpl w:val="25195CAD"/>
    <w:lvl w:ilvl="0">
      <w:start w:val="1"/>
      <w:numFmt w:val="bullet"/>
      <w:pStyle w:val="BulletL1"/>
      <w:lvlText w:val="·"/>
      <w:lvlJc w:val="left"/>
      <w:pPr>
        <w:tabs>
          <w:tab w:val="left"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left"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left"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left"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left"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left"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left"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left"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left"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 w15:restartNumberingAfterBreak="0">
    <w:nsid w:val="4F0244F7"/>
    <w:multiLevelType w:val="multilevel"/>
    <w:tmpl w:val="4F0244F7"/>
    <w:lvl w:ilvl="0">
      <w:start w:val="1"/>
      <w:numFmt w:val="decimal"/>
      <w:pStyle w:val="NormalLeft"/>
      <w:lvlText w:val="%1)"/>
      <w:lvlJc w:val="left"/>
      <w:pPr>
        <w:ind w:left="644" w:hanging="360"/>
      </w:pPr>
      <w:rPr>
        <w:color w:val="auto"/>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6B4F0377"/>
    <w:multiLevelType w:val="multilevel"/>
    <w:tmpl w:val="6B4F0377"/>
    <w:lvl w:ilvl="0">
      <w:start w:val="1"/>
      <w:numFmt w:val="decimal"/>
      <w:pStyle w:val="StandardL1"/>
      <w:isLgl/>
      <w:lvlText w:val="%1."/>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left"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left"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left"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left"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left"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16cid:durableId="2024017850">
    <w:abstractNumId w:val="2"/>
  </w:num>
  <w:num w:numId="2" w16cid:durableId="1044404796">
    <w:abstractNumId w:val="0"/>
  </w:num>
  <w:num w:numId="3" w16cid:durableId="412893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LockQFSet/>
  <w:defaultTabStop w:val="720"/>
  <w:drawingGridHorizontalSpacing w:val="120"/>
  <w:noPunctuationKerning/>
  <w:characterSpacingControl w:val="doNotCompress"/>
  <w:doNotValidateAgainstSchema/>
  <w:doNotDemarcateInvalidXml/>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ECC"/>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 w:val="000024FF"/>
    <w:rsid w:val="000027BD"/>
    <w:rsid w:val="000150B7"/>
    <w:rsid w:val="00021AB2"/>
    <w:rsid w:val="000326C8"/>
    <w:rsid w:val="00041C40"/>
    <w:rsid w:val="0004292A"/>
    <w:rsid w:val="00044413"/>
    <w:rsid w:val="000467AA"/>
    <w:rsid w:val="000610FD"/>
    <w:rsid w:val="00062616"/>
    <w:rsid w:val="00073E6B"/>
    <w:rsid w:val="0007723F"/>
    <w:rsid w:val="00077D60"/>
    <w:rsid w:val="00083590"/>
    <w:rsid w:val="00086B3E"/>
    <w:rsid w:val="00092F4E"/>
    <w:rsid w:val="0009388E"/>
    <w:rsid w:val="000B58E5"/>
    <w:rsid w:val="000B653C"/>
    <w:rsid w:val="000C0325"/>
    <w:rsid w:val="000C6953"/>
    <w:rsid w:val="000C74AE"/>
    <w:rsid w:val="000D1F11"/>
    <w:rsid w:val="000D7E70"/>
    <w:rsid w:val="000E29A9"/>
    <w:rsid w:val="000E3A81"/>
    <w:rsid w:val="000F31E0"/>
    <w:rsid w:val="00107E19"/>
    <w:rsid w:val="00115F62"/>
    <w:rsid w:val="00123E26"/>
    <w:rsid w:val="00145B05"/>
    <w:rsid w:val="001639D8"/>
    <w:rsid w:val="00171849"/>
    <w:rsid w:val="001729C2"/>
    <w:rsid w:val="00186A05"/>
    <w:rsid w:val="0019403F"/>
    <w:rsid w:val="001965E2"/>
    <w:rsid w:val="001B4EA1"/>
    <w:rsid w:val="001C22A7"/>
    <w:rsid w:val="001C5840"/>
    <w:rsid w:val="001D1555"/>
    <w:rsid w:val="001D6168"/>
    <w:rsid w:val="001E0F1F"/>
    <w:rsid w:val="001E537F"/>
    <w:rsid w:val="001F346E"/>
    <w:rsid w:val="001F35AA"/>
    <w:rsid w:val="001F367B"/>
    <w:rsid w:val="0021781C"/>
    <w:rsid w:val="00224A7C"/>
    <w:rsid w:val="002278D1"/>
    <w:rsid w:val="00231665"/>
    <w:rsid w:val="00233737"/>
    <w:rsid w:val="002403B5"/>
    <w:rsid w:val="00245281"/>
    <w:rsid w:val="00250E61"/>
    <w:rsid w:val="00254689"/>
    <w:rsid w:val="00261F94"/>
    <w:rsid w:val="00262B1A"/>
    <w:rsid w:val="002656F2"/>
    <w:rsid w:val="00267941"/>
    <w:rsid w:val="00283798"/>
    <w:rsid w:val="00287E91"/>
    <w:rsid w:val="00291652"/>
    <w:rsid w:val="002964A1"/>
    <w:rsid w:val="002A1B16"/>
    <w:rsid w:val="002A25F2"/>
    <w:rsid w:val="002A7C26"/>
    <w:rsid w:val="002F09A7"/>
    <w:rsid w:val="002F5271"/>
    <w:rsid w:val="00306B88"/>
    <w:rsid w:val="00310488"/>
    <w:rsid w:val="00311263"/>
    <w:rsid w:val="003168F2"/>
    <w:rsid w:val="0032064E"/>
    <w:rsid w:val="003215DA"/>
    <w:rsid w:val="0034107F"/>
    <w:rsid w:val="00344D27"/>
    <w:rsid w:val="0035604C"/>
    <w:rsid w:val="00371332"/>
    <w:rsid w:val="00380C55"/>
    <w:rsid w:val="003850D4"/>
    <w:rsid w:val="00385F00"/>
    <w:rsid w:val="003866EF"/>
    <w:rsid w:val="003A24A3"/>
    <w:rsid w:val="003A4565"/>
    <w:rsid w:val="003A4F55"/>
    <w:rsid w:val="003B27EC"/>
    <w:rsid w:val="003B2F86"/>
    <w:rsid w:val="003B4439"/>
    <w:rsid w:val="003B4C9E"/>
    <w:rsid w:val="003B7CBC"/>
    <w:rsid w:val="003C3456"/>
    <w:rsid w:val="003E02B5"/>
    <w:rsid w:val="003E3B57"/>
    <w:rsid w:val="003E73DB"/>
    <w:rsid w:val="003F2913"/>
    <w:rsid w:val="00410914"/>
    <w:rsid w:val="004119F5"/>
    <w:rsid w:val="00411A63"/>
    <w:rsid w:val="0041407E"/>
    <w:rsid w:val="004166B2"/>
    <w:rsid w:val="004203EF"/>
    <w:rsid w:val="00424186"/>
    <w:rsid w:val="00427E52"/>
    <w:rsid w:val="00443A47"/>
    <w:rsid w:val="00446353"/>
    <w:rsid w:val="0044739B"/>
    <w:rsid w:val="00451B24"/>
    <w:rsid w:val="004621CE"/>
    <w:rsid w:val="00467A6B"/>
    <w:rsid w:val="0049707A"/>
    <w:rsid w:val="004973DB"/>
    <w:rsid w:val="0049771A"/>
    <w:rsid w:val="004A4BF1"/>
    <w:rsid w:val="004C0862"/>
    <w:rsid w:val="004C3420"/>
    <w:rsid w:val="004D018B"/>
    <w:rsid w:val="004D124C"/>
    <w:rsid w:val="004D4435"/>
    <w:rsid w:val="004D53C4"/>
    <w:rsid w:val="00500C9B"/>
    <w:rsid w:val="00512A53"/>
    <w:rsid w:val="00523905"/>
    <w:rsid w:val="005251B9"/>
    <w:rsid w:val="00526DAB"/>
    <w:rsid w:val="00530BB4"/>
    <w:rsid w:val="00545A47"/>
    <w:rsid w:val="0057200D"/>
    <w:rsid w:val="00591CEC"/>
    <w:rsid w:val="005A41D4"/>
    <w:rsid w:val="005B0CEB"/>
    <w:rsid w:val="005B18A3"/>
    <w:rsid w:val="005C5850"/>
    <w:rsid w:val="005D277C"/>
    <w:rsid w:val="005D6D17"/>
    <w:rsid w:val="005E7B2F"/>
    <w:rsid w:val="005F5280"/>
    <w:rsid w:val="005F7223"/>
    <w:rsid w:val="0060015A"/>
    <w:rsid w:val="0060413B"/>
    <w:rsid w:val="006054D4"/>
    <w:rsid w:val="00605EE6"/>
    <w:rsid w:val="0060669E"/>
    <w:rsid w:val="00614EBB"/>
    <w:rsid w:val="0061583E"/>
    <w:rsid w:val="00617BCA"/>
    <w:rsid w:val="00632159"/>
    <w:rsid w:val="00640114"/>
    <w:rsid w:val="00645B6A"/>
    <w:rsid w:val="00655225"/>
    <w:rsid w:val="00664174"/>
    <w:rsid w:val="006643EA"/>
    <w:rsid w:val="0067348D"/>
    <w:rsid w:val="006745A9"/>
    <w:rsid w:val="00682729"/>
    <w:rsid w:val="00687A37"/>
    <w:rsid w:val="006A4267"/>
    <w:rsid w:val="006B4541"/>
    <w:rsid w:val="006D1E2B"/>
    <w:rsid w:val="006D2AE9"/>
    <w:rsid w:val="006D3AB7"/>
    <w:rsid w:val="006E0D98"/>
    <w:rsid w:val="006E3180"/>
    <w:rsid w:val="006E6E26"/>
    <w:rsid w:val="006E70AA"/>
    <w:rsid w:val="006E7E76"/>
    <w:rsid w:val="006F6D14"/>
    <w:rsid w:val="006F7A98"/>
    <w:rsid w:val="006F7C95"/>
    <w:rsid w:val="007029CB"/>
    <w:rsid w:val="00705778"/>
    <w:rsid w:val="0071373B"/>
    <w:rsid w:val="00720F7B"/>
    <w:rsid w:val="00722FD3"/>
    <w:rsid w:val="007252AD"/>
    <w:rsid w:val="00726B19"/>
    <w:rsid w:val="00727BD0"/>
    <w:rsid w:val="00732AD5"/>
    <w:rsid w:val="007373F0"/>
    <w:rsid w:val="00742AD7"/>
    <w:rsid w:val="00742AFE"/>
    <w:rsid w:val="00742EDF"/>
    <w:rsid w:val="00751420"/>
    <w:rsid w:val="00760587"/>
    <w:rsid w:val="007674D7"/>
    <w:rsid w:val="00771E7C"/>
    <w:rsid w:val="00772298"/>
    <w:rsid w:val="00787C37"/>
    <w:rsid w:val="00791CB2"/>
    <w:rsid w:val="00794062"/>
    <w:rsid w:val="00797584"/>
    <w:rsid w:val="007A1DD7"/>
    <w:rsid w:val="007A2D94"/>
    <w:rsid w:val="007A503E"/>
    <w:rsid w:val="007B651A"/>
    <w:rsid w:val="007B6ED8"/>
    <w:rsid w:val="007B734E"/>
    <w:rsid w:val="007B75E4"/>
    <w:rsid w:val="007C4BB9"/>
    <w:rsid w:val="007D0764"/>
    <w:rsid w:val="007E2608"/>
    <w:rsid w:val="007F1726"/>
    <w:rsid w:val="0080200E"/>
    <w:rsid w:val="00803A33"/>
    <w:rsid w:val="008051ED"/>
    <w:rsid w:val="00811775"/>
    <w:rsid w:val="00813DFD"/>
    <w:rsid w:val="00822E61"/>
    <w:rsid w:val="008248B2"/>
    <w:rsid w:val="0082526D"/>
    <w:rsid w:val="00830187"/>
    <w:rsid w:val="00834D88"/>
    <w:rsid w:val="00836570"/>
    <w:rsid w:val="00844504"/>
    <w:rsid w:val="00851DE2"/>
    <w:rsid w:val="0085562E"/>
    <w:rsid w:val="00864085"/>
    <w:rsid w:val="00867154"/>
    <w:rsid w:val="00872688"/>
    <w:rsid w:val="008754E3"/>
    <w:rsid w:val="008803D0"/>
    <w:rsid w:val="00880F24"/>
    <w:rsid w:val="008836AF"/>
    <w:rsid w:val="00885C9B"/>
    <w:rsid w:val="00891C50"/>
    <w:rsid w:val="00893879"/>
    <w:rsid w:val="008A44D3"/>
    <w:rsid w:val="008B2172"/>
    <w:rsid w:val="008C07D4"/>
    <w:rsid w:val="008D4ED8"/>
    <w:rsid w:val="008D644E"/>
    <w:rsid w:val="008D7240"/>
    <w:rsid w:val="008E5BCA"/>
    <w:rsid w:val="009022B0"/>
    <w:rsid w:val="00905F4A"/>
    <w:rsid w:val="009145E4"/>
    <w:rsid w:val="00930011"/>
    <w:rsid w:val="009301D9"/>
    <w:rsid w:val="0093185C"/>
    <w:rsid w:val="009333D1"/>
    <w:rsid w:val="0094346F"/>
    <w:rsid w:val="00953187"/>
    <w:rsid w:val="009551E9"/>
    <w:rsid w:val="0096333E"/>
    <w:rsid w:val="009668EC"/>
    <w:rsid w:val="0097476B"/>
    <w:rsid w:val="0097558E"/>
    <w:rsid w:val="0097600B"/>
    <w:rsid w:val="00977C3B"/>
    <w:rsid w:val="009901B5"/>
    <w:rsid w:val="009A0BCC"/>
    <w:rsid w:val="009A208D"/>
    <w:rsid w:val="009A2EFA"/>
    <w:rsid w:val="009A57C5"/>
    <w:rsid w:val="009A6CD4"/>
    <w:rsid w:val="009A6E66"/>
    <w:rsid w:val="009B0211"/>
    <w:rsid w:val="009C16F8"/>
    <w:rsid w:val="009C1DE7"/>
    <w:rsid w:val="009C26C8"/>
    <w:rsid w:val="009C5625"/>
    <w:rsid w:val="009C5962"/>
    <w:rsid w:val="009D0999"/>
    <w:rsid w:val="009D4FBE"/>
    <w:rsid w:val="009D7AFB"/>
    <w:rsid w:val="009E159B"/>
    <w:rsid w:val="009F0698"/>
    <w:rsid w:val="00A05705"/>
    <w:rsid w:val="00A16F03"/>
    <w:rsid w:val="00A21136"/>
    <w:rsid w:val="00A24116"/>
    <w:rsid w:val="00A3323A"/>
    <w:rsid w:val="00A37203"/>
    <w:rsid w:val="00A432F9"/>
    <w:rsid w:val="00A46C66"/>
    <w:rsid w:val="00A46FAF"/>
    <w:rsid w:val="00A517BD"/>
    <w:rsid w:val="00A5674A"/>
    <w:rsid w:val="00A623EF"/>
    <w:rsid w:val="00A64F91"/>
    <w:rsid w:val="00A7438D"/>
    <w:rsid w:val="00A74797"/>
    <w:rsid w:val="00A7601D"/>
    <w:rsid w:val="00A8070A"/>
    <w:rsid w:val="00A81984"/>
    <w:rsid w:val="00AA0F23"/>
    <w:rsid w:val="00AA3E2F"/>
    <w:rsid w:val="00AA46CA"/>
    <w:rsid w:val="00AA535B"/>
    <w:rsid w:val="00AB6193"/>
    <w:rsid w:val="00AC3273"/>
    <w:rsid w:val="00AC68C4"/>
    <w:rsid w:val="00AD310D"/>
    <w:rsid w:val="00AD3D4D"/>
    <w:rsid w:val="00AE4069"/>
    <w:rsid w:val="00AE7916"/>
    <w:rsid w:val="00AF09EA"/>
    <w:rsid w:val="00AF1D6D"/>
    <w:rsid w:val="00AF5632"/>
    <w:rsid w:val="00AF79AB"/>
    <w:rsid w:val="00B04913"/>
    <w:rsid w:val="00B11207"/>
    <w:rsid w:val="00B2169A"/>
    <w:rsid w:val="00B31D4D"/>
    <w:rsid w:val="00B3616B"/>
    <w:rsid w:val="00B37633"/>
    <w:rsid w:val="00B518C9"/>
    <w:rsid w:val="00B52EAC"/>
    <w:rsid w:val="00B54969"/>
    <w:rsid w:val="00B80B9E"/>
    <w:rsid w:val="00B833EF"/>
    <w:rsid w:val="00B838DA"/>
    <w:rsid w:val="00B86E3A"/>
    <w:rsid w:val="00B95792"/>
    <w:rsid w:val="00BA017F"/>
    <w:rsid w:val="00BC0647"/>
    <w:rsid w:val="00BD535F"/>
    <w:rsid w:val="00BE6E64"/>
    <w:rsid w:val="00BF31B7"/>
    <w:rsid w:val="00BF3C7D"/>
    <w:rsid w:val="00BF4CC3"/>
    <w:rsid w:val="00BF4F99"/>
    <w:rsid w:val="00C10048"/>
    <w:rsid w:val="00C2127E"/>
    <w:rsid w:val="00C238B0"/>
    <w:rsid w:val="00C30E9B"/>
    <w:rsid w:val="00C316E0"/>
    <w:rsid w:val="00C424FC"/>
    <w:rsid w:val="00C43C57"/>
    <w:rsid w:val="00C51ECC"/>
    <w:rsid w:val="00C5449E"/>
    <w:rsid w:val="00C600D9"/>
    <w:rsid w:val="00C67ADA"/>
    <w:rsid w:val="00C810E8"/>
    <w:rsid w:val="00C82C0C"/>
    <w:rsid w:val="00C847C2"/>
    <w:rsid w:val="00C87397"/>
    <w:rsid w:val="00C911AA"/>
    <w:rsid w:val="00CA6613"/>
    <w:rsid w:val="00CB0F96"/>
    <w:rsid w:val="00CB3CD9"/>
    <w:rsid w:val="00CC69AD"/>
    <w:rsid w:val="00CC7707"/>
    <w:rsid w:val="00CE5109"/>
    <w:rsid w:val="00CF1664"/>
    <w:rsid w:val="00CF5A8A"/>
    <w:rsid w:val="00D01278"/>
    <w:rsid w:val="00D0551C"/>
    <w:rsid w:val="00D12AB1"/>
    <w:rsid w:val="00D167B8"/>
    <w:rsid w:val="00D23B36"/>
    <w:rsid w:val="00D26848"/>
    <w:rsid w:val="00D27AEB"/>
    <w:rsid w:val="00D537B6"/>
    <w:rsid w:val="00D53BAE"/>
    <w:rsid w:val="00D57DBA"/>
    <w:rsid w:val="00D57EBC"/>
    <w:rsid w:val="00D605D4"/>
    <w:rsid w:val="00D6270F"/>
    <w:rsid w:val="00D62F0D"/>
    <w:rsid w:val="00D71F76"/>
    <w:rsid w:val="00D77095"/>
    <w:rsid w:val="00D80573"/>
    <w:rsid w:val="00D81FD2"/>
    <w:rsid w:val="00D87D35"/>
    <w:rsid w:val="00D93A00"/>
    <w:rsid w:val="00D94BB1"/>
    <w:rsid w:val="00D961C9"/>
    <w:rsid w:val="00D97B80"/>
    <w:rsid w:val="00DA1D73"/>
    <w:rsid w:val="00DB2761"/>
    <w:rsid w:val="00DB2FF6"/>
    <w:rsid w:val="00DB44D5"/>
    <w:rsid w:val="00DC2F4C"/>
    <w:rsid w:val="00DD0E0C"/>
    <w:rsid w:val="00DD6823"/>
    <w:rsid w:val="00DD7765"/>
    <w:rsid w:val="00DE30C0"/>
    <w:rsid w:val="00DE522D"/>
    <w:rsid w:val="00DE7434"/>
    <w:rsid w:val="00E10AF7"/>
    <w:rsid w:val="00E20BD9"/>
    <w:rsid w:val="00E21681"/>
    <w:rsid w:val="00E23955"/>
    <w:rsid w:val="00E417DF"/>
    <w:rsid w:val="00E47327"/>
    <w:rsid w:val="00E7385D"/>
    <w:rsid w:val="00E86579"/>
    <w:rsid w:val="00E90A19"/>
    <w:rsid w:val="00E938EF"/>
    <w:rsid w:val="00E974F8"/>
    <w:rsid w:val="00EA0823"/>
    <w:rsid w:val="00EA79DA"/>
    <w:rsid w:val="00EC0393"/>
    <w:rsid w:val="00EC636E"/>
    <w:rsid w:val="00EC7E55"/>
    <w:rsid w:val="00ED6F93"/>
    <w:rsid w:val="00ED7C11"/>
    <w:rsid w:val="00ED7CC4"/>
    <w:rsid w:val="00EE7CB8"/>
    <w:rsid w:val="00EF16FB"/>
    <w:rsid w:val="00F02216"/>
    <w:rsid w:val="00F0291C"/>
    <w:rsid w:val="00F02A92"/>
    <w:rsid w:val="00F04074"/>
    <w:rsid w:val="00F101DD"/>
    <w:rsid w:val="00F12F64"/>
    <w:rsid w:val="00F14193"/>
    <w:rsid w:val="00F14D59"/>
    <w:rsid w:val="00F20CCE"/>
    <w:rsid w:val="00F27693"/>
    <w:rsid w:val="00F3614E"/>
    <w:rsid w:val="00F466EB"/>
    <w:rsid w:val="00F534AD"/>
    <w:rsid w:val="00F55964"/>
    <w:rsid w:val="00F56870"/>
    <w:rsid w:val="00F576E0"/>
    <w:rsid w:val="00F6440C"/>
    <w:rsid w:val="00F901CF"/>
    <w:rsid w:val="00F906EF"/>
    <w:rsid w:val="00F97111"/>
    <w:rsid w:val="00FB237B"/>
    <w:rsid w:val="00FB33FD"/>
    <w:rsid w:val="00FB58A3"/>
    <w:rsid w:val="00FB645E"/>
    <w:rsid w:val="00FC35ED"/>
    <w:rsid w:val="00FD6CD9"/>
    <w:rsid w:val="00FE20D9"/>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5307355"/>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DC1E3"/>
  <w15:docId w15:val="{7A26B782-5E12-456F-881F-2E5723BEF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40"/>
      <w:jc w:val="both"/>
    </w:pPr>
    <w:rPr>
      <w:sz w:val="24"/>
      <w:szCs w:val="24"/>
      <w:lang w:val="en-GB" w:bidi="ar-AE"/>
    </w:rPr>
  </w:style>
  <w:style w:type="paragraph" w:styleId="1">
    <w:name w:val="heading 1"/>
    <w:basedOn w:val="a"/>
    <w:next w:val="a"/>
    <w:link w:val="10"/>
    <w:qFormat/>
    <w:pPr>
      <w:outlineLvl w:val="0"/>
    </w:pPr>
    <w:rPr>
      <w:rFonts w:cs="Simplified Arabic"/>
    </w:rPr>
  </w:style>
  <w:style w:type="paragraph" w:styleId="2">
    <w:name w:val="heading 2"/>
    <w:basedOn w:val="a"/>
    <w:next w:val="a0"/>
    <w:link w:val="20"/>
    <w:qFormat/>
    <w:pPr>
      <w:outlineLvl w:val="1"/>
    </w:pPr>
    <w:rPr>
      <w:rFonts w:cs="Simplified Arabic"/>
    </w:rPr>
  </w:style>
  <w:style w:type="paragraph" w:styleId="3">
    <w:name w:val="heading 3"/>
    <w:basedOn w:val="2"/>
    <w:next w:val="a0"/>
    <w:link w:val="30"/>
    <w:qFormat/>
    <w:pPr>
      <w:outlineLvl w:val="2"/>
    </w:pPr>
  </w:style>
  <w:style w:type="paragraph" w:styleId="4">
    <w:name w:val="heading 4"/>
    <w:basedOn w:val="a"/>
    <w:next w:val="a0"/>
    <w:link w:val="40"/>
    <w:qFormat/>
    <w:pPr>
      <w:outlineLvl w:val="3"/>
    </w:pPr>
    <w:rPr>
      <w:rFonts w:cs="Simplified Arabic"/>
    </w:rPr>
  </w:style>
  <w:style w:type="paragraph" w:styleId="5">
    <w:name w:val="heading 5"/>
    <w:basedOn w:val="a"/>
    <w:next w:val="a0"/>
    <w:link w:val="50"/>
    <w:qFormat/>
    <w:pPr>
      <w:outlineLvl w:val="4"/>
    </w:pPr>
    <w:rPr>
      <w:rFonts w:cs="Simplified Arabic"/>
    </w:rPr>
  </w:style>
  <w:style w:type="paragraph" w:styleId="6">
    <w:name w:val="heading 6"/>
    <w:basedOn w:val="a"/>
    <w:next w:val="a0"/>
    <w:link w:val="60"/>
    <w:qFormat/>
    <w:pPr>
      <w:outlineLvl w:val="5"/>
    </w:pPr>
    <w:rPr>
      <w:rFonts w:cs="Simplified Arabic"/>
    </w:rPr>
  </w:style>
  <w:style w:type="paragraph" w:styleId="7">
    <w:name w:val="heading 7"/>
    <w:basedOn w:val="a"/>
    <w:next w:val="a0"/>
    <w:link w:val="70"/>
    <w:qFormat/>
    <w:pPr>
      <w:outlineLvl w:val="6"/>
    </w:pPr>
    <w:rPr>
      <w:rFonts w:cs="Simplified Arabic"/>
    </w:rPr>
  </w:style>
  <w:style w:type="paragraph" w:styleId="8">
    <w:name w:val="heading 8"/>
    <w:basedOn w:val="a"/>
    <w:next w:val="a0"/>
    <w:link w:val="80"/>
    <w:qFormat/>
    <w:pPr>
      <w:outlineLvl w:val="7"/>
    </w:pPr>
    <w:rPr>
      <w:rFonts w:cs="Simplified Arabic"/>
    </w:rPr>
  </w:style>
  <w:style w:type="paragraph" w:styleId="9">
    <w:name w:val="heading 9"/>
    <w:basedOn w:val="a"/>
    <w:next w:val="a0"/>
    <w:link w:val="90"/>
    <w:qFormat/>
    <w:pPr>
      <w:outlineLvl w:val="8"/>
    </w:pPr>
    <w:rPr>
      <w:rFonts w:cs="Simplified Arabic"/>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paragraph" w:styleId="a0">
    <w:name w:val="Body Text"/>
    <w:basedOn w:val="a"/>
    <w:link w:val="a6"/>
    <w:rPr>
      <w:rFonts w:cs="Simplified Arabic"/>
      <w:lang w:eastAsia="en-GB"/>
    </w:rPr>
  </w:style>
  <w:style w:type="paragraph" w:styleId="31">
    <w:name w:val="List 3"/>
    <w:basedOn w:val="a"/>
    <w:pPr>
      <w:ind w:left="1080" w:hanging="360"/>
      <w:contextualSpacing/>
    </w:pPr>
  </w:style>
  <w:style w:type="paragraph" w:styleId="TOC7">
    <w:name w:val="toc 7"/>
    <w:basedOn w:val="a"/>
    <w:next w:val="a"/>
    <w:pPr>
      <w:ind w:left="1440"/>
    </w:pPr>
  </w:style>
  <w:style w:type="paragraph" w:styleId="a7">
    <w:name w:val="table of authorities"/>
    <w:basedOn w:val="a"/>
    <w:next w:val="a"/>
    <w:pPr>
      <w:ind w:left="240" w:hanging="240"/>
    </w:pPr>
  </w:style>
  <w:style w:type="paragraph" w:styleId="a8">
    <w:name w:val="Note Heading"/>
    <w:basedOn w:val="a"/>
    <w:next w:val="a"/>
    <w:link w:val="a9"/>
    <w:rPr>
      <w:rFonts w:cs="Simplified Arabic"/>
    </w:rPr>
  </w:style>
  <w:style w:type="paragraph" w:styleId="81">
    <w:name w:val="index 8"/>
    <w:basedOn w:val="a"/>
    <w:next w:val="a"/>
    <w:pPr>
      <w:ind w:left="1920" w:hanging="240"/>
    </w:pPr>
  </w:style>
  <w:style w:type="paragraph" w:styleId="aa">
    <w:name w:val="E-mail Signature"/>
    <w:basedOn w:val="a"/>
    <w:link w:val="ab"/>
    <w:rPr>
      <w:rFonts w:cs="Simplified Arabic"/>
    </w:rPr>
  </w:style>
  <w:style w:type="paragraph" w:styleId="ac">
    <w:name w:val="Normal Indent"/>
    <w:basedOn w:val="a"/>
    <w:pPr>
      <w:ind w:left="720"/>
    </w:pPr>
  </w:style>
  <w:style w:type="paragraph" w:styleId="ad">
    <w:name w:val="caption"/>
    <w:basedOn w:val="a"/>
    <w:next w:val="a"/>
    <w:qFormat/>
    <w:rPr>
      <w:b/>
      <w:bCs/>
      <w:sz w:val="20"/>
      <w:szCs w:val="20"/>
    </w:rPr>
  </w:style>
  <w:style w:type="paragraph" w:styleId="51">
    <w:name w:val="index 5"/>
    <w:basedOn w:val="a"/>
    <w:next w:val="a"/>
    <w:pPr>
      <w:ind w:left="1200" w:hanging="240"/>
    </w:pPr>
  </w:style>
  <w:style w:type="paragraph" w:styleId="ae">
    <w:name w:val="envelope address"/>
    <w:basedOn w:val="a"/>
    <w:pPr>
      <w:framePr w:w="7920" w:h="1980" w:hRule="exact" w:hSpace="180" w:wrap="auto" w:hAnchor="page" w:xAlign="center" w:yAlign="bottom"/>
      <w:ind w:left="2880"/>
    </w:pPr>
    <w:rPr>
      <w:rFonts w:cs="Simplified Arabic"/>
    </w:rPr>
  </w:style>
  <w:style w:type="paragraph" w:styleId="af">
    <w:name w:val="Document Map"/>
    <w:basedOn w:val="a"/>
    <w:link w:val="af0"/>
    <w:rPr>
      <w:rFonts w:ascii="Tahoma" w:hAnsi="Tahoma" w:cs="Tahoma"/>
      <w:sz w:val="16"/>
      <w:szCs w:val="16"/>
    </w:rPr>
  </w:style>
  <w:style w:type="paragraph" w:styleId="af1">
    <w:name w:val="toa heading"/>
    <w:basedOn w:val="a"/>
    <w:next w:val="a"/>
    <w:pPr>
      <w:spacing w:before="120"/>
    </w:pPr>
    <w:rPr>
      <w:rFonts w:cs="Simplified Arabic"/>
      <w:b/>
      <w:bCs/>
    </w:rPr>
  </w:style>
  <w:style w:type="paragraph" w:styleId="af2">
    <w:name w:val="annotation text"/>
    <w:basedOn w:val="a"/>
    <w:link w:val="af3"/>
    <w:pPr>
      <w:spacing w:after="120"/>
    </w:pPr>
    <w:rPr>
      <w:rFonts w:cs="Simplified Arabic"/>
      <w:sz w:val="20"/>
      <w:szCs w:val="20"/>
    </w:rPr>
  </w:style>
  <w:style w:type="paragraph" w:styleId="61">
    <w:name w:val="index 6"/>
    <w:basedOn w:val="a"/>
    <w:next w:val="a"/>
    <w:pPr>
      <w:ind w:left="1440" w:hanging="240"/>
    </w:pPr>
  </w:style>
  <w:style w:type="paragraph" w:styleId="af4">
    <w:name w:val="Salutation"/>
    <w:basedOn w:val="a"/>
    <w:next w:val="a"/>
    <w:link w:val="af5"/>
    <w:rPr>
      <w:rFonts w:cs="Simplified Arabic"/>
    </w:rPr>
  </w:style>
  <w:style w:type="paragraph" w:styleId="32">
    <w:name w:val="Body Text 3"/>
    <w:basedOn w:val="a"/>
    <w:link w:val="33"/>
    <w:pPr>
      <w:ind w:left="2160"/>
    </w:pPr>
    <w:rPr>
      <w:rFonts w:cs="Simplified Arabic"/>
      <w:lang w:eastAsia="en-GB"/>
    </w:rPr>
  </w:style>
  <w:style w:type="paragraph" w:styleId="af6">
    <w:name w:val="Closing"/>
    <w:basedOn w:val="a"/>
    <w:link w:val="af7"/>
    <w:pPr>
      <w:ind w:left="4320"/>
    </w:pPr>
    <w:rPr>
      <w:rFonts w:cs="Simplified Arabic"/>
    </w:rPr>
  </w:style>
  <w:style w:type="paragraph" w:styleId="af8">
    <w:name w:val="Body Text Indent"/>
    <w:basedOn w:val="a"/>
    <w:link w:val="af9"/>
    <w:pPr>
      <w:spacing w:after="120"/>
      <w:ind w:left="283"/>
    </w:pPr>
    <w:rPr>
      <w:rFonts w:cs="Simplified Arabic"/>
    </w:rPr>
  </w:style>
  <w:style w:type="paragraph" w:styleId="21">
    <w:name w:val="List 2"/>
    <w:basedOn w:val="a"/>
    <w:pPr>
      <w:ind w:left="720" w:hanging="360"/>
      <w:contextualSpacing/>
    </w:pPr>
  </w:style>
  <w:style w:type="paragraph" w:styleId="afa">
    <w:name w:val="List Continue"/>
    <w:basedOn w:val="a"/>
    <w:pPr>
      <w:spacing w:after="120"/>
      <w:ind w:left="360"/>
      <w:contextualSpacing/>
    </w:pPr>
  </w:style>
  <w:style w:type="paragraph" w:styleId="afb">
    <w:name w:val="Block Text"/>
    <w:basedOn w:val="a"/>
    <w:pPr>
      <w:spacing w:after="120"/>
      <w:ind w:left="1440" w:right="1440"/>
    </w:pPr>
  </w:style>
  <w:style w:type="paragraph" w:styleId="HTML">
    <w:name w:val="HTML Address"/>
    <w:basedOn w:val="a"/>
    <w:link w:val="HTML0"/>
    <w:rPr>
      <w:rFonts w:cs="Simplified Arabic"/>
      <w:i/>
      <w:iCs/>
    </w:rPr>
  </w:style>
  <w:style w:type="paragraph" w:styleId="41">
    <w:name w:val="index 4"/>
    <w:basedOn w:val="a"/>
    <w:next w:val="a"/>
    <w:pPr>
      <w:ind w:left="960" w:hanging="240"/>
    </w:pPr>
  </w:style>
  <w:style w:type="paragraph" w:styleId="TOC5">
    <w:name w:val="toc 5"/>
    <w:basedOn w:val="a"/>
    <w:next w:val="a"/>
    <w:pPr>
      <w:ind w:left="960"/>
    </w:pPr>
  </w:style>
  <w:style w:type="paragraph" w:styleId="TOC3">
    <w:name w:val="toc 3"/>
    <w:basedOn w:val="a"/>
    <w:next w:val="a"/>
    <w:pPr>
      <w:ind w:left="480"/>
    </w:pPr>
  </w:style>
  <w:style w:type="paragraph" w:styleId="afc">
    <w:name w:val="Plain Text"/>
    <w:basedOn w:val="a"/>
    <w:link w:val="afd"/>
    <w:rPr>
      <w:rFonts w:ascii="Courier New" w:hAnsi="Courier New" w:cs="Courier New"/>
      <w:sz w:val="20"/>
      <w:szCs w:val="20"/>
    </w:rPr>
  </w:style>
  <w:style w:type="paragraph" w:styleId="TOC8">
    <w:name w:val="toc 8"/>
    <w:basedOn w:val="a"/>
    <w:next w:val="a"/>
    <w:pPr>
      <w:ind w:left="1680"/>
    </w:pPr>
  </w:style>
  <w:style w:type="paragraph" w:styleId="34">
    <w:name w:val="index 3"/>
    <w:basedOn w:val="a"/>
    <w:next w:val="a"/>
    <w:pPr>
      <w:ind w:left="720" w:hanging="240"/>
    </w:pPr>
  </w:style>
  <w:style w:type="paragraph" w:styleId="afe">
    <w:name w:val="Date"/>
    <w:basedOn w:val="a"/>
    <w:next w:val="a"/>
    <w:link w:val="aff"/>
    <w:rPr>
      <w:rFonts w:cs="Simplified Arabic"/>
    </w:rPr>
  </w:style>
  <w:style w:type="paragraph" w:styleId="22">
    <w:name w:val="Body Text Indent 2"/>
    <w:basedOn w:val="a"/>
    <w:link w:val="23"/>
    <w:pPr>
      <w:spacing w:after="120"/>
      <w:ind w:left="360"/>
    </w:pPr>
    <w:rPr>
      <w:rFonts w:cs="Simplified Arabic"/>
    </w:rPr>
  </w:style>
  <w:style w:type="paragraph" w:styleId="aff0">
    <w:name w:val="endnote text"/>
    <w:basedOn w:val="a"/>
    <w:next w:val="a"/>
    <w:link w:val="aff1"/>
    <w:pPr>
      <w:spacing w:after="120"/>
      <w:ind w:left="340" w:hanging="340"/>
    </w:pPr>
    <w:rPr>
      <w:rFonts w:cs="Simplified Arabic"/>
      <w:sz w:val="20"/>
      <w:szCs w:val="20"/>
    </w:rPr>
  </w:style>
  <w:style w:type="paragraph" w:styleId="52">
    <w:name w:val="List Continue 5"/>
    <w:basedOn w:val="a"/>
    <w:pPr>
      <w:spacing w:after="120"/>
      <w:ind w:left="1800"/>
      <w:contextualSpacing/>
    </w:pPr>
  </w:style>
  <w:style w:type="paragraph" w:styleId="aff2">
    <w:name w:val="Balloon Text"/>
    <w:basedOn w:val="a"/>
    <w:link w:val="aff3"/>
    <w:pPr>
      <w:spacing w:after="0"/>
    </w:pPr>
    <w:rPr>
      <w:rFonts w:ascii="Tahoma" w:hAnsi="Tahoma" w:cs="Tahoma"/>
      <w:sz w:val="16"/>
      <w:szCs w:val="16"/>
    </w:rPr>
  </w:style>
  <w:style w:type="paragraph" w:styleId="aff4">
    <w:name w:val="footer"/>
    <w:link w:val="aff5"/>
    <w:rPr>
      <w:sz w:val="16"/>
      <w:szCs w:val="16"/>
      <w:lang w:val="en-GB" w:bidi="he-IL"/>
    </w:rPr>
  </w:style>
  <w:style w:type="paragraph" w:styleId="aff6">
    <w:name w:val="envelope return"/>
    <w:basedOn w:val="a"/>
    <w:rPr>
      <w:rFonts w:cs="Simplified Arabic"/>
      <w:sz w:val="20"/>
      <w:szCs w:val="20"/>
    </w:rPr>
  </w:style>
  <w:style w:type="paragraph" w:styleId="aff7">
    <w:name w:val="header"/>
    <w:link w:val="aff8"/>
    <w:uiPriority w:val="99"/>
    <w:pPr>
      <w:jc w:val="both"/>
    </w:pPr>
    <w:rPr>
      <w:sz w:val="24"/>
      <w:szCs w:val="24"/>
      <w:lang w:val="en-GB" w:bidi="he-IL"/>
    </w:rPr>
  </w:style>
  <w:style w:type="paragraph" w:styleId="aff9">
    <w:name w:val="Signature"/>
    <w:basedOn w:val="a"/>
    <w:link w:val="affa"/>
    <w:pPr>
      <w:ind w:left="4320"/>
    </w:pPr>
    <w:rPr>
      <w:rFonts w:cs="Simplified Arabic"/>
    </w:rPr>
  </w:style>
  <w:style w:type="paragraph" w:styleId="TOC1">
    <w:name w:val="toc 1"/>
    <w:basedOn w:val="a"/>
    <w:next w:val="a0"/>
    <w:pPr>
      <w:tabs>
        <w:tab w:val="right" w:leader="dot" w:pos="9016"/>
      </w:tabs>
      <w:adjustRightInd w:val="0"/>
      <w:snapToGrid w:val="0"/>
      <w:spacing w:before="100" w:after="100"/>
      <w:ind w:left="510" w:hanging="510"/>
    </w:pPr>
    <w:rPr>
      <w:snapToGrid w:val="0"/>
      <w:lang w:bidi="he-IL"/>
    </w:rPr>
  </w:style>
  <w:style w:type="paragraph" w:styleId="42">
    <w:name w:val="List Continue 4"/>
    <w:basedOn w:val="a"/>
    <w:pPr>
      <w:spacing w:after="120"/>
      <w:ind w:left="1440"/>
      <w:contextualSpacing/>
    </w:pPr>
  </w:style>
  <w:style w:type="paragraph" w:styleId="TOC4">
    <w:name w:val="toc 4"/>
    <w:basedOn w:val="a"/>
    <w:next w:val="a"/>
    <w:pPr>
      <w:ind w:left="720"/>
    </w:pPr>
  </w:style>
  <w:style w:type="paragraph" w:styleId="affb">
    <w:name w:val="index heading"/>
    <w:basedOn w:val="a"/>
    <w:next w:val="a"/>
    <w:rPr>
      <w:b/>
      <w:bCs/>
    </w:rPr>
  </w:style>
  <w:style w:type="paragraph" w:styleId="affc">
    <w:name w:val="Subtitle"/>
    <w:basedOn w:val="a"/>
    <w:next w:val="a0"/>
    <w:link w:val="affd"/>
    <w:qFormat/>
    <w:pPr>
      <w:jc w:val="center"/>
    </w:pPr>
    <w:rPr>
      <w:rFonts w:cs="Simplified Arabic"/>
    </w:rPr>
  </w:style>
  <w:style w:type="paragraph" w:styleId="affe">
    <w:name w:val="List"/>
    <w:basedOn w:val="a"/>
    <w:pPr>
      <w:ind w:left="360" w:hanging="360"/>
      <w:contextualSpacing/>
    </w:pPr>
  </w:style>
  <w:style w:type="paragraph" w:styleId="afff">
    <w:name w:val="footnote text"/>
    <w:basedOn w:val="a"/>
    <w:next w:val="a"/>
    <w:link w:val="afff0"/>
    <w:pPr>
      <w:spacing w:after="120"/>
      <w:ind w:left="340" w:hanging="340"/>
    </w:pPr>
    <w:rPr>
      <w:rFonts w:cs="Simplified Arabic"/>
      <w:sz w:val="20"/>
      <w:szCs w:val="20"/>
    </w:rPr>
  </w:style>
  <w:style w:type="paragraph" w:styleId="TOC6">
    <w:name w:val="toc 6"/>
    <w:basedOn w:val="a"/>
    <w:next w:val="a"/>
    <w:pPr>
      <w:ind w:left="1200"/>
    </w:pPr>
  </w:style>
  <w:style w:type="paragraph" w:styleId="53">
    <w:name w:val="List 5"/>
    <w:basedOn w:val="a"/>
    <w:pPr>
      <w:ind w:left="1800" w:hanging="360"/>
      <w:contextualSpacing/>
    </w:pPr>
  </w:style>
  <w:style w:type="paragraph" w:styleId="35">
    <w:name w:val="Body Text Indent 3"/>
    <w:basedOn w:val="a"/>
    <w:link w:val="36"/>
    <w:pPr>
      <w:spacing w:after="120"/>
      <w:ind w:left="360"/>
    </w:pPr>
    <w:rPr>
      <w:rFonts w:cs="Simplified Arabic"/>
      <w:sz w:val="16"/>
      <w:szCs w:val="16"/>
    </w:rPr>
  </w:style>
  <w:style w:type="paragraph" w:styleId="71">
    <w:name w:val="index 7"/>
    <w:basedOn w:val="a"/>
    <w:next w:val="a"/>
    <w:pPr>
      <w:ind w:left="1680" w:hanging="240"/>
    </w:pPr>
  </w:style>
  <w:style w:type="paragraph" w:styleId="91">
    <w:name w:val="index 9"/>
    <w:basedOn w:val="a"/>
    <w:next w:val="a"/>
    <w:pPr>
      <w:ind w:left="2160" w:hanging="240"/>
    </w:pPr>
  </w:style>
  <w:style w:type="paragraph" w:styleId="afff1">
    <w:name w:val="table of figures"/>
    <w:basedOn w:val="a"/>
    <w:next w:val="a"/>
  </w:style>
  <w:style w:type="paragraph" w:styleId="TOC2">
    <w:name w:val="toc 2"/>
    <w:basedOn w:val="a"/>
    <w:next w:val="a0"/>
    <w:pPr>
      <w:tabs>
        <w:tab w:val="right" w:leader="dot" w:pos="9015"/>
      </w:tabs>
      <w:adjustRightInd w:val="0"/>
      <w:snapToGrid w:val="0"/>
      <w:spacing w:before="100" w:after="100"/>
      <w:ind w:left="1230" w:hanging="720"/>
    </w:pPr>
    <w:rPr>
      <w:snapToGrid w:val="0"/>
      <w:lang w:bidi="he-IL"/>
    </w:rPr>
  </w:style>
  <w:style w:type="paragraph" w:styleId="TOC9">
    <w:name w:val="toc 9"/>
    <w:basedOn w:val="a"/>
    <w:next w:val="a"/>
    <w:pPr>
      <w:ind w:left="1920"/>
    </w:pPr>
  </w:style>
  <w:style w:type="paragraph" w:styleId="24">
    <w:name w:val="Body Text 2"/>
    <w:basedOn w:val="a"/>
    <w:link w:val="25"/>
    <w:pPr>
      <w:ind w:left="1440"/>
    </w:pPr>
    <w:rPr>
      <w:rFonts w:cs="Simplified Arabic"/>
      <w:lang w:eastAsia="en-GB"/>
    </w:rPr>
  </w:style>
  <w:style w:type="paragraph" w:styleId="43">
    <w:name w:val="List 4"/>
    <w:basedOn w:val="a"/>
    <w:pPr>
      <w:ind w:left="1440" w:hanging="360"/>
      <w:contextualSpacing/>
    </w:pPr>
  </w:style>
  <w:style w:type="paragraph" w:styleId="26">
    <w:name w:val="List Continue 2"/>
    <w:basedOn w:val="a"/>
    <w:pPr>
      <w:spacing w:after="120"/>
      <w:ind w:left="720"/>
      <w:contextualSpacing/>
    </w:pPr>
  </w:style>
  <w:style w:type="paragraph" w:styleId="afff2">
    <w:name w:val="Message Header"/>
    <w:basedOn w:val="a"/>
    <w:link w:val="afff3"/>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paragraph" w:styleId="HTML1">
    <w:name w:val="HTML Preformatted"/>
    <w:basedOn w:val="a"/>
    <w:link w:val="HTML2"/>
    <w:rPr>
      <w:rFonts w:ascii="Courier New" w:hAnsi="Courier New" w:cs="Courier New"/>
      <w:sz w:val="20"/>
      <w:szCs w:val="20"/>
    </w:rPr>
  </w:style>
  <w:style w:type="paragraph" w:styleId="afff4">
    <w:name w:val="Normal (Web)"/>
    <w:basedOn w:val="a"/>
  </w:style>
  <w:style w:type="paragraph" w:styleId="37">
    <w:name w:val="List Continue 3"/>
    <w:basedOn w:val="a"/>
    <w:pPr>
      <w:spacing w:after="120"/>
      <w:ind w:left="1080"/>
      <w:contextualSpacing/>
    </w:pPr>
  </w:style>
  <w:style w:type="paragraph" w:styleId="11">
    <w:name w:val="index 1"/>
    <w:basedOn w:val="a"/>
    <w:next w:val="a"/>
    <w:pPr>
      <w:ind w:left="240" w:hanging="240"/>
    </w:pPr>
  </w:style>
  <w:style w:type="paragraph" w:styleId="27">
    <w:name w:val="index 2"/>
    <w:basedOn w:val="a"/>
    <w:next w:val="a"/>
    <w:pPr>
      <w:ind w:left="480" w:hanging="240"/>
    </w:pPr>
  </w:style>
  <w:style w:type="paragraph" w:styleId="afff5">
    <w:name w:val="Title"/>
    <w:basedOn w:val="a"/>
    <w:next w:val="a0"/>
    <w:link w:val="afff6"/>
    <w:qFormat/>
    <w:pPr>
      <w:jc w:val="center"/>
    </w:pPr>
    <w:rPr>
      <w:rFonts w:cs="Simplified Arabic"/>
      <w:b/>
      <w:bCs/>
    </w:rPr>
  </w:style>
  <w:style w:type="paragraph" w:styleId="afff7">
    <w:name w:val="annotation subject"/>
    <w:basedOn w:val="af2"/>
    <w:next w:val="af2"/>
    <w:link w:val="afff8"/>
    <w:pPr>
      <w:spacing w:after="240"/>
    </w:pPr>
    <w:rPr>
      <w:b/>
      <w:bCs/>
    </w:rPr>
  </w:style>
  <w:style w:type="paragraph" w:styleId="afff9">
    <w:name w:val="Body Text First Indent"/>
    <w:basedOn w:val="a0"/>
    <w:link w:val="afffa"/>
    <w:pPr>
      <w:ind w:firstLine="720"/>
    </w:pPr>
  </w:style>
  <w:style w:type="paragraph" w:styleId="28">
    <w:name w:val="Body Text First Indent 2"/>
    <w:basedOn w:val="afff9"/>
    <w:link w:val="29"/>
    <w:pPr>
      <w:ind w:firstLine="1440"/>
    </w:pPr>
  </w:style>
  <w:style w:type="table" w:styleId="afffb">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c">
    <w:name w:val="Table Theme"/>
    <w:basedOn w:val="a2"/>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2"/>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a">
    <w:name w:val="Table Colorful 2"/>
    <w:basedOn w:val="a2"/>
    <w:pPr>
      <w:spacing w:after="24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2"/>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d">
    <w:name w:val="Table Elegant"/>
    <w:basedOn w:val="a2"/>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2"/>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b">
    <w:name w:val="Table Classic 2"/>
    <w:basedOn w:val="a2"/>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2"/>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4">
    <w:name w:val="Table Classic 4"/>
    <w:basedOn w:val="a2"/>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2"/>
    <w:pPr>
      <w:spacing w:after="24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c">
    <w:name w:val="Table Simple 2"/>
    <w:basedOn w:val="a2"/>
    <w:pPr>
      <w:spacing w:after="24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2"/>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2"/>
    <w:pPr>
      <w:spacing w:after="24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Subtle 2"/>
    <w:basedOn w:val="a2"/>
    <w:pPr>
      <w:spacing w:after="24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2"/>
    <w:pPr>
      <w:spacing w:after="24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e">
    <w:name w:val="Table 3D effects 2"/>
    <w:basedOn w:val="a2"/>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2"/>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2"/>
    <w:pPr>
      <w:spacing w:after="24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List 2"/>
    <w:basedOn w:val="a2"/>
    <w:pPr>
      <w:spacing w:after="240"/>
      <w:jc w:val="both"/>
    </w:p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2"/>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5">
    <w:name w:val="Table List 4"/>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4">
    <w:name w:val="Table List 5"/>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2"/>
    <w:pPr>
      <w:spacing w:after="24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2"/>
    <w:pPr>
      <w:spacing w:after="24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2"/>
    <w:pPr>
      <w:spacing w:after="24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e">
    <w:name w:val="Table Contemporary"/>
    <w:basedOn w:val="a2"/>
    <w:pPr>
      <w:spacing w:after="24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2"/>
    <w:pPr>
      <w:spacing w:after="24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0">
    <w:name w:val="Table Columns 2"/>
    <w:basedOn w:val="a2"/>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2"/>
    <w:pPr>
      <w:spacing w:after="24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6">
    <w:name w:val="Table Columns 4"/>
    <w:basedOn w:val="a2"/>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2"/>
    <w:pPr>
      <w:spacing w:after="24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1">
    <w:name w:val="Table Grid 2"/>
    <w:basedOn w:val="a2"/>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2"/>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7">
    <w:name w:val="Table Grid 4"/>
    <w:basedOn w:val="a2"/>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6">
    <w:name w:val="Table Grid 5"/>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2"/>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2"/>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2"/>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2"/>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2">
    <w:name w:val="Table Web 2"/>
    <w:basedOn w:val="a2"/>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2"/>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
    <w:name w:val="Table Professional"/>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2">
    <w:name w:val="Light Shading Accent 2"/>
    <w:basedOn w:val="a2"/>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3">
    <w:name w:val="Light Shading Accent 3"/>
    <w:basedOn w:val="a2"/>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4">
    <w:name w:val="Light Shading Accent 4"/>
    <w:basedOn w:val="a2"/>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5">
    <w:name w:val="Light Shading Accent 5"/>
    <w:basedOn w:val="a2"/>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6">
    <w:name w:val="Light Shading Accent 6"/>
    <w:basedOn w:val="a2"/>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0">
    <w:name w:val="Light List Accent 2"/>
    <w:basedOn w:val="a2"/>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30">
    <w:name w:val="Light List Accent 3"/>
    <w:basedOn w:val="a2"/>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0">
    <w:name w:val="Light List Accent 4"/>
    <w:basedOn w:val="a2"/>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50">
    <w:name w:val="Light List Accent 5"/>
    <w:basedOn w:val="a2"/>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60">
    <w:name w:val="Light List Accent 6"/>
    <w:basedOn w:val="a2"/>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21">
    <w:name w:val="Light Grid Accent 2"/>
    <w:basedOn w:val="a2"/>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31">
    <w:name w:val="Light Grid Accent 3"/>
    <w:basedOn w:val="a2"/>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41">
    <w:name w:val="Light Grid Accent 4"/>
    <w:basedOn w:val="a2"/>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51">
    <w:name w:val="Light Grid Accent 5"/>
    <w:basedOn w:val="a2"/>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61">
    <w:name w:val="Light Grid Accent 6"/>
    <w:basedOn w:val="a2"/>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1-2">
    <w:name w:val="Medium Shading 1 Accent 2"/>
    <w:basedOn w:val="a2"/>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tblStylePr w:type="band2Horz">
      <w:tblPr/>
      <w:tcPr>
        <w:tcBorders>
          <w:insideH w:val="nil"/>
          <w:insideV w:val="nil"/>
        </w:tcBorders>
      </w:tcPr>
    </w:tblStylePr>
  </w:style>
  <w:style w:type="table" w:styleId="1-3">
    <w:name w:val="Medium Shading 1 Accent 3"/>
    <w:basedOn w:val="a2"/>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tblStylePr w:type="band2Horz">
      <w:tblPr/>
      <w:tcPr>
        <w:tcBorders>
          <w:insideH w:val="nil"/>
          <w:insideV w:val="nil"/>
        </w:tcBorders>
      </w:tcPr>
    </w:tblStylePr>
  </w:style>
  <w:style w:type="table" w:styleId="1-4">
    <w:name w:val="Medium Shading 1 Accent 4"/>
    <w:basedOn w:val="a2"/>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tblStylePr w:type="band2Horz">
      <w:tblPr/>
      <w:tcPr>
        <w:tcBorders>
          <w:insideH w:val="nil"/>
          <w:insideV w:val="nil"/>
        </w:tcBorders>
      </w:tcPr>
    </w:tblStylePr>
  </w:style>
  <w:style w:type="table" w:styleId="1-5">
    <w:name w:val="Medium Shading 1 Accent 5"/>
    <w:basedOn w:val="a2"/>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tblStylePr w:type="band2Horz">
      <w:tblPr/>
      <w:tcPr>
        <w:tcBorders>
          <w:insideH w:val="nil"/>
          <w:insideV w:val="nil"/>
        </w:tcBorders>
      </w:tcPr>
    </w:tblStylePr>
  </w:style>
  <w:style w:type="table" w:styleId="1-6">
    <w:name w:val="Medium Shading 1 Accent 6"/>
    <w:basedOn w:val="a2"/>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tblStylePr w:type="band2Horz">
      <w:tblPr/>
      <w:tcPr>
        <w:tcBorders>
          <w:insideH w:val="nil"/>
          <w:insideV w:val="nil"/>
        </w:tcBorders>
      </w:tcPr>
    </w:tblStylePr>
  </w:style>
  <w:style w:type="table" w:styleId="2-2">
    <w:name w:val="Medium Shading 2 Accent 2"/>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3">
    <w:name w:val="Medium Shading 2 Accent 3"/>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4">
    <w:name w:val="Medium Shading 2 Accent 4"/>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5">
    <w:name w:val="Medium Shading 2 Accent 5"/>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6">
    <w:name w:val="Medium Shading 2 Accent 6"/>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20">
    <w:name w:val="Medium List 1 Accent 2"/>
    <w:basedOn w:val="a2"/>
    <w:rPr>
      <w:color w:val="000000"/>
    </w:rPr>
    <w:tblPr>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2"/>
    <w:rPr>
      <w:color w:val="000000"/>
    </w:rPr>
    <w:tblPr>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2"/>
    <w:rPr>
      <w:color w:val="000000"/>
    </w:rPr>
    <w:tblPr>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2"/>
    <w:rPr>
      <w:color w:val="000000"/>
    </w:rPr>
    <w:tblPr>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2"/>
    <w:rPr>
      <w:color w:val="000000"/>
    </w:rPr>
    <w:tblPr>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2-1">
    <w:name w:val="Medium List 2 Accent 1"/>
    <w:basedOn w:val="a2"/>
    <w:rPr>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tblStylePr w:type="swCell">
      <w:tblPr/>
      <w:tcPr>
        <w:tcBorders>
          <w:top w:val="nil"/>
        </w:tcBorders>
      </w:tcPr>
    </w:tblStylePr>
  </w:style>
  <w:style w:type="table" w:styleId="2-20">
    <w:name w:val="Medium List 2 Accent 2"/>
    <w:basedOn w:val="a2"/>
    <w:rPr>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tblStylePr w:type="swCell">
      <w:tblPr/>
      <w:tcPr>
        <w:tcBorders>
          <w:top w:val="nil"/>
        </w:tcBorders>
      </w:tcPr>
    </w:tblStylePr>
  </w:style>
  <w:style w:type="table" w:styleId="2-30">
    <w:name w:val="Medium List 2 Accent 3"/>
    <w:basedOn w:val="a2"/>
    <w:rPr>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tblStylePr w:type="swCell">
      <w:tblPr/>
      <w:tcPr>
        <w:tcBorders>
          <w:top w:val="nil"/>
        </w:tcBorders>
      </w:tcPr>
    </w:tblStylePr>
  </w:style>
  <w:style w:type="table" w:styleId="2-40">
    <w:name w:val="Medium List 2 Accent 4"/>
    <w:basedOn w:val="a2"/>
    <w:rPr>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tblStylePr w:type="swCell">
      <w:tblPr/>
      <w:tcPr>
        <w:tcBorders>
          <w:top w:val="nil"/>
        </w:tcBorders>
      </w:tcPr>
    </w:tblStylePr>
  </w:style>
  <w:style w:type="table" w:styleId="2-50">
    <w:name w:val="Medium List 2 Accent 5"/>
    <w:basedOn w:val="a2"/>
    <w:rPr>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tblStylePr w:type="swCell">
      <w:tblPr/>
      <w:tcPr>
        <w:tcBorders>
          <w:top w:val="nil"/>
        </w:tcBorders>
      </w:tcPr>
    </w:tblStylePr>
  </w:style>
  <w:style w:type="table" w:styleId="2-60">
    <w:name w:val="Medium List 2 Accent 6"/>
    <w:basedOn w:val="a2"/>
    <w:rPr>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tblStylePr w:type="swCell">
      <w:tblPr/>
      <w:tcPr>
        <w:tcBorders>
          <w:top w:val="nil"/>
        </w:tcBorders>
      </w:tcPr>
    </w:tblStylePr>
  </w:style>
  <w:style w:type="table" w:styleId="1-1">
    <w:name w:val="Medium Grid 1 Accent 1"/>
    <w:basedOn w:val="a2"/>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2"/>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2"/>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2"/>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2"/>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2"/>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10">
    <w:name w:val="Medium Grid 2 Accent 1"/>
    <w:basedOn w:val="a2"/>
    <w:rPr>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2-21">
    <w:name w:val="Medium Grid 2 Accent 2"/>
    <w:basedOn w:val="a2"/>
    <w:rPr>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2-31">
    <w:name w:val="Medium Grid 2 Accent 3"/>
    <w:basedOn w:val="a2"/>
    <w:rPr>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2-41">
    <w:name w:val="Medium Grid 2 Accent 4"/>
    <w:basedOn w:val="a2"/>
    <w:rPr>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2-51">
    <w:name w:val="Medium Grid 2 Accent 5"/>
    <w:basedOn w:val="a2"/>
    <w:rPr>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2-61">
    <w:name w:val="Medium Grid 2 Accent 6"/>
    <w:basedOn w:val="a2"/>
    <w:rPr>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3-1">
    <w:name w:val="Medium Grid 3 Accent 1"/>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3-2">
    <w:name w:val="Medium Grid 3 Accent 2"/>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3-3">
    <w:name w:val="Medium Grid 3 Accent 3"/>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3-4">
    <w:name w:val="Medium Grid 3 Accent 4"/>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3-5">
    <w:name w:val="Medium Grid 3 Accent 5"/>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3-6">
    <w:name w:val="Medium Grid 3 Accent 6"/>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1">
    <w:name w:val="Dark List Accent 1"/>
    <w:basedOn w:val="a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22">
    <w:name w:val="Dark List Accent 2"/>
    <w:basedOn w:val="a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32">
    <w:name w:val="Dark List Accent 3"/>
    <w:basedOn w:val="a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42">
    <w:name w:val="Dark List Accent 4"/>
    <w:basedOn w:val="a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52">
    <w:name w:val="Dark List Accent 5"/>
    <w:basedOn w:val="a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62">
    <w:name w:val="Dark List Accent 6"/>
    <w:basedOn w:val="a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0">
    <w:name w:val="Colorful Shading Accent 1"/>
    <w:basedOn w:val="a2"/>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2"/>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2"/>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2"/>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2"/>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2"/>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1">
    <w:name w:val="Colorful List Accent 1"/>
    <w:basedOn w:val="a2"/>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24">
    <w:name w:val="Colorful List Accent 2"/>
    <w:basedOn w:val="a2"/>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34">
    <w:name w:val="Colorful List Accent 3"/>
    <w:basedOn w:val="a2"/>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44">
    <w:name w:val="Colorful List Accent 4"/>
    <w:basedOn w:val="a2"/>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54">
    <w:name w:val="Colorful List Accent 5"/>
    <w:basedOn w:val="a2"/>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64">
    <w:name w:val="Colorful List Accent 6"/>
    <w:basedOn w:val="a2"/>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2">
    <w:name w:val="Colorful Grid Accent 1"/>
    <w:basedOn w:val="a2"/>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2"/>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2"/>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2"/>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2"/>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2"/>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fff0">
    <w:name w:val="Strong"/>
    <w:qFormat/>
    <w:rPr>
      <w:b/>
      <w:bCs/>
    </w:rPr>
  </w:style>
  <w:style w:type="character" w:styleId="affff1">
    <w:name w:val="endnote reference"/>
    <w:rPr>
      <w:rFonts w:ascii="Times New Roman" w:eastAsia="宋体" w:hAnsi="Times New Roman" w:cs="Simplified Arabic"/>
      <w:sz w:val="18"/>
      <w:szCs w:val="18"/>
      <w:vertAlign w:val="superscript"/>
      <w:lang w:val="en-GB" w:bidi="ar-AE"/>
    </w:rPr>
  </w:style>
  <w:style w:type="character" w:styleId="affff2">
    <w:name w:val="page number"/>
    <w:rPr>
      <w:rFonts w:ascii="Times New Roman" w:eastAsia="宋体" w:hAnsi="Times New Roman" w:cs="Simplified Arabic"/>
      <w:sz w:val="24"/>
      <w:szCs w:val="24"/>
      <w:lang w:val="en-GB" w:bidi="ar-AE"/>
    </w:rPr>
  </w:style>
  <w:style w:type="character" w:styleId="affff3">
    <w:name w:val="FollowedHyperlink"/>
    <w:rPr>
      <w:color w:val="800080"/>
      <w:u w:val="single"/>
    </w:rPr>
  </w:style>
  <w:style w:type="character" w:styleId="affff4">
    <w:name w:val="Emphasis"/>
    <w:qFormat/>
    <w:rPr>
      <w:i/>
      <w:iCs/>
    </w:rPr>
  </w:style>
  <w:style w:type="character" w:styleId="affff5">
    <w:name w:val="Hyperlink"/>
    <w:uiPriority w:val="99"/>
    <w:rPr>
      <w:color w:val="0000FF"/>
      <w:u w:val="single"/>
    </w:rPr>
  </w:style>
  <w:style w:type="character" w:styleId="affff6">
    <w:name w:val="annotation reference"/>
    <w:rPr>
      <w:rFonts w:ascii="Times New Roman" w:eastAsia="宋体" w:hAnsi="Times New Roman" w:cs="Simplified Arabic"/>
      <w:sz w:val="18"/>
      <w:szCs w:val="18"/>
      <w:lang w:val="en-GB" w:bidi="ar-AE"/>
    </w:rPr>
  </w:style>
  <w:style w:type="character" w:styleId="affff7">
    <w:name w:val="footnote reference"/>
    <w:rPr>
      <w:rFonts w:ascii="Times New Roman" w:eastAsia="宋体" w:hAnsi="Times New Roman" w:cs="Simplified Arabic"/>
      <w:sz w:val="18"/>
      <w:szCs w:val="18"/>
      <w:vertAlign w:val="superscript"/>
      <w:lang w:bidi="ar-AE"/>
    </w:rPr>
  </w:style>
  <w:style w:type="character" w:customStyle="1" w:styleId="a5">
    <w:name w:val="宏文本 字符"/>
    <w:link w:val="a4"/>
    <w:rPr>
      <w:rFonts w:ascii="Courier New" w:hAnsi="Courier New" w:cs="Courier New"/>
      <w:lang w:val="en-GB" w:eastAsia="zh-CN" w:bidi="ar-AE"/>
    </w:rPr>
  </w:style>
  <w:style w:type="character" w:customStyle="1" w:styleId="10">
    <w:name w:val="标题 1 字符"/>
    <w:link w:val="1"/>
    <w:rPr>
      <w:sz w:val="24"/>
      <w:szCs w:val="24"/>
      <w:lang w:bidi="ar-AE"/>
    </w:rPr>
  </w:style>
  <w:style w:type="character" w:customStyle="1" w:styleId="20">
    <w:name w:val="标题 2 字符"/>
    <w:link w:val="2"/>
    <w:rPr>
      <w:sz w:val="24"/>
      <w:szCs w:val="24"/>
      <w:lang w:bidi="ar-AE"/>
    </w:rPr>
  </w:style>
  <w:style w:type="character" w:customStyle="1" w:styleId="a6">
    <w:name w:val="正文文本 字符"/>
    <w:link w:val="a0"/>
    <w:rPr>
      <w:sz w:val="24"/>
      <w:szCs w:val="24"/>
      <w:lang w:eastAsia="en-GB" w:bidi="ar-AE"/>
    </w:rPr>
  </w:style>
  <w:style w:type="character" w:customStyle="1" w:styleId="30">
    <w:name w:val="标题 3 字符"/>
    <w:link w:val="3"/>
    <w:rPr>
      <w:sz w:val="24"/>
      <w:szCs w:val="24"/>
      <w:lang w:bidi="ar-AE"/>
    </w:rPr>
  </w:style>
  <w:style w:type="character" w:customStyle="1" w:styleId="40">
    <w:name w:val="标题 4 字符"/>
    <w:link w:val="4"/>
    <w:rPr>
      <w:sz w:val="24"/>
      <w:szCs w:val="24"/>
      <w:lang w:bidi="ar-AE"/>
    </w:rPr>
  </w:style>
  <w:style w:type="character" w:customStyle="1" w:styleId="50">
    <w:name w:val="标题 5 字符"/>
    <w:link w:val="5"/>
    <w:rPr>
      <w:sz w:val="24"/>
      <w:szCs w:val="24"/>
      <w:lang w:bidi="ar-AE"/>
    </w:rPr>
  </w:style>
  <w:style w:type="character" w:customStyle="1" w:styleId="60">
    <w:name w:val="标题 6 字符"/>
    <w:link w:val="6"/>
    <w:rPr>
      <w:sz w:val="24"/>
      <w:szCs w:val="24"/>
      <w:lang w:bidi="ar-AE"/>
    </w:rPr>
  </w:style>
  <w:style w:type="character" w:customStyle="1" w:styleId="70">
    <w:name w:val="标题 7 字符"/>
    <w:link w:val="7"/>
    <w:rPr>
      <w:sz w:val="24"/>
      <w:szCs w:val="24"/>
      <w:lang w:bidi="ar-AE"/>
    </w:rPr>
  </w:style>
  <w:style w:type="character" w:customStyle="1" w:styleId="80">
    <w:name w:val="标题 8 字符"/>
    <w:link w:val="8"/>
    <w:rPr>
      <w:sz w:val="24"/>
      <w:szCs w:val="24"/>
      <w:lang w:bidi="ar-AE"/>
    </w:rPr>
  </w:style>
  <w:style w:type="character" w:customStyle="1" w:styleId="90">
    <w:name w:val="标题 9 字符"/>
    <w:link w:val="9"/>
    <w:rPr>
      <w:sz w:val="24"/>
      <w:szCs w:val="24"/>
      <w:lang w:bidi="ar-AE"/>
    </w:rPr>
  </w:style>
  <w:style w:type="character" w:customStyle="1" w:styleId="a9">
    <w:name w:val="注释标题 字符"/>
    <w:link w:val="a8"/>
    <w:rPr>
      <w:sz w:val="24"/>
      <w:szCs w:val="24"/>
      <w:lang w:bidi="ar-AE"/>
    </w:rPr>
  </w:style>
  <w:style w:type="character" w:customStyle="1" w:styleId="ab">
    <w:name w:val="电子邮件签名 字符"/>
    <w:link w:val="aa"/>
    <w:rPr>
      <w:sz w:val="24"/>
      <w:szCs w:val="24"/>
      <w:lang w:bidi="ar-AE"/>
    </w:rPr>
  </w:style>
  <w:style w:type="character" w:customStyle="1" w:styleId="af0">
    <w:name w:val="文档结构图 字符"/>
    <w:link w:val="af"/>
    <w:rPr>
      <w:rFonts w:ascii="Tahoma" w:hAnsi="Tahoma" w:cs="Tahoma"/>
      <w:sz w:val="16"/>
      <w:szCs w:val="16"/>
      <w:lang w:bidi="ar-AE"/>
    </w:rPr>
  </w:style>
  <w:style w:type="character" w:customStyle="1" w:styleId="af3">
    <w:name w:val="批注文字 字符"/>
    <w:link w:val="af2"/>
    <w:rPr>
      <w:lang w:bidi="ar-AE"/>
    </w:rPr>
  </w:style>
  <w:style w:type="character" w:customStyle="1" w:styleId="af5">
    <w:name w:val="称呼 字符"/>
    <w:link w:val="af4"/>
    <w:rPr>
      <w:sz w:val="24"/>
      <w:szCs w:val="24"/>
      <w:lang w:bidi="ar-AE"/>
    </w:rPr>
  </w:style>
  <w:style w:type="character" w:customStyle="1" w:styleId="33">
    <w:name w:val="正文文本 3 字符"/>
    <w:link w:val="32"/>
    <w:rPr>
      <w:sz w:val="24"/>
      <w:szCs w:val="24"/>
      <w:lang w:eastAsia="en-GB" w:bidi="ar-AE"/>
    </w:rPr>
  </w:style>
  <w:style w:type="character" w:customStyle="1" w:styleId="af7">
    <w:name w:val="结束语 字符"/>
    <w:link w:val="af6"/>
    <w:rPr>
      <w:sz w:val="24"/>
      <w:szCs w:val="24"/>
      <w:lang w:bidi="ar-AE"/>
    </w:rPr>
  </w:style>
  <w:style w:type="character" w:customStyle="1" w:styleId="af9">
    <w:name w:val="正文文本缩进 字符"/>
    <w:link w:val="af8"/>
    <w:rPr>
      <w:sz w:val="24"/>
      <w:szCs w:val="24"/>
      <w:lang w:bidi="ar-AE"/>
    </w:rPr>
  </w:style>
  <w:style w:type="character" w:customStyle="1" w:styleId="HTML0">
    <w:name w:val="HTML 地址 字符"/>
    <w:link w:val="HTML"/>
    <w:rPr>
      <w:i/>
      <w:iCs/>
      <w:sz w:val="24"/>
      <w:szCs w:val="24"/>
      <w:lang w:bidi="ar-AE"/>
    </w:rPr>
  </w:style>
  <w:style w:type="character" w:customStyle="1" w:styleId="afd">
    <w:name w:val="纯文本 字符"/>
    <w:link w:val="afc"/>
    <w:rPr>
      <w:rFonts w:ascii="Courier New" w:hAnsi="Courier New" w:cs="Courier New"/>
      <w:lang w:bidi="ar-AE"/>
    </w:rPr>
  </w:style>
  <w:style w:type="character" w:customStyle="1" w:styleId="aff">
    <w:name w:val="日期 字符"/>
    <w:link w:val="afe"/>
    <w:rPr>
      <w:sz w:val="24"/>
      <w:szCs w:val="24"/>
      <w:lang w:bidi="ar-AE"/>
    </w:rPr>
  </w:style>
  <w:style w:type="character" w:customStyle="1" w:styleId="23">
    <w:name w:val="正文文本缩进 2 字符"/>
    <w:link w:val="22"/>
    <w:rPr>
      <w:sz w:val="24"/>
      <w:szCs w:val="24"/>
      <w:lang w:bidi="ar-AE"/>
    </w:rPr>
  </w:style>
  <w:style w:type="character" w:customStyle="1" w:styleId="aff1">
    <w:name w:val="尾注文本 字符"/>
    <w:link w:val="aff0"/>
    <w:rPr>
      <w:lang w:bidi="ar-AE"/>
    </w:rPr>
  </w:style>
  <w:style w:type="character" w:customStyle="1" w:styleId="aff3">
    <w:name w:val="批注框文本 字符"/>
    <w:link w:val="aff2"/>
    <w:rPr>
      <w:rFonts w:ascii="Tahoma" w:hAnsi="Tahoma" w:cs="Tahoma"/>
      <w:sz w:val="16"/>
      <w:szCs w:val="16"/>
      <w:lang w:bidi="ar-AE"/>
    </w:rPr>
  </w:style>
  <w:style w:type="character" w:customStyle="1" w:styleId="aff5">
    <w:name w:val="页脚 字符"/>
    <w:link w:val="aff4"/>
    <w:rPr>
      <w:sz w:val="16"/>
      <w:szCs w:val="16"/>
      <w:lang w:val="en-GB" w:eastAsia="zh-CN" w:bidi="he-IL"/>
    </w:rPr>
  </w:style>
  <w:style w:type="character" w:customStyle="1" w:styleId="aff8">
    <w:name w:val="页眉 字符"/>
    <w:link w:val="aff7"/>
    <w:uiPriority w:val="99"/>
    <w:rPr>
      <w:sz w:val="24"/>
      <w:szCs w:val="24"/>
      <w:lang w:val="en-GB" w:eastAsia="zh-CN" w:bidi="he-IL"/>
    </w:rPr>
  </w:style>
  <w:style w:type="character" w:customStyle="1" w:styleId="affa">
    <w:name w:val="签名 字符"/>
    <w:link w:val="aff9"/>
    <w:rPr>
      <w:sz w:val="24"/>
      <w:szCs w:val="24"/>
      <w:lang w:bidi="ar-AE"/>
    </w:rPr>
  </w:style>
  <w:style w:type="character" w:customStyle="1" w:styleId="affd">
    <w:name w:val="副标题 字符"/>
    <w:link w:val="affc"/>
    <w:rPr>
      <w:sz w:val="24"/>
      <w:szCs w:val="24"/>
      <w:lang w:bidi="ar-AE"/>
    </w:rPr>
  </w:style>
  <w:style w:type="character" w:customStyle="1" w:styleId="afff0">
    <w:name w:val="脚注文本 字符"/>
    <w:link w:val="afff"/>
    <w:rPr>
      <w:lang w:bidi="ar-AE"/>
    </w:rPr>
  </w:style>
  <w:style w:type="character" w:customStyle="1" w:styleId="36">
    <w:name w:val="正文文本缩进 3 字符"/>
    <w:link w:val="35"/>
    <w:rPr>
      <w:sz w:val="16"/>
      <w:szCs w:val="16"/>
      <w:lang w:bidi="ar-AE"/>
    </w:rPr>
  </w:style>
  <w:style w:type="character" w:customStyle="1" w:styleId="25">
    <w:name w:val="正文文本 2 字符"/>
    <w:link w:val="24"/>
    <w:rPr>
      <w:sz w:val="24"/>
      <w:szCs w:val="24"/>
      <w:lang w:eastAsia="en-GB" w:bidi="ar-AE"/>
    </w:rPr>
  </w:style>
  <w:style w:type="character" w:customStyle="1" w:styleId="afff3">
    <w:name w:val="信息标题 字符"/>
    <w:link w:val="afff2"/>
    <w:rPr>
      <w:rFonts w:ascii="Times New Roman" w:eastAsia="宋体" w:hAnsi="Times New Roman" w:cs="Simplified Arabic"/>
      <w:sz w:val="24"/>
      <w:szCs w:val="24"/>
      <w:shd w:val="pct20" w:color="auto" w:fill="auto"/>
      <w:lang w:bidi="ar-AE"/>
    </w:rPr>
  </w:style>
  <w:style w:type="character" w:customStyle="1" w:styleId="HTML2">
    <w:name w:val="HTML 预设格式 字符"/>
    <w:link w:val="HTML1"/>
    <w:rPr>
      <w:rFonts w:ascii="Courier New" w:hAnsi="Courier New" w:cs="Courier New"/>
      <w:lang w:bidi="ar-AE"/>
    </w:rPr>
  </w:style>
  <w:style w:type="character" w:customStyle="1" w:styleId="afff6">
    <w:name w:val="标题 字符"/>
    <w:link w:val="afff5"/>
    <w:rPr>
      <w:b/>
      <w:bCs/>
      <w:sz w:val="24"/>
      <w:szCs w:val="24"/>
      <w:lang w:bidi="ar-AE"/>
    </w:rPr>
  </w:style>
  <w:style w:type="character" w:customStyle="1" w:styleId="afff8">
    <w:name w:val="批注主题 字符"/>
    <w:link w:val="afff7"/>
    <w:rPr>
      <w:b/>
      <w:bCs/>
      <w:lang w:bidi="ar-AE"/>
    </w:rPr>
  </w:style>
  <w:style w:type="character" w:customStyle="1" w:styleId="afffa">
    <w:name w:val="正文文本首行缩进 字符"/>
    <w:link w:val="afff9"/>
    <w:rPr>
      <w:sz w:val="24"/>
      <w:szCs w:val="24"/>
      <w:lang w:eastAsia="en-GB" w:bidi="ar-AE"/>
    </w:rPr>
  </w:style>
  <w:style w:type="character" w:customStyle="1" w:styleId="29">
    <w:name w:val="正文文本首行缩进 2 字符"/>
    <w:link w:val="28"/>
    <w:rPr>
      <w:sz w:val="24"/>
      <w:szCs w:val="24"/>
      <w:lang w:eastAsia="en-GB" w:bidi="ar-AE"/>
    </w:rPr>
  </w:style>
  <w:style w:type="paragraph" w:customStyle="1" w:styleId="BodyText1">
    <w:name w:val="Body Text 1"/>
    <w:basedOn w:val="a"/>
    <w:pPr>
      <w:ind w:left="720"/>
    </w:pPr>
    <w:rPr>
      <w:lang w:eastAsia="en-GB"/>
    </w:rPr>
  </w:style>
  <w:style w:type="paragraph" w:customStyle="1" w:styleId="BodyText4">
    <w:name w:val="Body Text 4"/>
    <w:basedOn w:val="a"/>
    <w:pPr>
      <w:ind w:left="2880"/>
    </w:pPr>
    <w:rPr>
      <w:lang w:eastAsia="en-GB"/>
    </w:rPr>
  </w:style>
  <w:style w:type="paragraph" w:customStyle="1" w:styleId="BodyText5">
    <w:name w:val="Body Text 5"/>
    <w:basedOn w:val="a"/>
    <w:pPr>
      <w:ind w:left="3600"/>
    </w:pPr>
    <w:rPr>
      <w:lang w:eastAsia="en-GB"/>
    </w:rPr>
  </w:style>
  <w:style w:type="paragraph" w:customStyle="1" w:styleId="BodyText6">
    <w:name w:val="Body Text 6"/>
    <w:basedOn w:val="a"/>
    <w:pPr>
      <w:ind w:left="4320"/>
    </w:pPr>
    <w:rPr>
      <w:lang w:eastAsia="en-GB"/>
    </w:rPr>
  </w:style>
  <w:style w:type="paragraph" w:customStyle="1" w:styleId="BodyText7">
    <w:name w:val="Body Text 7"/>
    <w:basedOn w:val="a"/>
    <w:pPr>
      <w:ind w:left="5041"/>
    </w:pPr>
    <w:rPr>
      <w:lang w:eastAsia="en-GB"/>
    </w:rPr>
  </w:style>
  <w:style w:type="paragraph" w:customStyle="1" w:styleId="FooterRight">
    <w:name w:val="Footer Right"/>
    <w:basedOn w:val="aff4"/>
    <w:pPr>
      <w:jc w:val="right"/>
    </w:pPr>
  </w:style>
  <w:style w:type="paragraph" w:customStyle="1" w:styleId="Footnote">
    <w:name w:val="Footnote"/>
    <w:basedOn w:val="afff"/>
    <w:pPr>
      <w:tabs>
        <w:tab w:val="left" w:pos="340"/>
      </w:tabs>
    </w:pPr>
  </w:style>
  <w:style w:type="paragraph" w:styleId="affff8">
    <w:name w:val="List Paragraph"/>
    <w:basedOn w:val="a"/>
    <w:uiPriority w:val="34"/>
    <w:qFormat/>
    <w:pPr>
      <w:ind w:left="720"/>
      <w:contextualSpacing/>
    </w:pPr>
  </w:style>
  <w:style w:type="paragraph" w:styleId="affff9">
    <w:name w:val="No Spacing"/>
    <w:basedOn w:val="a"/>
    <w:qFormat/>
    <w:pPr>
      <w:spacing w:after="0"/>
    </w:pPr>
  </w:style>
  <w:style w:type="paragraph" w:customStyle="1" w:styleId="NormalBold">
    <w:name w:val="NormalBold"/>
    <w:basedOn w:val="a"/>
    <w:next w:val="a"/>
    <w:rPr>
      <w:b/>
      <w:bCs/>
    </w:rPr>
  </w:style>
  <w:style w:type="paragraph" w:customStyle="1" w:styleId="NormalBoldNS">
    <w:name w:val="NormalBoldNS"/>
    <w:basedOn w:val="a"/>
    <w:next w:val="a"/>
    <w:pPr>
      <w:spacing w:after="0"/>
      <w:jc w:val="left"/>
    </w:pPr>
    <w:rPr>
      <w:b/>
      <w:bCs/>
    </w:rPr>
  </w:style>
  <w:style w:type="paragraph" w:customStyle="1" w:styleId="NormalNS">
    <w:name w:val="NormalNS"/>
    <w:basedOn w:val="a"/>
    <w:pPr>
      <w:spacing w:after="0"/>
    </w:pPr>
  </w:style>
  <w:style w:type="paragraph" w:customStyle="1" w:styleId="NormalRight">
    <w:name w:val="NormalRight"/>
    <w:basedOn w:val="NormalNS"/>
    <w:pPr>
      <w:jc w:val="right"/>
    </w:pPr>
  </w:style>
  <w:style w:type="paragraph" w:customStyle="1" w:styleId="NoteContinuation">
    <w:name w:val="Note Continuation"/>
    <w:basedOn w:val="a"/>
    <w:pPr>
      <w:spacing w:after="120"/>
      <w:ind w:left="340"/>
    </w:pPr>
    <w:rPr>
      <w:sz w:val="20"/>
      <w:szCs w:val="20"/>
    </w:rPr>
  </w:style>
  <w:style w:type="paragraph" w:customStyle="1" w:styleId="TOC10">
    <w:name w:val="TOC 标题1"/>
    <w:basedOn w:val="a"/>
    <w:next w:val="a"/>
    <w:qFormat/>
    <w:pPr>
      <w:jc w:val="center"/>
    </w:pPr>
    <w:rPr>
      <w:b/>
      <w:bCs/>
      <w:caps/>
    </w:rPr>
  </w:style>
  <w:style w:type="paragraph" w:customStyle="1" w:styleId="BGHStandard">
    <w:name w:val="BGH Standard"/>
    <w:basedOn w:val="a"/>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affc"/>
    <w:pPr>
      <w:spacing w:after="0"/>
    </w:pPr>
  </w:style>
  <w:style w:type="paragraph" w:customStyle="1" w:styleId="OptionLabel">
    <w:name w:val="OptionLabel"/>
    <w:rPr>
      <w:b/>
      <w:bCs/>
      <w:sz w:val="24"/>
      <w:szCs w:val="24"/>
      <w:lang w:val="en-GB" w:bidi="ar-AE"/>
    </w:rPr>
  </w:style>
  <w:style w:type="paragraph" w:customStyle="1" w:styleId="NormalLeft0">
    <w:name w:val="NormalLeft"/>
    <w:basedOn w:val="a"/>
    <w:next w:val="a"/>
    <w:pPr>
      <w:jc w:val="left"/>
    </w:pPr>
  </w:style>
  <w:style w:type="paragraph" w:customStyle="1" w:styleId="1b">
    <w:name w:val="书目1"/>
    <w:basedOn w:val="a"/>
    <w:next w:val="a"/>
  </w:style>
  <w:style w:type="table" w:customStyle="1" w:styleId="ColorfulGrid1">
    <w:name w:val="Colorful Grid1"/>
    <w:basedOn w:val="a2"/>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1">
    <w:name w:val="Colorful List1"/>
    <w:basedOn w:val="a2"/>
    <w:rPr>
      <w:color w:val="000000"/>
    </w:rPr>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ColorfulShading1">
    <w:name w:val="Colorful Shading1"/>
    <w:basedOn w:val="a2"/>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1">
    <w:name w:val="Dark List1"/>
    <w:basedOn w:val="a2"/>
    <w:rPr>
      <w:color w:val="FFFFFF"/>
    </w:rPr>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shd w:val="clear" w:color="auto" w:fill="000000"/>
      </w:tcPr>
    </w:tblStylePr>
    <w:tblStylePr w:type="band1Horz">
      <w:tblPr/>
      <w:tcPr>
        <w:shd w:val="clear" w:color="auto" w:fill="000000"/>
      </w:tcPr>
    </w:tblStylePr>
  </w:style>
  <w:style w:type="paragraph" w:styleId="affffa">
    <w:name w:val="Intense Quote"/>
    <w:basedOn w:val="a"/>
    <w:next w:val="a"/>
    <w:link w:val="affffb"/>
    <w:qFormat/>
    <w:pPr>
      <w:pBdr>
        <w:bottom w:val="single" w:sz="4" w:space="4" w:color="4F81BD"/>
      </w:pBdr>
      <w:spacing w:before="200" w:after="280"/>
      <w:ind w:left="936" w:right="936"/>
    </w:pPr>
    <w:rPr>
      <w:rFonts w:cs="Simplified Arabic"/>
      <w:b/>
      <w:bCs/>
      <w:i/>
      <w:iCs/>
      <w:color w:val="4F81BD"/>
    </w:rPr>
  </w:style>
  <w:style w:type="character" w:customStyle="1" w:styleId="affffb">
    <w:name w:val="明显引用 字符"/>
    <w:link w:val="affffa"/>
    <w:rPr>
      <w:b/>
      <w:bCs/>
      <w:i/>
      <w:iCs/>
      <w:color w:val="4F81BD"/>
      <w:sz w:val="24"/>
      <w:szCs w:val="24"/>
      <w:lang w:bidi="ar-AE"/>
    </w:rPr>
  </w:style>
  <w:style w:type="table" w:customStyle="1" w:styleId="LightGrid1">
    <w:name w:val="Light Grid1"/>
    <w:basedOn w:val="a2"/>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a2"/>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LightList1">
    <w:name w:val="Light List1"/>
    <w:basedOn w:val="a2"/>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a2"/>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Shading1">
    <w:name w:val="Light Shading1"/>
    <w:basedOn w:val="a2"/>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a2"/>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Grid11">
    <w:name w:val="Medium Grid 11"/>
    <w:basedOn w:val="a2"/>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a2"/>
    <w:rPr>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MediumList11">
    <w:name w:val="Medium List 11"/>
    <w:basedOn w:val="a2"/>
    <w:rPr>
      <w:color w:val="000000"/>
    </w:rPr>
    <w:tblPr>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a2"/>
    <w:rPr>
      <w:color w:val="000000"/>
    </w:rPr>
    <w:tblPr>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a2"/>
    <w:rPr>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MediumShading11">
    <w:name w:val="Medium Shading 11"/>
    <w:basedOn w:val="a2"/>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a2"/>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Shading21">
    <w:name w:val="Medium Shading 21"/>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paragraph" w:styleId="affffc">
    <w:name w:val="Quote"/>
    <w:basedOn w:val="a"/>
    <w:next w:val="a"/>
    <w:link w:val="affffd"/>
    <w:qFormat/>
    <w:rPr>
      <w:rFonts w:cs="Simplified Arabic"/>
      <w:i/>
      <w:iCs/>
      <w:color w:val="000000"/>
    </w:rPr>
  </w:style>
  <w:style w:type="character" w:customStyle="1" w:styleId="affffd">
    <w:name w:val="引用 字符"/>
    <w:link w:val="affffc"/>
    <w:rPr>
      <w:i/>
      <w:iCs/>
      <w:color w:val="000000"/>
      <w:sz w:val="24"/>
      <w:szCs w:val="24"/>
      <w:lang w:bidi="ar-AE"/>
    </w:rPr>
  </w:style>
  <w:style w:type="paragraph" w:customStyle="1" w:styleId="StandardL9">
    <w:name w:val="Standard L9"/>
    <w:basedOn w:val="a"/>
    <w:next w:val="32"/>
    <w:link w:val="StandardL9Char"/>
    <w:pPr>
      <w:numPr>
        <w:ilvl w:val="8"/>
        <w:numId w:val="1"/>
      </w:numPr>
      <w:outlineLvl w:val="8"/>
    </w:pPr>
    <w:rPr>
      <w:rFonts w:cs="Simplified Arabic"/>
    </w:rPr>
  </w:style>
  <w:style w:type="character" w:customStyle="1" w:styleId="StandardL9Char">
    <w:name w:val="Standard L9 Char"/>
    <w:link w:val="StandardL9"/>
    <w:rPr>
      <w:sz w:val="24"/>
      <w:szCs w:val="24"/>
      <w:lang w:bidi="ar-AE"/>
    </w:rPr>
  </w:style>
  <w:style w:type="paragraph" w:customStyle="1" w:styleId="StandardL8">
    <w:name w:val="Standard L8"/>
    <w:basedOn w:val="a"/>
    <w:next w:val="24"/>
    <w:link w:val="StandardL8Char"/>
    <w:pPr>
      <w:numPr>
        <w:ilvl w:val="7"/>
        <w:numId w:val="1"/>
      </w:numPr>
      <w:outlineLvl w:val="7"/>
    </w:pPr>
    <w:rPr>
      <w:rFonts w:cs="Simplified Arabic"/>
    </w:rPr>
  </w:style>
  <w:style w:type="character" w:customStyle="1" w:styleId="StandardL8Char">
    <w:name w:val="Standard L8 Char"/>
    <w:link w:val="StandardL8"/>
    <w:rPr>
      <w:sz w:val="24"/>
      <w:szCs w:val="24"/>
      <w:lang w:bidi="ar-AE"/>
    </w:rPr>
  </w:style>
  <w:style w:type="paragraph" w:customStyle="1" w:styleId="StandardL7">
    <w:name w:val="Standard L7"/>
    <w:basedOn w:val="a"/>
    <w:next w:val="BodyText6"/>
    <w:link w:val="StandardL7Char"/>
    <w:pPr>
      <w:numPr>
        <w:ilvl w:val="6"/>
        <w:numId w:val="1"/>
      </w:numPr>
      <w:outlineLvl w:val="6"/>
    </w:pPr>
    <w:rPr>
      <w:rFonts w:cs="Simplified Arabic"/>
    </w:rPr>
  </w:style>
  <w:style w:type="character" w:customStyle="1" w:styleId="StandardL7Char">
    <w:name w:val="Standard L7 Char"/>
    <w:link w:val="StandardL7"/>
    <w:rPr>
      <w:sz w:val="24"/>
      <w:szCs w:val="24"/>
      <w:lang w:bidi="ar-AE"/>
    </w:rPr>
  </w:style>
  <w:style w:type="paragraph" w:customStyle="1" w:styleId="StandardL6">
    <w:name w:val="Standard L6"/>
    <w:basedOn w:val="a"/>
    <w:next w:val="BodyText5"/>
    <w:link w:val="StandardL6Char"/>
    <w:pPr>
      <w:numPr>
        <w:ilvl w:val="5"/>
        <w:numId w:val="1"/>
      </w:numPr>
      <w:outlineLvl w:val="5"/>
    </w:pPr>
    <w:rPr>
      <w:rFonts w:cs="Simplified Arabic"/>
    </w:rPr>
  </w:style>
  <w:style w:type="character" w:customStyle="1" w:styleId="StandardL6Char">
    <w:name w:val="Standard L6 Char"/>
    <w:link w:val="StandardL6"/>
    <w:rPr>
      <w:sz w:val="24"/>
      <w:szCs w:val="24"/>
      <w:lang w:bidi="ar-AE"/>
    </w:rPr>
  </w:style>
  <w:style w:type="paragraph" w:customStyle="1" w:styleId="StandardL5">
    <w:name w:val="Standard L5"/>
    <w:basedOn w:val="a"/>
    <w:next w:val="BodyText4"/>
    <w:link w:val="StandardL5Char"/>
    <w:pPr>
      <w:numPr>
        <w:ilvl w:val="4"/>
        <w:numId w:val="1"/>
      </w:numPr>
      <w:outlineLvl w:val="4"/>
    </w:pPr>
    <w:rPr>
      <w:rFonts w:cs="Simplified Arabic"/>
    </w:rPr>
  </w:style>
  <w:style w:type="character" w:customStyle="1" w:styleId="StandardL5Char">
    <w:name w:val="Standard L5 Char"/>
    <w:link w:val="StandardL5"/>
    <w:rPr>
      <w:sz w:val="24"/>
      <w:szCs w:val="24"/>
      <w:lang w:bidi="ar-AE"/>
    </w:rPr>
  </w:style>
  <w:style w:type="paragraph" w:customStyle="1" w:styleId="BulletL9">
    <w:name w:val="Bullet L9"/>
    <w:basedOn w:val="a"/>
    <w:link w:val="BulletL9Char"/>
    <w:pPr>
      <w:numPr>
        <w:ilvl w:val="8"/>
        <w:numId w:val="2"/>
      </w:numPr>
      <w:outlineLvl w:val="8"/>
    </w:pPr>
    <w:rPr>
      <w:rFonts w:cs="Simplified Arabic"/>
    </w:rPr>
  </w:style>
  <w:style w:type="character" w:customStyle="1" w:styleId="BulletL9Char">
    <w:name w:val="Bullet L9 Char"/>
    <w:link w:val="BulletL9"/>
    <w:rPr>
      <w:sz w:val="24"/>
      <w:szCs w:val="24"/>
      <w:lang w:bidi="ar-AE"/>
    </w:rPr>
  </w:style>
  <w:style w:type="paragraph" w:customStyle="1" w:styleId="BulletL8">
    <w:name w:val="Bullet L8"/>
    <w:basedOn w:val="a"/>
    <w:link w:val="BulletL8Char"/>
    <w:pPr>
      <w:numPr>
        <w:ilvl w:val="7"/>
        <w:numId w:val="2"/>
      </w:numPr>
      <w:outlineLvl w:val="7"/>
    </w:pPr>
    <w:rPr>
      <w:rFonts w:cs="Simplified Arabic"/>
    </w:rPr>
  </w:style>
  <w:style w:type="character" w:customStyle="1" w:styleId="BulletL8Char">
    <w:name w:val="Bullet L8 Char"/>
    <w:link w:val="BulletL8"/>
    <w:rPr>
      <w:sz w:val="24"/>
      <w:szCs w:val="24"/>
      <w:lang w:bidi="ar-AE"/>
    </w:rPr>
  </w:style>
  <w:style w:type="paragraph" w:customStyle="1" w:styleId="BulletL7">
    <w:name w:val="Bullet L7"/>
    <w:basedOn w:val="a"/>
    <w:link w:val="BulletL7Char"/>
    <w:pPr>
      <w:numPr>
        <w:ilvl w:val="6"/>
        <w:numId w:val="2"/>
      </w:numPr>
      <w:outlineLvl w:val="6"/>
    </w:pPr>
    <w:rPr>
      <w:rFonts w:cs="Simplified Arabic"/>
    </w:rPr>
  </w:style>
  <w:style w:type="character" w:customStyle="1" w:styleId="BulletL7Char">
    <w:name w:val="Bullet L7 Char"/>
    <w:link w:val="BulletL7"/>
    <w:rPr>
      <w:sz w:val="24"/>
      <w:szCs w:val="24"/>
      <w:lang w:bidi="ar-AE"/>
    </w:rPr>
  </w:style>
  <w:style w:type="paragraph" w:customStyle="1" w:styleId="BulletL6">
    <w:name w:val="Bullet L6"/>
    <w:basedOn w:val="a"/>
    <w:link w:val="BulletL6Char"/>
    <w:pPr>
      <w:numPr>
        <w:ilvl w:val="5"/>
        <w:numId w:val="2"/>
      </w:numPr>
      <w:outlineLvl w:val="5"/>
    </w:pPr>
    <w:rPr>
      <w:rFonts w:cs="Simplified Arabic"/>
    </w:rPr>
  </w:style>
  <w:style w:type="character" w:customStyle="1" w:styleId="BulletL6Char">
    <w:name w:val="Bullet L6 Char"/>
    <w:link w:val="BulletL6"/>
    <w:rPr>
      <w:sz w:val="24"/>
      <w:szCs w:val="24"/>
      <w:lang w:bidi="ar-AE"/>
    </w:rPr>
  </w:style>
  <w:style w:type="paragraph" w:customStyle="1" w:styleId="BulletL5">
    <w:name w:val="Bullet L5"/>
    <w:basedOn w:val="a"/>
    <w:link w:val="BulletL5Char"/>
    <w:pPr>
      <w:numPr>
        <w:ilvl w:val="4"/>
        <w:numId w:val="2"/>
      </w:numPr>
      <w:outlineLvl w:val="4"/>
    </w:pPr>
    <w:rPr>
      <w:rFonts w:cs="Simplified Arabic"/>
    </w:rPr>
  </w:style>
  <w:style w:type="character" w:customStyle="1" w:styleId="BulletL5Char">
    <w:name w:val="Bullet L5 Char"/>
    <w:link w:val="BulletL5"/>
    <w:rPr>
      <w:sz w:val="24"/>
      <w:szCs w:val="24"/>
      <w:lang w:bidi="ar-AE"/>
    </w:rPr>
  </w:style>
  <w:style w:type="paragraph" w:customStyle="1" w:styleId="BulletL4">
    <w:name w:val="Bullet L4"/>
    <w:basedOn w:val="a"/>
    <w:link w:val="BulletL4Char"/>
    <w:pPr>
      <w:numPr>
        <w:ilvl w:val="3"/>
        <w:numId w:val="2"/>
      </w:numPr>
      <w:outlineLvl w:val="3"/>
    </w:pPr>
    <w:rPr>
      <w:rFonts w:cs="Simplified Arabic"/>
    </w:rPr>
  </w:style>
  <w:style w:type="character" w:customStyle="1" w:styleId="BulletL4Char">
    <w:name w:val="Bullet L4 Char"/>
    <w:link w:val="BulletL4"/>
    <w:rPr>
      <w:sz w:val="24"/>
      <w:szCs w:val="24"/>
      <w:lang w:bidi="ar-AE"/>
    </w:rPr>
  </w:style>
  <w:style w:type="paragraph" w:customStyle="1" w:styleId="BulletL3">
    <w:name w:val="Bullet L3"/>
    <w:basedOn w:val="a"/>
    <w:link w:val="BulletL3Char"/>
    <w:pPr>
      <w:numPr>
        <w:ilvl w:val="2"/>
        <w:numId w:val="2"/>
      </w:numPr>
      <w:outlineLvl w:val="2"/>
    </w:pPr>
    <w:rPr>
      <w:rFonts w:cs="Simplified Arabic"/>
    </w:rPr>
  </w:style>
  <w:style w:type="character" w:customStyle="1" w:styleId="BulletL3Char">
    <w:name w:val="Bullet L3 Char"/>
    <w:link w:val="BulletL3"/>
    <w:rPr>
      <w:sz w:val="24"/>
      <w:szCs w:val="24"/>
      <w:lang w:bidi="ar-AE"/>
    </w:rPr>
  </w:style>
  <w:style w:type="paragraph" w:customStyle="1" w:styleId="BulletL2">
    <w:name w:val="Bullet L2"/>
    <w:basedOn w:val="a"/>
    <w:link w:val="BulletL2Char"/>
    <w:pPr>
      <w:numPr>
        <w:ilvl w:val="1"/>
        <w:numId w:val="2"/>
      </w:numPr>
      <w:outlineLvl w:val="1"/>
    </w:pPr>
    <w:rPr>
      <w:rFonts w:cs="Simplified Arabic"/>
    </w:rPr>
  </w:style>
  <w:style w:type="character" w:customStyle="1" w:styleId="BulletL2Char">
    <w:name w:val="Bullet L2 Char"/>
    <w:link w:val="BulletL2"/>
    <w:rPr>
      <w:sz w:val="24"/>
      <w:szCs w:val="24"/>
      <w:lang w:bidi="ar-AE"/>
    </w:rPr>
  </w:style>
  <w:style w:type="paragraph" w:customStyle="1" w:styleId="BulletL1">
    <w:name w:val="Bullet L1"/>
    <w:basedOn w:val="a"/>
    <w:link w:val="BulletL1Char"/>
    <w:pPr>
      <w:numPr>
        <w:numId w:val="2"/>
      </w:numPr>
      <w:outlineLvl w:val="0"/>
    </w:pPr>
    <w:rPr>
      <w:rFonts w:cs="Simplified Arabic"/>
    </w:rPr>
  </w:style>
  <w:style w:type="character" w:customStyle="1" w:styleId="BulletL1Char">
    <w:name w:val="Bullet L1 Char"/>
    <w:link w:val="BulletL1"/>
    <w:rPr>
      <w:sz w:val="24"/>
      <w:szCs w:val="24"/>
      <w:lang w:bidi="ar-AE"/>
    </w:rPr>
  </w:style>
  <w:style w:type="paragraph" w:customStyle="1" w:styleId="StandardL4">
    <w:name w:val="Standard L4"/>
    <w:basedOn w:val="a"/>
    <w:next w:val="32"/>
    <w:link w:val="StandardL4Char"/>
    <w:pPr>
      <w:numPr>
        <w:ilvl w:val="3"/>
        <w:numId w:val="1"/>
      </w:numPr>
      <w:outlineLvl w:val="3"/>
    </w:pPr>
    <w:rPr>
      <w:rFonts w:cs="Simplified Arabic"/>
    </w:rPr>
  </w:style>
  <w:style w:type="character" w:customStyle="1" w:styleId="StandardL4Char">
    <w:name w:val="Standard L4 Char"/>
    <w:link w:val="StandardL4"/>
    <w:rPr>
      <w:sz w:val="24"/>
      <w:szCs w:val="24"/>
      <w:lang w:bidi="ar-AE"/>
    </w:rPr>
  </w:style>
  <w:style w:type="paragraph" w:customStyle="1" w:styleId="StandardL3">
    <w:name w:val="Standard L3"/>
    <w:basedOn w:val="a"/>
    <w:next w:val="24"/>
    <w:link w:val="StandardL3Char"/>
    <w:pPr>
      <w:numPr>
        <w:ilvl w:val="2"/>
        <w:numId w:val="1"/>
      </w:numPr>
      <w:outlineLvl w:val="2"/>
    </w:pPr>
    <w:rPr>
      <w:rFonts w:cs="Simplified Arabic"/>
    </w:rPr>
  </w:style>
  <w:style w:type="character" w:customStyle="1" w:styleId="StandardL3Char">
    <w:name w:val="Standard L3 Char"/>
    <w:link w:val="StandardL3"/>
    <w:rPr>
      <w:sz w:val="24"/>
      <w:szCs w:val="24"/>
      <w:lang w:bidi="ar-AE"/>
    </w:rPr>
  </w:style>
  <w:style w:type="paragraph" w:customStyle="1" w:styleId="StandardL2">
    <w:name w:val="Standard L2"/>
    <w:basedOn w:val="a"/>
    <w:next w:val="BodyText1"/>
    <w:link w:val="StandardL2Char"/>
    <w:pPr>
      <w:numPr>
        <w:ilvl w:val="1"/>
        <w:numId w:val="1"/>
      </w:numPr>
      <w:outlineLvl w:val="1"/>
    </w:pPr>
    <w:rPr>
      <w:rFonts w:cs="Simplified Arabic"/>
    </w:rPr>
  </w:style>
  <w:style w:type="character" w:customStyle="1" w:styleId="StandardL2Char">
    <w:name w:val="Standard L2 Char"/>
    <w:link w:val="StandardL2"/>
    <w:rPr>
      <w:sz w:val="24"/>
      <w:szCs w:val="24"/>
      <w:lang w:bidi="ar-AE"/>
    </w:rPr>
  </w:style>
  <w:style w:type="paragraph" w:customStyle="1" w:styleId="StandardL1">
    <w:name w:val="Standard L1"/>
    <w:basedOn w:val="a"/>
    <w:next w:val="BodyText1"/>
    <w:link w:val="StandardL1Char"/>
    <w:pPr>
      <w:keepNext/>
      <w:numPr>
        <w:numId w:val="1"/>
      </w:numPr>
      <w:suppressAutoHyphens/>
      <w:jc w:val="left"/>
      <w:outlineLvl w:val="0"/>
    </w:pPr>
    <w:rPr>
      <w:rFonts w:cs="Simplified Arabic"/>
      <w:b/>
      <w:caps/>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sz w:val="22"/>
      <w:szCs w:val="22"/>
      <w:lang w:val="en-GB" w:eastAsia="en-US"/>
    </w:rPr>
  </w:style>
  <w:style w:type="paragraph" w:customStyle="1" w:styleId="NormalLeft">
    <w:name w:val="Normal + Left"/>
    <w:basedOn w:val="Bullet1"/>
    <w:pPr>
      <w:numPr>
        <w:numId w:val="3"/>
      </w:numPr>
      <w:spacing w:before="0"/>
    </w:pPr>
    <w:rPr>
      <w:rFonts w:eastAsia="仿宋_GB2312"/>
      <w:bCs/>
      <w:sz w:val="21"/>
      <w:szCs w:val="21"/>
    </w:rPr>
  </w:style>
  <w:style w:type="paragraph" w:customStyle="1" w:styleId="1c">
    <w:name w:val="修订1"/>
    <w:hidden/>
    <w:uiPriority w:val="99"/>
    <w:unhideWhenUsed/>
    <w:rPr>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Template>
  <TotalTime>17</TotalTime>
  <Pages>3</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Dacheng</dc:creator>
  <cp:lastModifiedBy>侯律师 济南</cp:lastModifiedBy>
  <cp:revision>13</cp:revision>
  <cp:lastPrinted>2022-03-20T13:18:00Z</cp:lastPrinted>
  <dcterms:created xsi:type="dcterms:W3CDTF">2024-11-28T04:57:00Z</dcterms:created>
  <dcterms:modified xsi:type="dcterms:W3CDTF">2024-12-02T03:27:00Z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FA05E063C43F4CD19283D069A66479F6_12</vt:lpwstr>
  </property>
</Properties>
</file>