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7292E">
      <w:pPr>
        <w:spacing w:after="240" w:line="240" w:lineRule="auto"/>
        <w:jc w:val="center"/>
        <w:rPr>
          <w:rFonts w:hint="eastAsia" w:ascii="黑体" w:hAnsi="黑体" w:eastAsia="黑体" w:cs="黑体"/>
          <w:bCs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sz w:val="36"/>
          <w:szCs w:val="36"/>
          <w:lang w:val="en-GB" w:bidi="ar-AE"/>
        </w:rPr>
        <w:t>经营者集中简易案件公示表</w:t>
      </w:r>
    </w:p>
    <w:tbl>
      <w:tblPr>
        <w:tblStyle w:val="7"/>
        <w:tblW w:w="9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122"/>
      </w:tblGrid>
      <w:tr w14:paraId="0275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3983B66F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eastAsia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29" w:type="dxa"/>
            <w:gridSpan w:val="2"/>
            <w:vAlign w:val="center"/>
          </w:tcPr>
          <w:p w14:paraId="0CFA8962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富奥汽车零部件股份有限公司与一汽股权投资（天津）有限公司新设合营企业案</w:t>
            </w:r>
          </w:p>
        </w:tc>
      </w:tr>
      <w:tr w14:paraId="0A76B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6421F257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29" w:type="dxa"/>
            <w:gridSpan w:val="2"/>
            <w:vAlign w:val="center"/>
          </w:tcPr>
          <w:p w14:paraId="553AFD30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富奥汽车零部件股份有限公司（“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-AE"/>
              </w:rPr>
              <w:t>富奥公司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”）与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一汽股权投资（天津）有限公司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（“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-AE"/>
              </w:rPr>
              <w:t>一汽投资公司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”）签署合资协议，拟在长春市新设一家合营企业，合营企业将从事冗余转向系统的技术研发业务。</w:t>
            </w:r>
          </w:p>
          <w:p w14:paraId="055AE102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交易后，富奥公司、一汽投资公司分别持有合营企业66.6%、33.4%的股权，共同控制合营企业。</w:t>
            </w:r>
          </w:p>
        </w:tc>
      </w:tr>
      <w:tr w14:paraId="5BA1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7177325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100字以内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 w14:paraId="29A9102F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 xml:space="preserve"> 富奥公司</w:t>
            </w:r>
          </w:p>
        </w:tc>
        <w:tc>
          <w:tcPr>
            <w:tcW w:w="6122" w:type="dxa"/>
            <w:vAlign w:val="center"/>
          </w:tcPr>
          <w:p w14:paraId="5A833CE5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富奥公司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于1988年10月6日成立于广东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eastAsia="zh-CN" w:bidi="ar-AE"/>
              </w:rPr>
              <w:t>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深圳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eastAsia="zh-CN" w:bidi="ar-AE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，主要从事汽车零部件生产业务。</w:t>
            </w:r>
          </w:p>
          <w:p w14:paraId="59EC5C68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AE"/>
              </w:rPr>
              <w:t>富奥公司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的最终控制人为吉林省国有资本运营集团有限责任公司（“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GB" w:bidi="ar-AE"/>
              </w:rPr>
              <w:t>吉林国资公司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”）和中国第一汽车集团有限公司（“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GB" w:bidi="ar-AE"/>
              </w:rPr>
              <w:t>一汽集团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”），吉林国资公司的主要业务为国有资本投融资及资本运营等，一汽集团的主要业务为汽车整车生产销售。</w:t>
            </w:r>
          </w:p>
        </w:tc>
      </w:tr>
      <w:tr w14:paraId="2CA6F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07B5E7A6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 w14:paraId="688492A2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一汽投资公司</w:t>
            </w:r>
          </w:p>
        </w:tc>
        <w:tc>
          <w:tcPr>
            <w:tcW w:w="6122" w:type="dxa"/>
            <w:vAlign w:val="center"/>
          </w:tcPr>
          <w:p w14:paraId="0F13FBD9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一汽投资公司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于2018年3月28日成立于天津市，主要从事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股权投资业务。</w:t>
            </w:r>
          </w:p>
          <w:p w14:paraId="5D915CEE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一汽投资公司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的最终控制人为一汽集团，其主要业务为汽车整车生产销售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</w:t>
            </w:r>
          </w:p>
        </w:tc>
      </w:tr>
      <w:tr w14:paraId="2E28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D0138C4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29" w:type="dxa"/>
            <w:gridSpan w:val="2"/>
            <w:vAlign w:val="center"/>
          </w:tcPr>
          <w:p w14:paraId="52EB765E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 w14:paraId="1135A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F284C6F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29" w:type="dxa"/>
            <w:gridSpan w:val="2"/>
            <w:vAlign w:val="center"/>
          </w:tcPr>
          <w:p w14:paraId="780920A1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 w14:paraId="2DFF6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23A4592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29" w:type="dxa"/>
            <w:gridSpan w:val="2"/>
            <w:vAlign w:val="center"/>
          </w:tcPr>
          <w:p w14:paraId="208BCB35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3A75B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A820485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29" w:type="dxa"/>
            <w:gridSpan w:val="2"/>
            <w:vAlign w:val="center"/>
          </w:tcPr>
          <w:p w14:paraId="28F42D2C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7F454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0D69626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29" w:type="dxa"/>
            <w:gridSpan w:val="2"/>
            <w:vAlign w:val="center"/>
          </w:tcPr>
          <w:p w14:paraId="534AFFD4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6C501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1EF0C0C0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29" w:type="dxa"/>
            <w:gridSpan w:val="2"/>
            <w:vAlign w:val="center"/>
          </w:tcPr>
          <w:p w14:paraId="151F496A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50EE9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5847A5CC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29" w:type="dxa"/>
            <w:gridSpan w:val="2"/>
            <w:vAlign w:val="center"/>
          </w:tcPr>
          <w:p w14:paraId="4FB0559B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  <w:t>上游市场：</w:t>
            </w:r>
          </w:p>
          <w:p w14:paraId="3AD0F4A0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中国境内冗余转向系统市场：</w:t>
            </w:r>
          </w:p>
          <w:p w14:paraId="4A5D220B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合营企业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：5%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-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10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%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（预估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2028年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）</w:t>
            </w:r>
          </w:p>
          <w:p w14:paraId="1AD7E928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bookmarkStart w:id="0" w:name="_GoBack"/>
            <w:bookmarkEnd w:id="0"/>
          </w:p>
          <w:p w14:paraId="174502FB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  <w:t>下游市场：</w:t>
            </w:r>
          </w:p>
          <w:p w14:paraId="61A29C22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2023年中国境内中大型乘用车市场：</w:t>
            </w:r>
          </w:p>
          <w:p w14:paraId="7B038412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一汽投资公司：10%-15%</w:t>
            </w:r>
          </w:p>
        </w:tc>
      </w:tr>
    </w:tbl>
    <w:p w14:paraId="2E1BCBBB"/>
    <w:sectPr>
      <w:footerReference r:id="rId5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plified Arabic">
    <w:panose1 w:val="02020603050405020304"/>
    <w:charset w:val="B2"/>
    <w:family w:val="roman"/>
    <w:pitch w:val="default"/>
    <w:sig w:usb0="00002003" w:usb1="00000000" w:usb2="00000000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 w14:paraId="7D1CCE26"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080" w:type="dxa"/>
        </w:tcPr>
        <w:p w14:paraId="5B290E55">
          <w:pPr>
            <w:pStyle w:val="4"/>
          </w:pPr>
        </w:p>
      </w:tc>
      <w:tc>
        <w:tcPr>
          <w:tcW w:w="3081" w:type="dxa"/>
        </w:tcPr>
        <w:p w14:paraId="5117A96C">
          <w:pPr>
            <w:pStyle w:val="4"/>
            <w:jc w:val="center"/>
            <w:rPr>
              <w:rStyle w:val="10"/>
              <w:rFonts w:cs="Times New Roman"/>
            </w:rPr>
          </w:pPr>
          <w:r>
            <w:rPr>
              <w:rStyle w:val="10"/>
              <w:rFonts w:cs="Times New Roman"/>
            </w:rPr>
            <w:t xml:space="preserve">- </w:t>
          </w:r>
          <w:r>
            <w:rPr>
              <w:rStyle w:val="10"/>
              <w:rFonts w:cs="Times New Roman"/>
            </w:rPr>
            <w:fldChar w:fldCharType="begin"/>
          </w:r>
          <w:r>
            <w:rPr>
              <w:rStyle w:val="10"/>
              <w:rFonts w:cs="Times New Roman"/>
            </w:rPr>
            <w:instrText xml:space="preserve"> PAGE   \* MERGEFORMAT </w:instrText>
          </w:r>
          <w:r>
            <w:rPr>
              <w:rStyle w:val="10"/>
              <w:rFonts w:cs="Times New Roman"/>
            </w:rPr>
            <w:fldChar w:fldCharType="separate"/>
          </w:r>
          <w:r>
            <w:rPr>
              <w:rStyle w:val="10"/>
              <w:rFonts w:cs="Times New Roman"/>
              <w:lang w:val="en-US"/>
            </w:rPr>
            <w:t>1</w:t>
          </w:r>
          <w:r>
            <w:rPr>
              <w:rStyle w:val="10"/>
              <w:rFonts w:cs="Times New Roman"/>
            </w:rPr>
            <w:fldChar w:fldCharType="end"/>
          </w:r>
          <w:r>
            <w:rPr>
              <w:rStyle w:val="10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13CB6635">
          <w:pPr>
            <w:pStyle w:val="13"/>
          </w:pPr>
        </w:p>
      </w:tc>
    </w:tr>
  </w:tbl>
  <w:p w14:paraId="551D9245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jYmU0NzkyZmJkNTJjZjM2NjNlYjgwZjM2ZjNkMTMifQ=="/>
  </w:docVars>
  <w:rsids>
    <w:rsidRoot w:val="00260AA8"/>
    <w:rsid w:val="000436BC"/>
    <w:rsid w:val="00063366"/>
    <w:rsid w:val="000745AD"/>
    <w:rsid w:val="000874E6"/>
    <w:rsid w:val="00093404"/>
    <w:rsid w:val="000C001B"/>
    <w:rsid w:val="000D4057"/>
    <w:rsid w:val="00102A0A"/>
    <w:rsid w:val="001146B7"/>
    <w:rsid w:val="00135962"/>
    <w:rsid w:val="00170213"/>
    <w:rsid w:val="001A6E02"/>
    <w:rsid w:val="001D03CF"/>
    <w:rsid w:val="001D7131"/>
    <w:rsid w:val="001D7F68"/>
    <w:rsid w:val="001F113C"/>
    <w:rsid w:val="001F3F5D"/>
    <w:rsid w:val="001F7116"/>
    <w:rsid w:val="00206CD7"/>
    <w:rsid w:val="002104D2"/>
    <w:rsid w:val="00211B1F"/>
    <w:rsid w:val="00215E7A"/>
    <w:rsid w:val="00252438"/>
    <w:rsid w:val="00254822"/>
    <w:rsid w:val="00260AA8"/>
    <w:rsid w:val="002A63BD"/>
    <w:rsid w:val="00361C50"/>
    <w:rsid w:val="00365182"/>
    <w:rsid w:val="003679FF"/>
    <w:rsid w:val="00375015"/>
    <w:rsid w:val="003B43A1"/>
    <w:rsid w:val="00406C1E"/>
    <w:rsid w:val="00415E2C"/>
    <w:rsid w:val="0042600C"/>
    <w:rsid w:val="00440E01"/>
    <w:rsid w:val="00461027"/>
    <w:rsid w:val="00462609"/>
    <w:rsid w:val="00467ED5"/>
    <w:rsid w:val="00470B3B"/>
    <w:rsid w:val="00474C80"/>
    <w:rsid w:val="004A7BEC"/>
    <w:rsid w:val="004B6800"/>
    <w:rsid w:val="004B6EF2"/>
    <w:rsid w:val="004F0C46"/>
    <w:rsid w:val="0050718B"/>
    <w:rsid w:val="005278B2"/>
    <w:rsid w:val="0055007A"/>
    <w:rsid w:val="005510BE"/>
    <w:rsid w:val="00583F6E"/>
    <w:rsid w:val="00596B05"/>
    <w:rsid w:val="005A792C"/>
    <w:rsid w:val="005D6972"/>
    <w:rsid w:val="005E04F6"/>
    <w:rsid w:val="0060482B"/>
    <w:rsid w:val="006054BB"/>
    <w:rsid w:val="00607796"/>
    <w:rsid w:val="00610911"/>
    <w:rsid w:val="006142A5"/>
    <w:rsid w:val="00624F7B"/>
    <w:rsid w:val="00630A1F"/>
    <w:rsid w:val="006318AE"/>
    <w:rsid w:val="0065350F"/>
    <w:rsid w:val="006959D1"/>
    <w:rsid w:val="006E1C8F"/>
    <w:rsid w:val="006F6E4D"/>
    <w:rsid w:val="00701E3E"/>
    <w:rsid w:val="007038FB"/>
    <w:rsid w:val="00703BC0"/>
    <w:rsid w:val="00724A5F"/>
    <w:rsid w:val="00724EE6"/>
    <w:rsid w:val="00727F00"/>
    <w:rsid w:val="00734A41"/>
    <w:rsid w:val="00784A90"/>
    <w:rsid w:val="007909B8"/>
    <w:rsid w:val="00793308"/>
    <w:rsid w:val="00795B70"/>
    <w:rsid w:val="007A7CE5"/>
    <w:rsid w:val="007B68BF"/>
    <w:rsid w:val="007D5E61"/>
    <w:rsid w:val="007F0A48"/>
    <w:rsid w:val="007F57FE"/>
    <w:rsid w:val="008409C6"/>
    <w:rsid w:val="00856256"/>
    <w:rsid w:val="00857704"/>
    <w:rsid w:val="008746A4"/>
    <w:rsid w:val="008A1062"/>
    <w:rsid w:val="008A4EFF"/>
    <w:rsid w:val="008B5609"/>
    <w:rsid w:val="008C27CF"/>
    <w:rsid w:val="008E126F"/>
    <w:rsid w:val="008E40A4"/>
    <w:rsid w:val="0091018E"/>
    <w:rsid w:val="0091155A"/>
    <w:rsid w:val="00942E88"/>
    <w:rsid w:val="00980BCD"/>
    <w:rsid w:val="00991705"/>
    <w:rsid w:val="00993B55"/>
    <w:rsid w:val="009947DA"/>
    <w:rsid w:val="00A336EC"/>
    <w:rsid w:val="00A40F30"/>
    <w:rsid w:val="00A45232"/>
    <w:rsid w:val="00A45D0E"/>
    <w:rsid w:val="00A76365"/>
    <w:rsid w:val="00AD708A"/>
    <w:rsid w:val="00AE4FA1"/>
    <w:rsid w:val="00B35541"/>
    <w:rsid w:val="00B74332"/>
    <w:rsid w:val="00B82A53"/>
    <w:rsid w:val="00B978DF"/>
    <w:rsid w:val="00BB1882"/>
    <w:rsid w:val="00BC1FC6"/>
    <w:rsid w:val="00BC274B"/>
    <w:rsid w:val="00BC5FFD"/>
    <w:rsid w:val="00BF6EBD"/>
    <w:rsid w:val="00BF7F4B"/>
    <w:rsid w:val="00C03B64"/>
    <w:rsid w:val="00C0747C"/>
    <w:rsid w:val="00C1232D"/>
    <w:rsid w:val="00C40611"/>
    <w:rsid w:val="00C51888"/>
    <w:rsid w:val="00C54F39"/>
    <w:rsid w:val="00C6438C"/>
    <w:rsid w:val="00C71314"/>
    <w:rsid w:val="00C836FB"/>
    <w:rsid w:val="00C85635"/>
    <w:rsid w:val="00C91257"/>
    <w:rsid w:val="00CA19E9"/>
    <w:rsid w:val="00CB1333"/>
    <w:rsid w:val="00CF3BEA"/>
    <w:rsid w:val="00CF44A3"/>
    <w:rsid w:val="00D01504"/>
    <w:rsid w:val="00D06C87"/>
    <w:rsid w:val="00D11EB7"/>
    <w:rsid w:val="00D14733"/>
    <w:rsid w:val="00D450D1"/>
    <w:rsid w:val="00D57C26"/>
    <w:rsid w:val="00DA3D2E"/>
    <w:rsid w:val="00DD0F41"/>
    <w:rsid w:val="00DD2660"/>
    <w:rsid w:val="00DF7AB5"/>
    <w:rsid w:val="00E17C0C"/>
    <w:rsid w:val="00E46F71"/>
    <w:rsid w:val="00E65D96"/>
    <w:rsid w:val="00E67339"/>
    <w:rsid w:val="00E861A1"/>
    <w:rsid w:val="00E9070D"/>
    <w:rsid w:val="00E90D74"/>
    <w:rsid w:val="00EC2175"/>
    <w:rsid w:val="00EE0714"/>
    <w:rsid w:val="00F17C90"/>
    <w:rsid w:val="00F85EDF"/>
    <w:rsid w:val="00F925BE"/>
    <w:rsid w:val="00FA1A1A"/>
    <w:rsid w:val="00FB6334"/>
    <w:rsid w:val="00FC65D5"/>
    <w:rsid w:val="00FD3E36"/>
    <w:rsid w:val="00FD5CA0"/>
    <w:rsid w:val="00FE1B0E"/>
    <w:rsid w:val="00FF0C36"/>
    <w:rsid w:val="136FC59E"/>
    <w:rsid w:val="16F9D33C"/>
    <w:rsid w:val="1F6797F8"/>
    <w:rsid w:val="1FDCD8F2"/>
    <w:rsid w:val="24F77AD0"/>
    <w:rsid w:val="2DED0366"/>
    <w:rsid w:val="2DFF9399"/>
    <w:rsid w:val="33FEE29B"/>
    <w:rsid w:val="3C6A08A1"/>
    <w:rsid w:val="3E760DA2"/>
    <w:rsid w:val="4DFB6F6F"/>
    <w:rsid w:val="57E8EB5D"/>
    <w:rsid w:val="5A56B790"/>
    <w:rsid w:val="5AB5A959"/>
    <w:rsid w:val="5E062310"/>
    <w:rsid w:val="5E1C59A4"/>
    <w:rsid w:val="6D071A6C"/>
    <w:rsid w:val="6FDF87C6"/>
    <w:rsid w:val="73BF6BDB"/>
    <w:rsid w:val="73CF0256"/>
    <w:rsid w:val="77B7BDD1"/>
    <w:rsid w:val="78BBB395"/>
    <w:rsid w:val="7ADE3512"/>
    <w:rsid w:val="7B5729F4"/>
    <w:rsid w:val="7CBF486E"/>
    <w:rsid w:val="7EAFD474"/>
    <w:rsid w:val="7EFF8D19"/>
    <w:rsid w:val="7F7BC666"/>
    <w:rsid w:val="7FC3A66D"/>
    <w:rsid w:val="7FC592D6"/>
    <w:rsid w:val="83FEFFB4"/>
    <w:rsid w:val="8FAB8BF1"/>
    <w:rsid w:val="AA3F3145"/>
    <w:rsid w:val="BBFF89E7"/>
    <w:rsid w:val="BEBC342D"/>
    <w:rsid w:val="BFDAC19B"/>
    <w:rsid w:val="D1FDE433"/>
    <w:rsid w:val="D3FBB522"/>
    <w:rsid w:val="D9DB0420"/>
    <w:rsid w:val="DCFEC847"/>
    <w:rsid w:val="DFF30202"/>
    <w:rsid w:val="E7FE7A23"/>
    <w:rsid w:val="F39DF143"/>
    <w:rsid w:val="F7BE4ED6"/>
    <w:rsid w:val="F9BF1D70"/>
    <w:rsid w:val="F9F03496"/>
    <w:rsid w:val="FAF87562"/>
    <w:rsid w:val="FD5FB022"/>
    <w:rsid w:val="FD77CF77"/>
    <w:rsid w:val="FEDF2EE1"/>
    <w:rsid w:val="FEEEB40C"/>
    <w:rsid w:val="FEFE038E"/>
    <w:rsid w:val="FF3EA310"/>
    <w:rsid w:val="FF45C50B"/>
    <w:rsid w:val="FF7F81F3"/>
    <w:rsid w:val="FFDC9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</w:style>
  <w:style w:type="paragraph" w:styleId="3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脚 字符"/>
    <w:basedOn w:val="9"/>
    <w:link w:val="4"/>
    <w:qFormat/>
    <w:uiPriority w:val="99"/>
  </w:style>
  <w:style w:type="paragraph" w:customStyle="1" w:styleId="13">
    <w:name w:val="Footer Right"/>
    <w:basedOn w:val="4"/>
    <w:qFormat/>
    <w:uiPriority w:val="0"/>
    <w:pPr>
      <w:tabs>
        <w:tab w:val="clear" w:pos="4320"/>
        <w:tab w:val="clear" w:pos="8640"/>
      </w:tabs>
      <w:jc w:val="right"/>
    </w:pPr>
    <w:rPr>
      <w:rFonts w:ascii="Times New Roman" w:hAnsi="Times New Roman" w:eastAsia="宋体" w:cs="Times New Roman"/>
      <w:sz w:val="16"/>
      <w:szCs w:val="16"/>
      <w:lang w:val="en-GB" w:bidi="he-IL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6">
    <w:name w:val="fontstyle01"/>
    <w:basedOn w:val="9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17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文字 字符"/>
    <w:basedOn w:val="9"/>
    <w:link w:val="2"/>
    <w:semiHidden/>
    <w:qFormat/>
    <w:uiPriority w:val="99"/>
    <w:rPr>
      <w:sz w:val="22"/>
      <w:szCs w:val="22"/>
    </w:rPr>
  </w:style>
  <w:style w:type="character" w:customStyle="1" w:styleId="19">
    <w:name w:val="批注主题 字符"/>
    <w:basedOn w:val="18"/>
    <w:link w:val="6"/>
    <w:semiHidden/>
    <w:qFormat/>
    <w:uiPriority w:val="99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Hui">
      <a:majorFont>
        <a:latin typeface="Times New Roman"/>
        <a:ea typeface="SimSun"/>
        <a:cs typeface=""/>
      </a:majorFont>
      <a:minorFont>
        <a:latin typeface="Times New Roman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746</Words>
  <Characters>788</Characters>
  <Lines>5</Lines>
  <Paragraphs>1</Paragraphs>
  <TotalTime>0</TotalTime>
  <ScaleCrop>false</ScaleCrop>
  <LinksUpToDate>false</LinksUpToDate>
  <CharactersWithSpaces>797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2022-10-29T08:53:00Z</dcterms:created>
  <dc:creator>DaHui Lawyers</dc:creator>
  <cp:lastModifiedBy>WPS_1676538545</cp:lastModifiedBy>
  <dcterms:modified xsi:type="dcterms:W3CDTF">2024-10-09T09:51:20Z</dcterms:modified>
  <cp:revision>141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EF2F128D287649DE99ADAE37E9B49905</vt:lpwstr>
  </property>
</Properties>
</file>