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bCs/>
          <w:sz w:val="36"/>
          <w:szCs w:val="36"/>
        </w:rPr>
      </w:pPr>
      <w:r>
        <w:rPr>
          <w:rFonts w:ascii="Times New Roman" w:hAnsi="Times New Roman" w:eastAsia="黑体"/>
          <w:bCs/>
          <w:sz w:val="36"/>
          <w:szCs w:val="36"/>
        </w:rPr>
        <w:t>经营者集中简易案件公示表</w:t>
      </w:r>
    </w:p>
    <w:tbl>
      <w:tblPr>
        <w:tblStyle w:val="9"/>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843"/>
        <w:gridCol w:w="5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696" w:type="dxa"/>
            <w:shd w:val="clear" w:color="auto" w:fill="D9D9D9"/>
            <w:vAlign w:val="center"/>
          </w:tcPr>
          <w:p>
            <w:pPr>
              <w:spacing w:after="240" w:line="500" w:lineRule="exact"/>
              <w:jc w:val="left"/>
              <w:rPr>
                <w:rFonts w:ascii="Times New Roman" w:hAnsi="Times New Roman" w:eastAsiaTheme="minorEastAsia"/>
                <w:sz w:val="24"/>
                <w:szCs w:val="24"/>
              </w:rPr>
            </w:pPr>
            <w:r>
              <w:rPr>
                <w:rFonts w:ascii="Times New Roman" w:hAnsi="Times New Roman" w:eastAsiaTheme="minorEastAsia"/>
                <w:sz w:val="24"/>
                <w:szCs w:val="24"/>
              </w:rPr>
              <w:t>案件名称</w:t>
            </w:r>
          </w:p>
        </w:tc>
        <w:tc>
          <w:tcPr>
            <w:tcW w:w="7805" w:type="dxa"/>
            <w:gridSpan w:val="2"/>
            <w:vAlign w:val="center"/>
          </w:tcPr>
          <w:p>
            <w:pPr>
              <w:pStyle w:val="3"/>
              <w:ind w:left="0"/>
              <w:rPr>
                <w:rFonts w:ascii="Times New Roman" w:hAnsi="Times New Roman" w:cs="Times New Roman" w:eastAsiaTheme="minorEastAsia"/>
              </w:rPr>
            </w:pPr>
            <w:r>
              <w:rPr>
                <w:rFonts w:ascii="Times New Roman" w:hAnsi="Times New Roman" w:cs="Times New Roman" w:eastAsiaTheme="minorEastAsia"/>
              </w:rPr>
              <w:t>申能财产保险股份有限公司收购天安财产保险股份有限公司部分业务案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1696" w:type="dxa"/>
            <w:shd w:val="clear" w:color="auto" w:fill="D9D9D9"/>
            <w:vAlign w:val="center"/>
          </w:tcPr>
          <w:p>
            <w:pPr>
              <w:rPr>
                <w:rFonts w:ascii="Times New Roman" w:hAnsi="Times New Roman" w:eastAsiaTheme="minorEastAsia"/>
                <w:sz w:val="24"/>
                <w:szCs w:val="24"/>
              </w:rPr>
            </w:pPr>
            <w:r>
              <w:rPr>
                <w:rFonts w:ascii="Times New Roman" w:hAnsi="Times New Roman" w:eastAsiaTheme="minorEastAsia"/>
                <w:sz w:val="24"/>
                <w:szCs w:val="24"/>
              </w:rPr>
              <w:t>交易概况（限200字内）</w:t>
            </w:r>
          </w:p>
        </w:tc>
        <w:tc>
          <w:tcPr>
            <w:tcW w:w="7805" w:type="dxa"/>
            <w:gridSpan w:val="2"/>
            <w:vAlign w:val="center"/>
          </w:tcPr>
          <w:p>
            <w:pPr>
              <w:pStyle w:val="3"/>
              <w:ind w:left="0"/>
              <w:rPr>
                <w:rFonts w:ascii="Times New Roman" w:hAnsi="Times New Roman" w:cs="Times New Roman" w:eastAsiaTheme="minorEastAsia"/>
              </w:rPr>
            </w:pPr>
            <w:r>
              <w:rPr>
                <w:rFonts w:ascii="Times New Roman" w:hAnsi="Times New Roman" w:cs="Times New Roman" w:eastAsiaTheme="minorEastAsia"/>
              </w:rPr>
              <w:t>申能财产保险股份有限公司（“申能财险”）与天安财产保险股份有限公司（“天安财险”）</w:t>
            </w:r>
            <w:r>
              <w:rPr>
                <w:rFonts w:ascii="Times New Roman" w:hAnsi="Times New Roman" w:cs="Times New Roman"/>
                <w:lang w:val="en-GB" w:bidi="ar-AE"/>
              </w:rPr>
              <w:t>签署协议，受让天安财险的</w:t>
            </w:r>
            <w:r>
              <w:rPr>
                <w:rFonts w:ascii="Times New Roman" w:hAnsi="Times New Roman" w:cs="Times New Roman" w:eastAsiaTheme="minorEastAsia"/>
              </w:rPr>
              <w:t>保险业务资产包（“目标业务”），包括产险业务、分支机构、营销网络等。交易前，目标业务</w:t>
            </w:r>
            <w:r>
              <w:rPr>
                <w:rFonts w:hint="eastAsia" w:ascii="Times New Roman" w:hAnsi="Times New Roman" w:cs="Times New Roman" w:eastAsiaTheme="minorEastAsia"/>
              </w:rPr>
              <w:t>由</w:t>
            </w:r>
            <w:r>
              <w:rPr>
                <w:rFonts w:ascii="Times New Roman" w:hAnsi="Times New Roman" w:cs="Times New Roman" w:eastAsiaTheme="minorEastAsia"/>
              </w:rPr>
              <w:t>天安财险</w:t>
            </w:r>
            <w:r>
              <w:rPr>
                <w:rFonts w:hint="eastAsia" w:ascii="Times New Roman" w:hAnsi="Times New Roman" w:cs="Times New Roman" w:eastAsiaTheme="minorEastAsia"/>
              </w:rPr>
              <w:t>单独控制</w:t>
            </w:r>
            <w:r>
              <w:rPr>
                <w:rFonts w:ascii="Times New Roman" w:hAnsi="Times New Roman" w:cs="Times New Roman" w:eastAsiaTheme="minorEastAsia"/>
              </w:rPr>
              <w:t>。交易后，目标业务</w:t>
            </w:r>
            <w:r>
              <w:rPr>
                <w:rFonts w:hint="eastAsia" w:ascii="Times New Roman" w:hAnsi="Times New Roman" w:cs="Times New Roman" w:eastAsiaTheme="minorEastAsia"/>
              </w:rPr>
              <w:t>由</w:t>
            </w:r>
            <w:r>
              <w:rPr>
                <w:rFonts w:ascii="Times New Roman" w:hAnsi="Times New Roman" w:cs="Times New Roman" w:eastAsiaTheme="minorEastAsia"/>
              </w:rPr>
              <w:t>申能财险</w:t>
            </w:r>
            <w:r>
              <w:rPr>
                <w:rFonts w:hint="eastAsia" w:ascii="Times New Roman" w:hAnsi="Times New Roman" w:cs="Times New Roman" w:eastAsiaTheme="minorEastAsia"/>
              </w:rPr>
              <w:t>单独控制</w:t>
            </w:r>
            <w:r>
              <w:rPr>
                <w:rFonts w:ascii="Times New Roman" w:hAnsi="Times New Roman" w:cs="Times New Roman" w:eastAsiaTheme="minorEastAsia"/>
              </w:rPr>
              <w:t>，申能财险</w:t>
            </w:r>
            <w:r>
              <w:rPr>
                <w:rFonts w:hint="eastAsia" w:ascii="Times New Roman" w:hAnsi="Times New Roman" w:cs="Times New Roman" w:eastAsiaTheme="minorEastAsia"/>
              </w:rPr>
              <w:t>的</w:t>
            </w:r>
            <w:r>
              <w:rPr>
                <w:rFonts w:ascii="Times New Roman" w:hAnsi="Times New Roman" w:cs="Times New Roman" w:eastAsiaTheme="minorEastAsia"/>
              </w:rPr>
              <w:t>最终控制人为申能（集团）有限公司。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696" w:type="dxa"/>
            <w:vMerge w:val="restart"/>
            <w:shd w:val="clear" w:color="auto" w:fill="D9D9D9"/>
            <w:vAlign w:val="center"/>
          </w:tcPr>
          <w:p>
            <w:pPr>
              <w:rPr>
                <w:rFonts w:ascii="Times New Roman" w:hAnsi="Times New Roman" w:eastAsiaTheme="minorEastAsia"/>
                <w:sz w:val="24"/>
                <w:szCs w:val="24"/>
              </w:rPr>
            </w:pPr>
            <w:r>
              <w:rPr>
                <w:rFonts w:ascii="Times New Roman" w:hAnsi="Times New Roman" w:eastAsiaTheme="minorEastAsia"/>
                <w:color w:val="000000"/>
                <w:sz w:val="24"/>
                <w:szCs w:val="24"/>
              </w:rPr>
              <w:t>参与集中的经营者简介（每个限100字以内）</w:t>
            </w:r>
          </w:p>
        </w:tc>
        <w:tc>
          <w:tcPr>
            <w:tcW w:w="1843" w:type="dxa"/>
            <w:vAlign w:val="center"/>
          </w:tcPr>
          <w:p>
            <w:pPr>
              <w:pStyle w:val="3"/>
              <w:ind w:left="0"/>
              <w:rPr>
                <w:rFonts w:ascii="Times New Roman" w:hAnsi="Times New Roman" w:cs="Times New Roman" w:eastAsiaTheme="minorEastAsia"/>
              </w:rPr>
            </w:pPr>
            <w:r>
              <w:rPr>
                <w:rFonts w:ascii="Times New Roman" w:hAnsi="Times New Roman" w:cs="Times New Roman" w:eastAsiaTheme="minorEastAsia"/>
              </w:rPr>
              <w:t>1.申能财险</w:t>
            </w:r>
          </w:p>
        </w:tc>
        <w:tc>
          <w:tcPr>
            <w:tcW w:w="5962" w:type="dxa"/>
            <w:vAlign w:val="center"/>
          </w:tcPr>
          <w:p>
            <w:pPr>
              <w:pStyle w:val="3"/>
              <w:ind w:left="0"/>
              <w:rPr>
                <w:rFonts w:ascii="Times New Roman" w:hAnsi="Times New Roman" w:cs="Times New Roman" w:eastAsiaTheme="minorEastAsia"/>
                <w:lang w:val="en-GB" w:bidi="ar-AE"/>
              </w:rPr>
            </w:pPr>
            <w:r>
              <w:rPr>
                <w:rFonts w:ascii="Times New Roman" w:hAnsi="Times New Roman" w:cs="Times New Roman" w:eastAsiaTheme="minorEastAsia"/>
              </w:rPr>
              <w:t>申能财险</w:t>
            </w:r>
            <w:r>
              <w:rPr>
                <w:rFonts w:ascii="Times New Roman" w:hAnsi="Times New Roman" w:cs="Times New Roman" w:eastAsiaTheme="minorEastAsia"/>
                <w:lang w:val="en-GB" w:bidi="ar-AE"/>
              </w:rPr>
              <w:t>于2024年1月16日成立于中国上海市，主要业务为财产保险业务。</w:t>
            </w:r>
          </w:p>
          <w:p>
            <w:pPr>
              <w:pStyle w:val="3"/>
              <w:ind w:left="0"/>
              <w:rPr>
                <w:rFonts w:ascii="Times New Roman" w:hAnsi="Times New Roman" w:cs="Times New Roman" w:eastAsiaTheme="minorEastAsia"/>
                <w:lang w:val="en-GB" w:bidi="ar-AE"/>
              </w:rPr>
            </w:pPr>
            <w:r>
              <w:rPr>
                <w:rFonts w:ascii="Times New Roman" w:hAnsi="Times New Roman" w:cs="Times New Roman" w:eastAsiaTheme="minorEastAsia"/>
              </w:rPr>
              <w:t>申能财险</w:t>
            </w:r>
            <w:r>
              <w:rPr>
                <w:rFonts w:ascii="Times New Roman" w:hAnsi="Times New Roman" w:cs="Times New Roman"/>
              </w:rPr>
              <w:t>最终控制人为</w:t>
            </w:r>
            <w:r>
              <w:rPr>
                <w:rFonts w:ascii="Times New Roman" w:hAnsi="Times New Roman" w:cs="Times New Roman" w:eastAsiaTheme="minorEastAsia"/>
              </w:rPr>
              <w:t>申能（集团）有限公司，主要业务为</w:t>
            </w:r>
            <w:r>
              <w:rPr>
                <w:rFonts w:ascii="Times New Roman" w:hAnsi="Times New Roman" w:cs="Times New Roman" w:eastAsiaTheme="minorEastAsia"/>
                <w:lang w:val="en-GB" w:bidi="ar-AE"/>
              </w:rPr>
              <w:t>电力、燃气为主的能源产品生产与供应，能源及相关服务业，金融企业投资管理等。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8" w:hRule="atLeast"/>
          <w:jc w:val="center"/>
        </w:trPr>
        <w:tc>
          <w:tcPr>
            <w:tcW w:w="1696" w:type="dxa"/>
            <w:vMerge w:val="continue"/>
            <w:shd w:val="clear" w:color="auto" w:fill="D9D9D9"/>
            <w:vAlign w:val="center"/>
          </w:tcPr>
          <w:p>
            <w:pPr>
              <w:rPr>
                <w:rFonts w:ascii="Times New Roman" w:hAnsi="Times New Roman" w:eastAsiaTheme="minorEastAsia"/>
                <w:sz w:val="24"/>
                <w:szCs w:val="24"/>
              </w:rPr>
            </w:pPr>
          </w:p>
        </w:tc>
        <w:tc>
          <w:tcPr>
            <w:tcW w:w="1843" w:type="dxa"/>
            <w:vAlign w:val="center"/>
          </w:tcPr>
          <w:p>
            <w:pPr>
              <w:spacing w:line="500" w:lineRule="exact"/>
              <w:jc w:val="left"/>
              <w:rPr>
                <w:rFonts w:ascii="Times New Roman" w:hAnsi="Times New Roman" w:eastAsiaTheme="minorEastAsia"/>
                <w:kern w:val="0"/>
                <w:sz w:val="24"/>
                <w:szCs w:val="24"/>
                <w:lang w:val="zh-CN" w:bidi="zh-CN"/>
              </w:rPr>
            </w:pPr>
            <w:r>
              <w:rPr>
                <w:rFonts w:ascii="Times New Roman" w:hAnsi="Times New Roman" w:eastAsiaTheme="minorEastAsia"/>
                <w:kern w:val="0"/>
                <w:sz w:val="24"/>
                <w:szCs w:val="24"/>
                <w:lang w:val="zh-CN" w:bidi="zh-CN"/>
              </w:rPr>
              <w:t>2.目标业务</w:t>
            </w:r>
          </w:p>
        </w:tc>
        <w:tc>
          <w:tcPr>
            <w:tcW w:w="5962" w:type="dxa"/>
            <w:vAlign w:val="center"/>
          </w:tcPr>
          <w:p>
            <w:pPr>
              <w:pStyle w:val="3"/>
              <w:ind w:left="0"/>
              <w:rPr>
                <w:rFonts w:ascii="Times New Roman" w:hAnsi="Times New Roman" w:cs="Times New Roman" w:eastAsiaTheme="minorEastAsia"/>
                <w:lang w:val="en-GB" w:bidi="ar-AE"/>
              </w:rPr>
            </w:pPr>
            <w:r>
              <w:rPr>
                <w:rFonts w:ascii="Times New Roman" w:hAnsi="Times New Roman" w:cs="Times New Roman" w:eastAsiaTheme="minorEastAsia"/>
                <w:lang w:val="en-GB" w:bidi="ar-AE"/>
              </w:rPr>
              <w:t>目标业务主要为天安财险</w:t>
            </w:r>
            <w:r>
              <w:rPr>
                <w:rFonts w:hint="eastAsia" w:ascii="Times New Roman" w:hAnsi="Times New Roman" w:cs="Times New Roman" w:eastAsiaTheme="minorEastAsia"/>
                <w:lang w:val="en-GB" w:eastAsia="zh-CN" w:bidi="ar-AE"/>
              </w:rPr>
              <w:t>依法合规开展</w:t>
            </w:r>
            <w:r>
              <w:rPr>
                <w:rFonts w:ascii="Times New Roman" w:hAnsi="Times New Roman" w:cs="Times New Roman" w:eastAsiaTheme="minorEastAsia"/>
                <w:lang w:val="en-GB" w:bidi="ar-AE"/>
              </w:rPr>
              <w:t>的财产保险业务。</w:t>
            </w:r>
          </w:p>
          <w:p>
            <w:pPr>
              <w:pStyle w:val="3"/>
              <w:ind w:left="0"/>
              <w:rPr>
                <w:rFonts w:ascii="Times New Roman" w:hAnsi="Times New Roman" w:cs="Times New Roman"/>
              </w:rPr>
            </w:pPr>
            <w:r>
              <w:rPr>
                <w:rFonts w:ascii="Times New Roman" w:hAnsi="Times New Roman" w:cs="Times New Roman" w:eastAsiaTheme="minorEastAsia"/>
                <w:lang w:val="en-GB" w:bidi="ar-AE"/>
              </w:rPr>
              <w:t>交易前，目标业务为天安财险单独控制。天安财险于1995年1月27日成立于中国上海市，主要业务为财产保险业务。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696" w:type="dxa"/>
            <w:vMerge w:val="restart"/>
            <w:shd w:val="clear" w:color="auto" w:fill="D9D9D9"/>
            <w:vAlign w:val="center"/>
          </w:tcPr>
          <w:p>
            <w:pPr>
              <w:rPr>
                <w:rFonts w:ascii="Times New Roman" w:hAnsi="Times New Roman" w:eastAsiaTheme="minorEastAsia"/>
                <w:sz w:val="24"/>
                <w:szCs w:val="24"/>
              </w:rPr>
            </w:pPr>
            <w:r>
              <w:rPr>
                <w:rFonts w:ascii="Times New Roman" w:hAnsi="Times New Roman" w:eastAsiaTheme="minorEastAsia"/>
                <w:sz w:val="24"/>
                <w:szCs w:val="24"/>
              </w:rPr>
              <w:t>简易案件理由（可以单选，也可以多选）</w:t>
            </w:r>
          </w:p>
        </w:tc>
        <w:tc>
          <w:tcPr>
            <w:tcW w:w="7805" w:type="dxa"/>
            <w:gridSpan w:val="2"/>
            <w:vAlign w:val="center"/>
          </w:tcPr>
          <w:p>
            <w:pPr>
              <w:rPr>
                <w:rFonts w:ascii="Times New Roman" w:hAnsi="Times New Roman" w:eastAsiaTheme="minorEastAsia"/>
                <w:sz w:val="24"/>
                <w:szCs w:val="24"/>
              </w:rPr>
            </w:pPr>
            <w:r>
              <w:rPr>
                <w:rFonts w:ascii="Times New Roman" w:hAnsi="Times New Roman" w:eastAsiaTheme="minorEastAsia"/>
                <w:sz w:val="24"/>
                <w:szCs w:val="24"/>
              </w:rPr>
              <w:sym w:font="Wingdings" w:char="F0FE"/>
            </w:r>
            <w:r>
              <w:rPr>
                <w:rFonts w:ascii="Times New Roman" w:hAnsi="Times New Roman" w:eastAsiaTheme="minorEastAsia"/>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696" w:type="dxa"/>
            <w:vMerge w:val="continue"/>
            <w:shd w:val="clear" w:color="auto" w:fill="D9D9D9"/>
            <w:vAlign w:val="center"/>
          </w:tcPr>
          <w:p>
            <w:pPr>
              <w:rPr>
                <w:rFonts w:ascii="Times New Roman" w:hAnsi="Times New Roman" w:eastAsiaTheme="minorEastAsia"/>
                <w:sz w:val="24"/>
                <w:szCs w:val="24"/>
              </w:rPr>
            </w:pPr>
          </w:p>
        </w:tc>
        <w:tc>
          <w:tcPr>
            <w:tcW w:w="7805" w:type="dxa"/>
            <w:gridSpan w:val="2"/>
            <w:vAlign w:val="center"/>
          </w:tcPr>
          <w:p>
            <w:pPr>
              <w:rPr>
                <w:rFonts w:ascii="Times New Roman" w:hAnsi="Times New Roman" w:eastAsiaTheme="minorEastAsia"/>
                <w:sz w:val="24"/>
                <w:szCs w:val="24"/>
              </w:rPr>
            </w:pPr>
            <w:r>
              <w:rPr>
                <w:rFonts w:ascii="Times New Roman" w:hAnsi="Times New Roman" w:eastAsiaTheme="minorEastAsia"/>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696" w:type="dxa"/>
            <w:vMerge w:val="continue"/>
            <w:shd w:val="clear" w:color="auto" w:fill="D9D9D9"/>
            <w:vAlign w:val="center"/>
          </w:tcPr>
          <w:p>
            <w:pPr>
              <w:rPr>
                <w:rFonts w:ascii="Times New Roman" w:hAnsi="Times New Roman" w:eastAsiaTheme="minorEastAsia"/>
                <w:sz w:val="24"/>
                <w:szCs w:val="24"/>
              </w:rPr>
            </w:pPr>
          </w:p>
        </w:tc>
        <w:tc>
          <w:tcPr>
            <w:tcW w:w="7805" w:type="dxa"/>
            <w:gridSpan w:val="2"/>
            <w:vAlign w:val="center"/>
          </w:tcPr>
          <w:p>
            <w:pPr>
              <w:rPr>
                <w:rFonts w:ascii="Times New Roman" w:hAnsi="Times New Roman" w:eastAsiaTheme="minorEastAsia"/>
                <w:sz w:val="24"/>
                <w:szCs w:val="24"/>
              </w:rPr>
            </w:pPr>
            <w:r>
              <w:rPr>
                <w:rFonts w:ascii="Times New Roman" w:hAnsi="Times New Roman" w:eastAsiaTheme="minorEastAsia"/>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696" w:type="dxa"/>
            <w:vMerge w:val="continue"/>
            <w:shd w:val="clear" w:color="auto" w:fill="D9D9D9"/>
            <w:vAlign w:val="center"/>
          </w:tcPr>
          <w:p>
            <w:pPr>
              <w:rPr>
                <w:rFonts w:ascii="Times New Roman" w:hAnsi="Times New Roman" w:eastAsiaTheme="minorEastAsia"/>
                <w:sz w:val="24"/>
                <w:szCs w:val="24"/>
              </w:rPr>
            </w:pPr>
          </w:p>
        </w:tc>
        <w:tc>
          <w:tcPr>
            <w:tcW w:w="7805" w:type="dxa"/>
            <w:gridSpan w:val="2"/>
            <w:vAlign w:val="center"/>
          </w:tcPr>
          <w:p>
            <w:pPr>
              <w:rPr>
                <w:rFonts w:ascii="Times New Roman" w:hAnsi="Times New Roman" w:eastAsiaTheme="minorEastAsia"/>
                <w:sz w:val="24"/>
                <w:szCs w:val="24"/>
              </w:rPr>
            </w:pPr>
            <w:r>
              <w:rPr>
                <w:rFonts w:ascii="Times New Roman" w:hAnsi="Times New Roman" w:eastAsiaTheme="minorEastAsia"/>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696" w:type="dxa"/>
            <w:vMerge w:val="continue"/>
            <w:shd w:val="clear" w:color="auto" w:fill="D9D9D9"/>
            <w:vAlign w:val="center"/>
          </w:tcPr>
          <w:p>
            <w:pPr>
              <w:rPr>
                <w:rFonts w:ascii="Times New Roman" w:hAnsi="Times New Roman" w:eastAsiaTheme="minorEastAsia"/>
                <w:sz w:val="24"/>
                <w:szCs w:val="24"/>
              </w:rPr>
            </w:pPr>
          </w:p>
        </w:tc>
        <w:tc>
          <w:tcPr>
            <w:tcW w:w="7805" w:type="dxa"/>
            <w:gridSpan w:val="2"/>
            <w:vAlign w:val="center"/>
          </w:tcPr>
          <w:p>
            <w:pPr>
              <w:rPr>
                <w:rFonts w:ascii="Times New Roman" w:hAnsi="Times New Roman" w:eastAsiaTheme="minorEastAsia"/>
                <w:sz w:val="24"/>
                <w:szCs w:val="24"/>
              </w:rPr>
            </w:pPr>
            <w:r>
              <w:rPr>
                <w:rFonts w:ascii="Times New Roman" w:hAnsi="Times New Roman" w:eastAsiaTheme="minorEastAsia"/>
                <w:bCs/>
                <w:color w:val="000000"/>
                <w:kern w:val="0"/>
                <w:sz w:val="24"/>
                <w:szCs w:val="24"/>
                <w:lang w:val="en-GB" w:bidi="ar-AE"/>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696" w:type="dxa"/>
            <w:vMerge w:val="continue"/>
            <w:shd w:val="clear" w:color="auto" w:fill="D9D9D9"/>
            <w:vAlign w:val="center"/>
          </w:tcPr>
          <w:p>
            <w:pPr>
              <w:rPr>
                <w:rFonts w:ascii="Times New Roman" w:hAnsi="Times New Roman" w:eastAsiaTheme="minorEastAsia"/>
                <w:sz w:val="24"/>
                <w:szCs w:val="24"/>
              </w:rPr>
            </w:pPr>
          </w:p>
        </w:tc>
        <w:tc>
          <w:tcPr>
            <w:tcW w:w="7805" w:type="dxa"/>
            <w:gridSpan w:val="2"/>
            <w:vAlign w:val="center"/>
          </w:tcPr>
          <w:p>
            <w:pPr>
              <w:rPr>
                <w:rFonts w:ascii="Times New Roman" w:hAnsi="Times New Roman" w:eastAsiaTheme="minorEastAsia"/>
                <w:sz w:val="24"/>
                <w:szCs w:val="24"/>
              </w:rPr>
            </w:pPr>
            <w:r>
              <w:rPr>
                <w:rFonts w:ascii="Times New Roman" w:hAnsi="Times New Roman" w:eastAsiaTheme="minorEastAsia"/>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2" w:hRule="atLeast"/>
          <w:jc w:val="center"/>
        </w:trPr>
        <w:tc>
          <w:tcPr>
            <w:tcW w:w="1696" w:type="dxa"/>
            <w:shd w:val="clear" w:color="auto" w:fill="D9D9D9"/>
            <w:vAlign w:val="center"/>
          </w:tcPr>
          <w:p>
            <w:pPr>
              <w:rPr>
                <w:rFonts w:ascii="Times New Roman" w:hAnsi="Times New Roman" w:eastAsiaTheme="minorEastAsia"/>
                <w:sz w:val="24"/>
                <w:szCs w:val="24"/>
              </w:rPr>
            </w:pPr>
            <w:r>
              <w:rPr>
                <w:rFonts w:ascii="Times New Roman" w:hAnsi="Times New Roman" w:eastAsiaTheme="minorEastAsia"/>
                <w:sz w:val="24"/>
                <w:szCs w:val="24"/>
              </w:rPr>
              <w:t>备注</w:t>
            </w:r>
          </w:p>
        </w:tc>
        <w:tc>
          <w:tcPr>
            <w:tcW w:w="7805" w:type="dxa"/>
            <w:gridSpan w:val="2"/>
            <w:vAlign w:val="center"/>
          </w:tcPr>
          <w:p>
            <w:pPr>
              <w:pStyle w:val="3"/>
              <w:spacing w:line="360" w:lineRule="auto"/>
              <w:ind w:left="0"/>
              <w:jc w:val="both"/>
              <w:rPr>
                <w:rFonts w:ascii="Times New Roman" w:hAnsi="Times New Roman" w:cs="Times New Roman" w:eastAsiaTheme="minorEastAsia"/>
              </w:rPr>
            </w:pPr>
            <w:r>
              <w:rPr>
                <w:rFonts w:ascii="Times New Roman" w:hAnsi="Times New Roman" w:cs="Times New Roman" w:eastAsiaTheme="minorEastAsia"/>
                <w:b/>
                <w:bCs/>
              </w:rPr>
              <w:t>横向重叠</w:t>
            </w:r>
            <w:r>
              <w:rPr>
                <w:rFonts w:ascii="Times New Roman" w:hAnsi="Times New Roman" w:cs="Times New Roman" w:eastAsiaTheme="minorEastAsia"/>
              </w:rPr>
              <w:t>：</w:t>
            </w:r>
          </w:p>
          <w:p>
            <w:pPr>
              <w:pStyle w:val="3"/>
              <w:spacing w:line="360" w:lineRule="auto"/>
              <w:ind w:left="0"/>
              <w:jc w:val="both"/>
              <w:rPr>
                <w:rFonts w:ascii="Times New Roman" w:hAnsi="Times New Roman" w:cs="Times New Roman" w:eastAsiaTheme="minorEastAsia"/>
              </w:rPr>
            </w:pPr>
            <w:r>
              <w:rPr>
                <w:rFonts w:ascii="Times New Roman" w:hAnsi="Times New Roman" w:cs="Times New Roman" w:eastAsiaTheme="minorEastAsia"/>
                <w:color w:val="000000"/>
              </w:rPr>
              <w:t>2023年中国境内财产保险服务市场：</w:t>
            </w:r>
          </w:p>
          <w:p>
            <w:pPr>
              <w:pStyle w:val="3"/>
              <w:spacing w:line="360" w:lineRule="auto"/>
              <w:ind w:left="0"/>
              <w:jc w:val="both"/>
              <w:rPr>
                <w:rFonts w:ascii="Times New Roman" w:hAnsi="Times New Roman" w:cs="Times New Roman" w:eastAsiaTheme="minorEastAsia"/>
              </w:rPr>
            </w:pPr>
            <w:r>
              <w:rPr>
                <w:rFonts w:ascii="Times New Roman" w:hAnsi="Times New Roman" w:cs="Times New Roman" w:eastAsiaTheme="minorEastAsia"/>
              </w:rPr>
              <w:t>申能财险：0-5%，目标业务：0-5%，</w:t>
            </w:r>
            <w:r>
              <w:rPr>
                <w:rFonts w:ascii="Times New Roman" w:hAnsi="Times New Roman" w:cs="Times New Roman"/>
                <w:bCs/>
                <w:color w:val="000000"/>
                <w:lang w:val="en-US"/>
              </w:rPr>
              <w:t>各方合计</w:t>
            </w:r>
            <w:r>
              <w:rPr>
                <w:rFonts w:ascii="Times New Roman" w:hAnsi="Times New Roman" w:cs="Times New Roman" w:eastAsiaTheme="minorEastAsia"/>
              </w:rPr>
              <w:t>：0-5%。</w:t>
            </w:r>
          </w:p>
        </w:tc>
      </w:tr>
    </w:tbl>
    <w:p>
      <w:pPr>
        <w:snapToGrid w:val="0"/>
        <w:spacing w:line="240" w:lineRule="exact"/>
        <w:jc w:val="left"/>
        <w:rPr>
          <w:rFonts w:hint="eastAsia" w:asciiTheme="minorEastAsia" w:hAnsiTheme="minorEastAsia" w:eastAsiaTheme="minorEastAsia"/>
          <w:sz w:val="24"/>
          <w:szCs w:val="24"/>
        </w:rPr>
      </w:pPr>
      <w:bookmarkStart w:id="0" w:name="_GoBack"/>
      <w:bookmarkEnd w:id="0"/>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095"/>
    <w:rsid w:val="00003402"/>
    <w:rsid w:val="00003E78"/>
    <w:rsid w:val="00007055"/>
    <w:rsid w:val="00007927"/>
    <w:rsid w:val="00013ACA"/>
    <w:rsid w:val="00032859"/>
    <w:rsid w:val="00032C24"/>
    <w:rsid w:val="000369F8"/>
    <w:rsid w:val="00041914"/>
    <w:rsid w:val="0004463B"/>
    <w:rsid w:val="000479D4"/>
    <w:rsid w:val="00056B4A"/>
    <w:rsid w:val="00065BC6"/>
    <w:rsid w:val="00067301"/>
    <w:rsid w:val="00074E77"/>
    <w:rsid w:val="00083140"/>
    <w:rsid w:val="00092C27"/>
    <w:rsid w:val="00094095"/>
    <w:rsid w:val="00096726"/>
    <w:rsid w:val="000A3E11"/>
    <w:rsid w:val="000C0EA4"/>
    <w:rsid w:val="000C174E"/>
    <w:rsid w:val="000C311A"/>
    <w:rsid w:val="000C70B9"/>
    <w:rsid w:val="000D0851"/>
    <w:rsid w:val="000D345A"/>
    <w:rsid w:val="000D3782"/>
    <w:rsid w:val="000E158B"/>
    <w:rsid w:val="000F5C09"/>
    <w:rsid w:val="001013C1"/>
    <w:rsid w:val="001036F5"/>
    <w:rsid w:val="0010442E"/>
    <w:rsid w:val="00113C9E"/>
    <w:rsid w:val="00124D72"/>
    <w:rsid w:val="001303C3"/>
    <w:rsid w:val="00131D6A"/>
    <w:rsid w:val="00141637"/>
    <w:rsid w:val="001439C4"/>
    <w:rsid w:val="00143E1B"/>
    <w:rsid w:val="00145146"/>
    <w:rsid w:val="001467E0"/>
    <w:rsid w:val="001544E9"/>
    <w:rsid w:val="00171E1F"/>
    <w:rsid w:val="001727A0"/>
    <w:rsid w:val="0018092B"/>
    <w:rsid w:val="00183333"/>
    <w:rsid w:val="00190066"/>
    <w:rsid w:val="001A5611"/>
    <w:rsid w:val="001A5B22"/>
    <w:rsid w:val="001A5EFA"/>
    <w:rsid w:val="001B0378"/>
    <w:rsid w:val="001B3AAE"/>
    <w:rsid w:val="001B4DAA"/>
    <w:rsid w:val="001C2BA2"/>
    <w:rsid w:val="00202BFC"/>
    <w:rsid w:val="00213BC1"/>
    <w:rsid w:val="002162B9"/>
    <w:rsid w:val="00224A4F"/>
    <w:rsid w:val="00226A61"/>
    <w:rsid w:val="0023151D"/>
    <w:rsid w:val="00234125"/>
    <w:rsid w:val="002422A1"/>
    <w:rsid w:val="00245776"/>
    <w:rsid w:val="00257D6A"/>
    <w:rsid w:val="0028360B"/>
    <w:rsid w:val="002A4322"/>
    <w:rsid w:val="002B2848"/>
    <w:rsid w:val="002D0A5D"/>
    <w:rsid w:val="002F05D1"/>
    <w:rsid w:val="002F2D60"/>
    <w:rsid w:val="003026BF"/>
    <w:rsid w:val="003078EB"/>
    <w:rsid w:val="00307976"/>
    <w:rsid w:val="00311433"/>
    <w:rsid w:val="00333557"/>
    <w:rsid w:val="00337BFC"/>
    <w:rsid w:val="003569EA"/>
    <w:rsid w:val="0037109D"/>
    <w:rsid w:val="00375B58"/>
    <w:rsid w:val="0038623D"/>
    <w:rsid w:val="00387CDE"/>
    <w:rsid w:val="0039050E"/>
    <w:rsid w:val="003910FF"/>
    <w:rsid w:val="0039362D"/>
    <w:rsid w:val="003B0BD9"/>
    <w:rsid w:val="003B19D5"/>
    <w:rsid w:val="003B5048"/>
    <w:rsid w:val="003C270B"/>
    <w:rsid w:val="003C4758"/>
    <w:rsid w:val="003C716E"/>
    <w:rsid w:val="003E1C38"/>
    <w:rsid w:val="003E3932"/>
    <w:rsid w:val="003F24D9"/>
    <w:rsid w:val="00403BBD"/>
    <w:rsid w:val="0040405D"/>
    <w:rsid w:val="00417A5D"/>
    <w:rsid w:val="00423C81"/>
    <w:rsid w:val="00431DBD"/>
    <w:rsid w:val="00432650"/>
    <w:rsid w:val="00435F50"/>
    <w:rsid w:val="00437E5F"/>
    <w:rsid w:val="004411EB"/>
    <w:rsid w:val="00442979"/>
    <w:rsid w:val="0044388C"/>
    <w:rsid w:val="00460D46"/>
    <w:rsid w:val="00461611"/>
    <w:rsid w:val="00462174"/>
    <w:rsid w:val="00466122"/>
    <w:rsid w:val="00493770"/>
    <w:rsid w:val="004966A4"/>
    <w:rsid w:val="004A2482"/>
    <w:rsid w:val="004C6EBC"/>
    <w:rsid w:val="004D2901"/>
    <w:rsid w:val="004E278E"/>
    <w:rsid w:val="004E5CE3"/>
    <w:rsid w:val="004F2E0F"/>
    <w:rsid w:val="005124C3"/>
    <w:rsid w:val="005417DB"/>
    <w:rsid w:val="0054502F"/>
    <w:rsid w:val="00546663"/>
    <w:rsid w:val="00560B7F"/>
    <w:rsid w:val="00564E90"/>
    <w:rsid w:val="00567C81"/>
    <w:rsid w:val="00570FBC"/>
    <w:rsid w:val="005738A0"/>
    <w:rsid w:val="005738AF"/>
    <w:rsid w:val="00574A8D"/>
    <w:rsid w:val="00585639"/>
    <w:rsid w:val="00592ACA"/>
    <w:rsid w:val="005A029C"/>
    <w:rsid w:val="005A2E15"/>
    <w:rsid w:val="005A5E08"/>
    <w:rsid w:val="005C3726"/>
    <w:rsid w:val="005D18B3"/>
    <w:rsid w:val="005D3DE2"/>
    <w:rsid w:val="005D46D3"/>
    <w:rsid w:val="005E464A"/>
    <w:rsid w:val="005F11E4"/>
    <w:rsid w:val="005F167B"/>
    <w:rsid w:val="005F3759"/>
    <w:rsid w:val="00605B8E"/>
    <w:rsid w:val="0061089E"/>
    <w:rsid w:val="00611301"/>
    <w:rsid w:val="00615B5D"/>
    <w:rsid w:val="0061633E"/>
    <w:rsid w:val="006318EE"/>
    <w:rsid w:val="006420B1"/>
    <w:rsid w:val="006544B3"/>
    <w:rsid w:val="00660932"/>
    <w:rsid w:val="006618F0"/>
    <w:rsid w:val="00675F6E"/>
    <w:rsid w:val="00676132"/>
    <w:rsid w:val="0069211D"/>
    <w:rsid w:val="006942B0"/>
    <w:rsid w:val="006950E7"/>
    <w:rsid w:val="006951A1"/>
    <w:rsid w:val="00695858"/>
    <w:rsid w:val="00695B2B"/>
    <w:rsid w:val="00697DE2"/>
    <w:rsid w:val="006A01F8"/>
    <w:rsid w:val="006B3F09"/>
    <w:rsid w:val="006B4579"/>
    <w:rsid w:val="006C5FE4"/>
    <w:rsid w:val="006D5B43"/>
    <w:rsid w:val="006F1CCB"/>
    <w:rsid w:val="006F2996"/>
    <w:rsid w:val="006F394A"/>
    <w:rsid w:val="006F7775"/>
    <w:rsid w:val="00703862"/>
    <w:rsid w:val="00712362"/>
    <w:rsid w:val="007125A4"/>
    <w:rsid w:val="007162AE"/>
    <w:rsid w:val="007218A9"/>
    <w:rsid w:val="007257DC"/>
    <w:rsid w:val="007272DB"/>
    <w:rsid w:val="00727DAF"/>
    <w:rsid w:val="007372A5"/>
    <w:rsid w:val="00747A95"/>
    <w:rsid w:val="007634CF"/>
    <w:rsid w:val="00765974"/>
    <w:rsid w:val="007746D2"/>
    <w:rsid w:val="00775E1A"/>
    <w:rsid w:val="00782AFE"/>
    <w:rsid w:val="00785C6E"/>
    <w:rsid w:val="00787D47"/>
    <w:rsid w:val="00790475"/>
    <w:rsid w:val="00795410"/>
    <w:rsid w:val="00795FD8"/>
    <w:rsid w:val="007B0374"/>
    <w:rsid w:val="007C203C"/>
    <w:rsid w:val="007C30A4"/>
    <w:rsid w:val="007C6CD5"/>
    <w:rsid w:val="007C7849"/>
    <w:rsid w:val="007C7DB6"/>
    <w:rsid w:val="007D4228"/>
    <w:rsid w:val="007F56F7"/>
    <w:rsid w:val="00805B30"/>
    <w:rsid w:val="0081437D"/>
    <w:rsid w:val="008156C3"/>
    <w:rsid w:val="00816F25"/>
    <w:rsid w:val="008342FF"/>
    <w:rsid w:val="00835B3B"/>
    <w:rsid w:val="008415F6"/>
    <w:rsid w:val="00846B70"/>
    <w:rsid w:val="008524D7"/>
    <w:rsid w:val="0086019E"/>
    <w:rsid w:val="008652F5"/>
    <w:rsid w:val="00871A08"/>
    <w:rsid w:val="00873CC1"/>
    <w:rsid w:val="0087642D"/>
    <w:rsid w:val="00877BB9"/>
    <w:rsid w:val="0089199D"/>
    <w:rsid w:val="00894B41"/>
    <w:rsid w:val="008962CC"/>
    <w:rsid w:val="008A1C09"/>
    <w:rsid w:val="008A2EC7"/>
    <w:rsid w:val="008A4221"/>
    <w:rsid w:val="008B0E54"/>
    <w:rsid w:val="008B57AC"/>
    <w:rsid w:val="008C4A58"/>
    <w:rsid w:val="008D016C"/>
    <w:rsid w:val="008F1498"/>
    <w:rsid w:val="008F6365"/>
    <w:rsid w:val="008F7D68"/>
    <w:rsid w:val="0090183E"/>
    <w:rsid w:val="009071EA"/>
    <w:rsid w:val="00911899"/>
    <w:rsid w:val="0091616A"/>
    <w:rsid w:val="009175FD"/>
    <w:rsid w:val="00920AFB"/>
    <w:rsid w:val="00920C31"/>
    <w:rsid w:val="009265D3"/>
    <w:rsid w:val="009341FD"/>
    <w:rsid w:val="009417C3"/>
    <w:rsid w:val="00966494"/>
    <w:rsid w:val="009862A7"/>
    <w:rsid w:val="00995A78"/>
    <w:rsid w:val="009E3512"/>
    <w:rsid w:val="009E367A"/>
    <w:rsid w:val="009E712A"/>
    <w:rsid w:val="009F1E92"/>
    <w:rsid w:val="00A1047A"/>
    <w:rsid w:val="00A4214D"/>
    <w:rsid w:val="00A47F14"/>
    <w:rsid w:val="00A53B74"/>
    <w:rsid w:val="00A54249"/>
    <w:rsid w:val="00A5589B"/>
    <w:rsid w:val="00A573E1"/>
    <w:rsid w:val="00A722BD"/>
    <w:rsid w:val="00A828F8"/>
    <w:rsid w:val="00A82A85"/>
    <w:rsid w:val="00A964F7"/>
    <w:rsid w:val="00AA220F"/>
    <w:rsid w:val="00AC2C42"/>
    <w:rsid w:val="00AC4158"/>
    <w:rsid w:val="00AC7600"/>
    <w:rsid w:val="00AD41DB"/>
    <w:rsid w:val="00AD4E9A"/>
    <w:rsid w:val="00AD5FFC"/>
    <w:rsid w:val="00AF3FC4"/>
    <w:rsid w:val="00AF5B4C"/>
    <w:rsid w:val="00B33502"/>
    <w:rsid w:val="00B42319"/>
    <w:rsid w:val="00B5244B"/>
    <w:rsid w:val="00B53589"/>
    <w:rsid w:val="00B5418E"/>
    <w:rsid w:val="00B769C4"/>
    <w:rsid w:val="00B8358A"/>
    <w:rsid w:val="00B90D94"/>
    <w:rsid w:val="00BA0750"/>
    <w:rsid w:val="00BA344A"/>
    <w:rsid w:val="00BA726D"/>
    <w:rsid w:val="00BB029F"/>
    <w:rsid w:val="00BB1C65"/>
    <w:rsid w:val="00BB2377"/>
    <w:rsid w:val="00BC1C16"/>
    <w:rsid w:val="00BC4732"/>
    <w:rsid w:val="00BD1476"/>
    <w:rsid w:val="00BD2952"/>
    <w:rsid w:val="00BD3317"/>
    <w:rsid w:val="00BE13FA"/>
    <w:rsid w:val="00BF501F"/>
    <w:rsid w:val="00C134D7"/>
    <w:rsid w:val="00C1366C"/>
    <w:rsid w:val="00C14794"/>
    <w:rsid w:val="00C16DCA"/>
    <w:rsid w:val="00C173D2"/>
    <w:rsid w:val="00C22F3D"/>
    <w:rsid w:val="00C26DF8"/>
    <w:rsid w:val="00C27B64"/>
    <w:rsid w:val="00C354C8"/>
    <w:rsid w:val="00C36027"/>
    <w:rsid w:val="00C42CFB"/>
    <w:rsid w:val="00C526FA"/>
    <w:rsid w:val="00C575EE"/>
    <w:rsid w:val="00C648D2"/>
    <w:rsid w:val="00C73020"/>
    <w:rsid w:val="00C73730"/>
    <w:rsid w:val="00C847AA"/>
    <w:rsid w:val="00C85E3C"/>
    <w:rsid w:val="00C9068E"/>
    <w:rsid w:val="00C92E3B"/>
    <w:rsid w:val="00C95AE7"/>
    <w:rsid w:val="00CB6A44"/>
    <w:rsid w:val="00CD480D"/>
    <w:rsid w:val="00CD7BEB"/>
    <w:rsid w:val="00CE12AD"/>
    <w:rsid w:val="00CF44BA"/>
    <w:rsid w:val="00D000C7"/>
    <w:rsid w:val="00D01ACE"/>
    <w:rsid w:val="00D03534"/>
    <w:rsid w:val="00D17A3D"/>
    <w:rsid w:val="00D21019"/>
    <w:rsid w:val="00D21777"/>
    <w:rsid w:val="00D40746"/>
    <w:rsid w:val="00D44CA3"/>
    <w:rsid w:val="00D46921"/>
    <w:rsid w:val="00D52975"/>
    <w:rsid w:val="00D53687"/>
    <w:rsid w:val="00D55AC4"/>
    <w:rsid w:val="00D55FF5"/>
    <w:rsid w:val="00D63F29"/>
    <w:rsid w:val="00D668E6"/>
    <w:rsid w:val="00D66E1F"/>
    <w:rsid w:val="00D67EAD"/>
    <w:rsid w:val="00D768D6"/>
    <w:rsid w:val="00D85012"/>
    <w:rsid w:val="00D86E59"/>
    <w:rsid w:val="00D95B2A"/>
    <w:rsid w:val="00DB0770"/>
    <w:rsid w:val="00DB3FEA"/>
    <w:rsid w:val="00DB7ADF"/>
    <w:rsid w:val="00DC1ED0"/>
    <w:rsid w:val="00DE40CB"/>
    <w:rsid w:val="00DE6B4D"/>
    <w:rsid w:val="00DF0BD6"/>
    <w:rsid w:val="00DF1DB9"/>
    <w:rsid w:val="00DF2E76"/>
    <w:rsid w:val="00DF4CC4"/>
    <w:rsid w:val="00E10BBE"/>
    <w:rsid w:val="00E24216"/>
    <w:rsid w:val="00E24B12"/>
    <w:rsid w:val="00E309C9"/>
    <w:rsid w:val="00E40723"/>
    <w:rsid w:val="00E41BC0"/>
    <w:rsid w:val="00E65BB5"/>
    <w:rsid w:val="00E72201"/>
    <w:rsid w:val="00E74B62"/>
    <w:rsid w:val="00E83E94"/>
    <w:rsid w:val="00E84FE3"/>
    <w:rsid w:val="00E92B7D"/>
    <w:rsid w:val="00EA1E1B"/>
    <w:rsid w:val="00EB7F9A"/>
    <w:rsid w:val="00EC28B8"/>
    <w:rsid w:val="00EC6DC0"/>
    <w:rsid w:val="00ED21B1"/>
    <w:rsid w:val="00ED5135"/>
    <w:rsid w:val="00ED7003"/>
    <w:rsid w:val="00EE204E"/>
    <w:rsid w:val="00EF32CB"/>
    <w:rsid w:val="00EF5BA9"/>
    <w:rsid w:val="00F002CA"/>
    <w:rsid w:val="00F00A30"/>
    <w:rsid w:val="00F01F59"/>
    <w:rsid w:val="00F026DA"/>
    <w:rsid w:val="00F10B43"/>
    <w:rsid w:val="00F26500"/>
    <w:rsid w:val="00F37C84"/>
    <w:rsid w:val="00F56E3C"/>
    <w:rsid w:val="00F6282F"/>
    <w:rsid w:val="00F63FA5"/>
    <w:rsid w:val="00F705B4"/>
    <w:rsid w:val="00F87C1F"/>
    <w:rsid w:val="00F96B7F"/>
    <w:rsid w:val="00FA2695"/>
    <w:rsid w:val="00FA4D01"/>
    <w:rsid w:val="00FB4CD1"/>
    <w:rsid w:val="00FC3946"/>
    <w:rsid w:val="00FC6D76"/>
    <w:rsid w:val="00FD44F8"/>
    <w:rsid w:val="00FE7060"/>
    <w:rsid w:val="00FF69EA"/>
    <w:rsid w:val="12C7631F"/>
    <w:rsid w:val="5F69574D"/>
    <w:rsid w:val="5F77B679"/>
    <w:rsid w:val="67A10EE8"/>
    <w:rsid w:val="EFDD2D50"/>
    <w:rsid w:val="FD17B74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2"/>
    <w:unhideWhenUsed/>
    <w:qFormat/>
    <w:uiPriority w:val="99"/>
    <w:pPr>
      <w:jc w:val="left"/>
    </w:pPr>
  </w:style>
  <w:style w:type="paragraph" w:styleId="3">
    <w:name w:val="Body Text"/>
    <w:basedOn w:val="1"/>
    <w:link w:val="20"/>
    <w:qFormat/>
    <w:uiPriority w:val="1"/>
    <w:pPr>
      <w:autoSpaceDE w:val="0"/>
      <w:autoSpaceDN w:val="0"/>
      <w:ind w:left="258"/>
      <w:jc w:val="left"/>
    </w:pPr>
    <w:rPr>
      <w:rFonts w:ascii="宋体" w:hAnsi="宋体" w:cs="宋体"/>
      <w:kern w:val="0"/>
      <w:sz w:val="24"/>
      <w:szCs w:val="24"/>
      <w:lang w:val="zh-CN" w:bidi="zh-CN"/>
    </w:rPr>
  </w:style>
  <w:style w:type="paragraph" w:styleId="4">
    <w:name w:val="endnote text"/>
    <w:basedOn w:val="1"/>
    <w:link w:val="15"/>
    <w:semiHidden/>
    <w:unhideWhenUsed/>
    <w:qFormat/>
    <w:uiPriority w:val="99"/>
    <w:pPr>
      <w:snapToGrid w:val="0"/>
      <w:jc w:val="left"/>
    </w:pPr>
  </w:style>
  <w:style w:type="paragraph" w:styleId="5">
    <w:name w:val="Balloon Text"/>
    <w:basedOn w:val="1"/>
    <w:link w:val="18"/>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23"/>
    <w:semiHidden/>
    <w:unhideWhenUsed/>
    <w:qFormat/>
    <w:uiPriority w:val="99"/>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ndnote reference"/>
    <w:semiHidden/>
    <w:unhideWhenUsed/>
    <w:qFormat/>
    <w:uiPriority w:val="99"/>
    <w:rPr>
      <w:vertAlign w:val="superscript"/>
    </w:rPr>
  </w:style>
  <w:style w:type="character" w:styleId="13">
    <w:name w:val="Hyperlink"/>
    <w:basedOn w:val="11"/>
    <w:unhideWhenUsed/>
    <w:qFormat/>
    <w:uiPriority w:val="99"/>
    <w:rPr>
      <w:color w:val="0000FF" w:themeColor="hyperlink"/>
      <w:u w:val="single"/>
      <w14:textFill>
        <w14:solidFill>
          <w14:schemeClr w14:val="hlink"/>
        </w14:solidFill>
      </w14:textFill>
    </w:rPr>
  </w:style>
  <w:style w:type="character" w:styleId="14">
    <w:name w:val="annotation reference"/>
    <w:basedOn w:val="11"/>
    <w:semiHidden/>
    <w:unhideWhenUsed/>
    <w:qFormat/>
    <w:uiPriority w:val="99"/>
    <w:rPr>
      <w:sz w:val="21"/>
      <w:szCs w:val="21"/>
    </w:rPr>
  </w:style>
  <w:style w:type="character" w:customStyle="1" w:styleId="15">
    <w:name w:val="尾注文本 字符"/>
    <w:basedOn w:val="11"/>
    <w:link w:val="4"/>
    <w:semiHidden/>
    <w:qFormat/>
    <w:uiPriority w:val="99"/>
  </w:style>
  <w:style w:type="character" w:customStyle="1" w:styleId="16">
    <w:name w:val="页眉 字符"/>
    <w:link w:val="7"/>
    <w:qFormat/>
    <w:uiPriority w:val="99"/>
    <w:rPr>
      <w:sz w:val="18"/>
      <w:szCs w:val="18"/>
    </w:rPr>
  </w:style>
  <w:style w:type="character" w:customStyle="1" w:styleId="17">
    <w:name w:val="页脚 字符"/>
    <w:link w:val="6"/>
    <w:qFormat/>
    <w:uiPriority w:val="99"/>
    <w:rPr>
      <w:sz w:val="18"/>
      <w:szCs w:val="18"/>
    </w:rPr>
  </w:style>
  <w:style w:type="character" w:customStyle="1" w:styleId="18">
    <w:name w:val="批注框文本 字符"/>
    <w:basedOn w:val="11"/>
    <w:link w:val="5"/>
    <w:semiHidden/>
    <w:qFormat/>
    <w:uiPriority w:val="99"/>
    <w:rPr>
      <w:kern w:val="2"/>
      <w:sz w:val="18"/>
      <w:szCs w:val="18"/>
    </w:rPr>
  </w:style>
  <w:style w:type="paragraph" w:styleId="19">
    <w:name w:val="List Paragraph"/>
    <w:basedOn w:val="1"/>
    <w:qFormat/>
    <w:uiPriority w:val="34"/>
    <w:pPr>
      <w:ind w:firstLine="420" w:firstLineChars="200"/>
    </w:pPr>
  </w:style>
  <w:style w:type="character" w:customStyle="1" w:styleId="20">
    <w:name w:val="正文文本 字符"/>
    <w:basedOn w:val="11"/>
    <w:link w:val="3"/>
    <w:qFormat/>
    <w:uiPriority w:val="1"/>
    <w:rPr>
      <w:rFonts w:ascii="宋体" w:hAnsi="宋体" w:cs="宋体"/>
      <w:sz w:val="24"/>
      <w:szCs w:val="24"/>
      <w:lang w:val="zh-CN" w:bidi="zh-CN"/>
    </w:rPr>
  </w:style>
  <w:style w:type="paragraph" w:customStyle="1" w:styleId="21">
    <w:name w:val="Revision"/>
    <w:hidden/>
    <w:semiHidden/>
    <w:qFormat/>
    <w:uiPriority w:val="99"/>
    <w:rPr>
      <w:rFonts w:ascii="Calibri" w:hAnsi="Calibri" w:eastAsia="宋体" w:cs="Times New Roman"/>
      <w:kern w:val="2"/>
      <w:sz w:val="21"/>
      <w:szCs w:val="22"/>
      <w:lang w:val="en-US" w:eastAsia="zh-CN" w:bidi="ar-SA"/>
    </w:rPr>
  </w:style>
  <w:style w:type="character" w:customStyle="1" w:styleId="22">
    <w:name w:val="批注文字 字符"/>
    <w:basedOn w:val="11"/>
    <w:link w:val="2"/>
    <w:qFormat/>
    <w:uiPriority w:val="99"/>
    <w:rPr>
      <w:kern w:val="2"/>
      <w:sz w:val="21"/>
      <w:szCs w:val="22"/>
    </w:rPr>
  </w:style>
  <w:style w:type="character" w:customStyle="1" w:styleId="23">
    <w:name w:val="批注主题 字符"/>
    <w:basedOn w:val="22"/>
    <w:link w:val="8"/>
    <w:semiHidden/>
    <w:qFormat/>
    <w:uiPriority w:val="99"/>
    <w:rPr>
      <w:b/>
      <w:bCs/>
      <w:kern w:val="2"/>
      <w:sz w:val="21"/>
      <w:szCs w:val="22"/>
    </w:rPr>
  </w:style>
  <w:style w:type="character" w:customStyle="1" w:styleId="24">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Zhong Lun Law Firm</Company>
  <Pages>1</Pages>
  <Words>115</Words>
  <Characters>656</Characters>
  <Lines>5</Lines>
  <Paragraphs>1</Paragraphs>
  <TotalTime>91</TotalTime>
  <ScaleCrop>false</ScaleCrop>
  <LinksUpToDate>false</LinksUpToDate>
  <CharactersWithSpaces>770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2023-04-09T09:39:00Z</dcterms:created>
  <dc:creator>dell</dc:creator>
  <cp:lastModifiedBy>scjuser</cp:lastModifiedBy>
  <cp:lastPrinted>2014-10-11T14:48:00Z</cp:lastPrinted>
  <dcterms:modified xsi:type="dcterms:W3CDTF">2024-09-06T09:15:35Z</dcterms:modified>
  <dc:title>经营者集中简易案件公示表</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