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240"/>
        <w:jc w:val="center"/>
        <w:rPr>
          <w:rFonts w:hint="eastAsia" w:ascii="黑体" w:hAnsi="黑体" w:eastAsia="黑体" w:cs="黑体"/>
          <w:bCs/>
          <w:kern w:val="0"/>
          <w:sz w:val="36"/>
          <w:szCs w:val="36"/>
          <w:lang w:val="en-GB" w:bidi="ar-AE"/>
        </w:rPr>
      </w:pPr>
      <w:r>
        <w:rPr>
          <w:rFonts w:hint="eastAsia" w:ascii="黑体" w:hAnsi="黑体" w:eastAsia="黑体" w:cs="黑体"/>
          <w:bCs/>
          <w:kern w:val="0"/>
          <w:sz w:val="36"/>
          <w:szCs w:val="36"/>
          <w:lang w:val="en-GB" w:bidi="ar-AE"/>
        </w:rPr>
        <w:t>经营者集中简易案件公示表</w:t>
      </w:r>
    </w:p>
    <w:tbl>
      <w:tblPr>
        <w:tblStyle w:val="4"/>
        <w:tblW w:w="9640" w:type="dxa"/>
        <w:tblInd w:w="-17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1607"/>
        <w:gridCol w:w="609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6" w:hRule="atLeast"/>
        </w:trPr>
        <w:tc>
          <w:tcPr>
            <w:tcW w:w="1940" w:type="dxa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eastAsia="en-GB"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eastAsia="en-GB" w:bidi="ar-AE"/>
              </w:rPr>
              <w:t>案件名称</w:t>
            </w: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bookmarkStart w:id="0" w:name="_GoBack"/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BS投资株式会社收购</w:t>
            </w:r>
            <w:r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株式会社迪桑特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股权案</w:t>
            </w:r>
            <w:bookmarkEnd w:id="0"/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1940" w:type="dxa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交易概况（限200字内）</w:t>
            </w:r>
          </w:p>
        </w:tc>
        <w:tc>
          <w:tcPr>
            <w:tcW w:w="7700" w:type="dxa"/>
            <w:gridSpan w:val="2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BS投资株式会社（“BS”）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拟通过日本法项下公开要约收购的方式收购</w:t>
            </w:r>
            <w:r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株式会社迪桑特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（“迪桑特”）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的股份，目的是将迪桑特变为自身的全资子公司。如果要约收购完成后BS尚无法持有迪桑特100%的股份，则通过日本法项下的其他方式将迪桑特变为自身的全资子公司。本交易前，BS持有迪桑特44.44%的股份，迪桑特无控制人；本交易后，BS将持有迪桑特100%的股份，从而单独控制迪桑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2" w:hRule="atLeast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参与集中的经营者简介（每个限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100字以内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）</w:t>
            </w:r>
          </w:p>
        </w:tc>
        <w:tc>
          <w:tcPr>
            <w:tcW w:w="1607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1.</w:t>
            </w:r>
            <w:r>
              <w:rPr>
                <w:rFonts w:hint="eastAsia" w:ascii="Times New Roman" w:hAnsi="Times New Roman" w:eastAsia="宋体" w:cs="Simplified Arabic"/>
                <w:kern w:val="0"/>
                <w:sz w:val="24"/>
                <w:szCs w:val="24"/>
                <w:lang w:val="en-GB" w:eastAsia="en-GB" w:bidi="ar-AE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BS</w:t>
            </w:r>
          </w:p>
        </w:tc>
        <w:tc>
          <w:tcPr>
            <w:tcW w:w="6093" w:type="dxa"/>
            <w:vAlign w:val="center"/>
          </w:tcPr>
          <w:p>
            <w:pPr>
              <w:adjustRightInd w:val="0"/>
              <w:snapToGrid w:val="0"/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BS于2019年1月9日成立于日本东京，主要业务为纤维产品的生产及销售等事业相关的投融资、调查研究、咨询业务及与前述相关的附属业务。</w:t>
            </w:r>
          </w:p>
          <w:p>
            <w:pPr>
              <w:adjustRightInd w:val="0"/>
              <w:snapToGrid w:val="0"/>
              <w:rPr>
                <w:rFonts w:hint="eastAsia" w:ascii="宋体" w:hAnsi="宋体" w:eastAsia="Yu Mincho" w:cs="宋体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bidi="ar-AE"/>
              </w:rPr>
              <w:t>BS的最终控制人为伊藤忠商事株式会社，伊藤忠商事株式会社是一家大型综合贸易公司，在纤维、机械、金属、能源、化学品、粮食、生活资材及住居、信息通信、金融等各领域从事国内贸易、进出口贸易、三方贸易，以及进行国内外业务投资等，业务范围广泛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1607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2.</w:t>
            </w:r>
            <w:r>
              <w:rPr>
                <w:rFonts w:hint="eastAsia" w:ascii="Times New Roman" w:hAnsi="Times New Roman" w:eastAsia="宋体" w:cs="Simplified Arabic"/>
                <w:kern w:val="0"/>
                <w:sz w:val="24"/>
                <w:szCs w:val="24"/>
                <w:lang w:val="en-GB" w:eastAsia="en-GB" w:bidi="ar-AE"/>
              </w:rPr>
              <w:t xml:space="preserve"> 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迪桑特</w:t>
            </w:r>
          </w:p>
        </w:tc>
        <w:tc>
          <w:tcPr>
            <w:tcW w:w="6093" w:type="dxa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迪桑特于1949年3月18日成立于日本大阪，</w:t>
            </w:r>
            <w:r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为东京证券交易所上市公司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，主要业务为运动服饰的生产及销售。</w:t>
            </w:r>
          </w:p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迪桑特无最终控制人。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9" w:hRule="atLeast"/>
        </w:trPr>
        <w:tc>
          <w:tcPr>
            <w:tcW w:w="1940" w:type="dxa"/>
            <w:vMerge w:val="restart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简易案件理由（可以单选，也可以多选）</w:t>
            </w: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FE"/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1、在同一相关市场，所有参与集中的经营者所占市场份额之和小于15%。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0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FE"/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2、存在上下游关系的参与集中的经营者，在上下游市场所占的市场份额均小于25%。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 3、不在同一相关市场、也不存在上下游关系的参与集中的经营者，在与交易有关的每个市场所占的份额均小于25%。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4、参与集中的经营者在中国境外设立合营企业，合营企业不在中国境内从事经济活动。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5、参与集中的经营者收购境外企业股权或资产的，该境外企业不在中国境内从事经济活动。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1940" w:type="dxa"/>
            <w:vMerge w:val="continue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sym w:font="Wingdings" w:char="00A8"/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 xml:space="preserve"> 6、由两个以上的经营者共同控制的合营企业，通过集中被其中一个或一个以上经营者控制。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0" w:hRule="atLeast"/>
        </w:trPr>
        <w:tc>
          <w:tcPr>
            <w:tcW w:w="1940" w:type="dxa"/>
            <w:shd w:val="clear" w:color="auto" w:fill="D9D9D9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备注</w:t>
            </w:r>
          </w:p>
        </w:tc>
        <w:tc>
          <w:tcPr>
            <w:tcW w:w="7700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GB" w:bidi="ar-A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val="en-GB" w:bidi="ar-AE"/>
              </w:rPr>
              <w:t>横向重叠：</w:t>
            </w:r>
          </w:p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202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3年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中国境内运动服饰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市场:</w:t>
            </w:r>
          </w:p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BS：0-5%，迪桑特：0-5%，双方合计: 0-5%</w:t>
            </w:r>
          </w:p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/>
                <w:color w:val="000000"/>
                <w:kern w:val="0"/>
                <w:sz w:val="24"/>
                <w:szCs w:val="24"/>
                <w:lang w:bidi="ar-AE"/>
              </w:rPr>
              <w:t>纵向关联：</w:t>
            </w:r>
          </w:p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上游：</w:t>
            </w:r>
            <w:r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202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3年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中国境内运动服饰代工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市场:</w:t>
            </w:r>
          </w:p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BS:0-5%</w:t>
            </w:r>
          </w:p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下游：</w:t>
            </w:r>
            <w:r>
              <w:rPr>
                <w:rFonts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202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3年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val="en-GB" w:bidi="ar-AE"/>
              </w:rPr>
              <w:t>中国境内运动服饰</w:t>
            </w: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市场：</w:t>
            </w:r>
          </w:p>
          <w:p>
            <w:pPr>
              <w:widowControl/>
              <w:adjustRightInd w:val="0"/>
              <w:snapToGrid w:val="0"/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</w:pPr>
            <w:r>
              <w:rPr>
                <w:rFonts w:hint="eastAsia" w:ascii="宋体" w:hAnsi="宋体" w:eastAsia="宋体" w:cs="宋体"/>
                <w:bCs/>
                <w:color w:val="000000"/>
                <w:kern w:val="0"/>
                <w:sz w:val="24"/>
                <w:szCs w:val="24"/>
                <w:lang w:bidi="ar-AE"/>
              </w:rPr>
              <w:t>如上所述</w:t>
            </w:r>
          </w:p>
        </w:tc>
      </w:tr>
    </w:tbl>
    <w:p>
      <w:pPr>
        <w:rPr>
          <w:rFonts w:hint="eastAsia"/>
          <w:lang w:val="en-GB"/>
        </w:rPr>
      </w:pPr>
    </w:p>
    <w:sectPr>
      <w:footerReference r:id="rId3" w:type="default"/>
      <w:pgSz w:w="11906" w:h="16838"/>
      <w:pgMar w:top="1440" w:right="1440" w:bottom="1276" w:left="1440" w:header="720" w:footer="340" w:gutter="0"/>
      <w:cols w:space="720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宋简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仿宋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implified Arabic">
    <w:altName w:val="Times New Roman"/>
    <w:panose1 w:val="00000000000000000000"/>
    <w:charset w:val="B2"/>
    <w:family w:val="roman"/>
    <w:pitch w:val="default"/>
    <w:sig w:usb0="00000000" w:usb1="00000000" w:usb2="00000008" w:usb3="00000000" w:csb0="00000041" w:csb1="00000000"/>
  </w:font>
  <w:font w:name="Yu Mincho">
    <w:altName w:val="仿宋"/>
    <w:panose1 w:val="02020400000000000000"/>
    <w:charset w:val="80"/>
    <w:family w:val="roman"/>
    <w:pitch w:val="default"/>
    <w:sig w:usb0="00000000" w:usb1="00000000" w:usb2="00000012" w:usb3="00000000" w:csb0="0002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tbl>
    <w:tblPr>
      <w:tblStyle w:val="4"/>
      <w:tblW w:w="0" w:type="auto"/>
      <w:tblInd w:w="0" w:type="dxa"/>
      <w:tblLayout w:type="autofit"/>
      <w:tblCellMar>
        <w:top w:w="0" w:type="dxa"/>
        <w:left w:w="108" w:type="dxa"/>
        <w:bottom w:w="0" w:type="dxa"/>
        <w:right w:w="108" w:type="dxa"/>
      </w:tblCellMar>
    </w:tblPr>
    <w:tblGrid>
      <w:gridCol w:w="3080"/>
      <w:gridCol w:w="3081"/>
      <w:gridCol w:w="3081"/>
    </w:tblGrid>
    <w:tr>
      <w:tblPrEx>
        <w:tblCellMar>
          <w:top w:w="0" w:type="dxa"/>
          <w:left w:w="108" w:type="dxa"/>
          <w:bottom w:w="0" w:type="dxa"/>
          <w:right w:w="108" w:type="dxa"/>
        </w:tblCellMar>
      </w:tblPrEx>
      <w:tc>
        <w:tcPr>
          <w:tcW w:w="3080" w:type="dxa"/>
        </w:tcPr>
        <w:p>
          <w:pPr>
            <w:pStyle w:val="2"/>
            <w:rPr>
              <w:rFonts w:hint="eastAsia"/>
            </w:rPr>
          </w:pPr>
        </w:p>
      </w:tc>
      <w:tc>
        <w:tcPr>
          <w:tcW w:w="3081" w:type="dxa"/>
        </w:tcPr>
        <w:p>
          <w:pPr>
            <w:pStyle w:val="2"/>
            <w:jc w:val="center"/>
            <w:rPr>
              <w:rStyle w:val="6"/>
              <w:rFonts w:cs="Times New Roman"/>
            </w:rPr>
          </w:pPr>
          <w:r>
            <w:rPr>
              <w:rStyle w:val="6"/>
              <w:rFonts w:cs="Times New Roman"/>
            </w:rPr>
            <w:t xml:space="preserve">- </w:t>
          </w:r>
          <w:r>
            <w:rPr>
              <w:rStyle w:val="6"/>
              <w:rFonts w:cs="Times New Roman"/>
            </w:rPr>
            <w:fldChar w:fldCharType="begin"/>
          </w:r>
          <w:r>
            <w:rPr>
              <w:rStyle w:val="6"/>
              <w:rFonts w:cs="Times New Roman"/>
            </w:rPr>
            <w:instrText xml:space="preserve"> PAGE   \* MERGEFORMAT </w:instrText>
          </w:r>
          <w:r>
            <w:rPr>
              <w:rStyle w:val="6"/>
              <w:rFonts w:cs="Times New Roman"/>
            </w:rPr>
            <w:fldChar w:fldCharType="separate"/>
          </w:r>
          <w:r>
            <w:rPr>
              <w:rStyle w:val="6"/>
              <w:rFonts w:cs="Times New Roman"/>
              <w:lang w:val="en-US"/>
            </w:rPr>
            <w:t>2</w:t>
          </w:r>
          <w:r>
            <w:rPr>
              <w:rStyle w:val="6"/>
              <w:rFonts w:cs="Times New Roman"/>
            </w:rPr>
            <w:fldChar w:fldCharType="end"/>
          </w:r>
          <w:r>
            <w:rPr>
              <w:rStyle w:val="6"/>
              <w:rFonts w:cs="Times New Roman"/>
            </w:rPr>
            <w:t xml:space="preserve"> -</w:t>
          </w:r>
        </w:p>
      </w:tc>
      <w:tc>
        <w:tcPr>
          <w:tcW w:w="3081" w:type="dxa"/>
        </w:tcPr>
        <w:p>
          <w:pPr>
            <w:pStyle w:val="8"/>
          </w:pPr>
        </w:p>
      </w:tc>
    </w:tr>
  </w:tbl>
  <w:p>
    <w:pPr>
      <w:pStyle w:val="2"/>
      <w:rPr>
        <w:rFonts w:hint="eastAsia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removePersonalInformation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9A0"/>
    <w:rsid w:val="000120CE"/>
    <w:rsid w:val="00021069"/>
    <w:rsid w:val="0004246A"/>
    <w:rsid w:val="000B4250"/>
    <w:rsid w:val="0017557F"/>
    <w:rsid w:val="00186F83"/>
    <w:rsid w:val="001965A3"/>
    <w:rsid w:val="001A2F9C"/>
    <w:rsid w:val="001A458E"/>
    <w:rsid w:val="001B2C78"/>
    <w:rsid w:val="001C39A0"/>
    <w:rsid w:val="00201B4B"/>
    <w:rsid w:val="00221699"/>
    <w:rsid w:val="00234B23"/>
    <w:rsid w:val="002F3D2A"/>
    <w:rsid w:val="004025C6"/>
    <w:rsid w:val="00417350"/>
    <w:rsid w:val="0045059A"/>
    <w:rsid w:val="004A549F"/>
    <w:rsid w:val="004E4217"/>
    <w:rsid w:val="00570A70"/>
    <w:rsid w:val="00664E85"/>
    <w:rsid w:val="006775F8"/>
    <w:rsid w:val="00690F7A"/>
    <w:rsid w:val="006D4819"/>
    <w:rsid w:val="006E3122"/>
    <w:rsid w:val="00713DEA"/>
    <w:rsid w:val="00764AAC"/>
    <w:rsid w:val="007A3C95"/>
    <w:rsid w:val="00897271"/>
    <w:rsid w:val="008B5BB0"/>
    <w:rsid w:val="008D324C"/>
    <w:rsid w:val="008F209D"/>
    <w:rsid w:val="00947C78"/>
    <w:rsid w:val="009F4BB3"/>
    <w:rsid w:val="00B223EF"/>
    <w:rsid w:val="00B31737"/>
    <w:rsid w:val="00B527DC"/>
    <w:rsid w:val="00C2124D"/>
    <w:rsid w:val="00CE6E5C"/>
    <w:rsid w:val="00DD60FA"/>
    <w:rsid w:val="00E04DA0"/>
    <w:rsid w:val="00E06C9A"/>
    <w:rsid w:val="00E42031"/>
    <w:rsid w:val="00E55BE5"/>
    <w:rsid w:val="00E62B75"/>
    <w:rsid w:val="00EE0E3F"/>
    <w:rsid w:val="00F35575"/>
    <w:rsid w:val="00F47B89"/>
    <w:rsid w:val="00FF4003"/>
    <w:rsid w:val="95C3E1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uiPriority w:val="0"/>
    <w:rPr>
      <w:rFonts w:ascii="Times New Roman" w:hAnsi="Times New Roman" w:eastAsia="宋体" w:cs="Simplified Arabic"/>
      <w:sz w:val="24"/>
      <w:szCs w:val="24"/>
      <w:lang w:val="en-GB" w:bidi="ar-AE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  <w:style w:type="paragraph" w:customStyle="1" w:styleId="8">
    <w:name w:val="Footer Right"/>
    <w:basedOn w:val="2"/>
    <w:uiPriority w:val="0"/>
    <w:pPr>
      <w:widowControl/>
      <w:tabs>
        <w:tab w:val="clear" w:pos="4153"/>
        <w:tab w:val="clear" w:pos="8306"/>
      </w:tabs>
      <w:snapToGrid/>
      <w:jc w:val="right"/>
    </w:pPr>
    <w:rPr>
      <w:rFonts w:ascii="Times New Roman" w:hAnsi="Times New Roman" w:eastAsia="宋体" w:cs="Times New Roman"/>
      <w:kern w:val="0"/>
      <w:sz w:val="16"/>
      <w:szCs w:val="16"/>
      <w:lang w:val="en-GB" w:bidi="he-IL"/>
    </w:rPr>
  </w:style>
  <w:style w:type="character" w:customStyle="1" w:styleId="9">
    <w:name w:val="页眉 字符"/>
    <w:basedOn w:val="5"/>
    <w:link w:val="3"/>
    <w:uiPriority w:val="99"/>
    <w:rPr>
      <w:sz w:val="18"/>
      <w:szCs w:val="18"/>
    </w:rPr>
  </w:style>
  <w:style w:type="paragraph" w:customStyle="1" w:styleId="10">
    <w:name w:val="Revision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140</Words>
  <Characters>799</Characters>
  <Lines>6</Lines>
  <Paragraphs>1</Paragraphs>
  <TotalTime>1</TotalTime>
  <ScaleCrop>false</ScaleCrop>
  <LinksUpToDate>false</LinksUpToDate>
  <CharactersWithSpaces>938</CharactersWithSpaces>
  <Application>WPS Office_11.8.2.10552_F1E327BC-269C-435d-A152-05C5408002CA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2024-08-22T14:00:00Z</dcterms:created>
  <dcterms:modified xsi:type="dcterms:W3CDTF">2024-08-28T10:59:38Z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2052-11.8.2.10552</vt:lpwstr>
  </property>
</Properties>
</file>