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after="0"/>
        <w:jc w:val="center"/>
        <w:rPr>
          <w:rFonts w:ascii="宋体" w:hAnsi="宋体" w:cs="黑体"/>
          <w:bCs/>
        </w:rPr>
      </w:pPr>
      <w:r>
        <w:rPr>
          <w:rFonts w:hint="eastAsia" w:ascii="黑体" w:hAnsi="黑体" w:eastAsia="黑体" w:cs="黑体"/>
          <w:bCs/>
          <w:sz w:val="36"/>
          <w:szCs w:val="36"/>
        </w:rPr>
        <w:t>经营者集中简易案件公示表</w:t>
      </w:r>
    </w:p>
    <w:tbl>
      <w:tblPr>
        <w:tblStyle w:val="10"/>
        <w:tblW w:w="10094"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0"/>
        <w:gridCol w:w="1607"/>
        <w:gridCol w:w="6547"/>
      </w:tblGrid>
      <w:tr>
        <w:trPr>
          <w:trHeight w:val="926" w:hRule="atLeast"/>
        </w:trPr>
        <w:tc>
          <w:tcPr>
            <w:tcW w:w="1940" w:type="dxa"/>
            <w:shd w:val="clear" w:color="auto" w:fill="D9D9D9"/>
            <w:vAlign w:val="center"/>
          </w:tcPr>
          <w:p>
            <w:pPr>
              <w:pStyle w:val="4"/>
              <w:adjustRightInd w:val="0"/>
              <w:snapToGrid w:val="0"/>
              <w:spacing w:after="0"/>
              <w:rPr>
                <w:rFonts w:ascii="宋体" w:hAnsi="宋体" w:cs="Times New Roman"/>
                <w:bCs/>
                <w:color w:val="auto"/>
                <w:lang w:val="en-US"/>
              </w:rPr>
            </w:pPr>
            <w:r>
              <w:rPr>
                <w:rFonts w:ascii="宋体" w:hAnsi="宋体" w:cs="Times New Roman"/>
                <w:bCs/>
                <w:color w:val="auto"/>
              </w:rPr>
              <w:t>案件名称</w:t>
            </w:r>
          </w:p>
        </w:tc>
        <w:tc>
          <w:tcPr>
            <w:tcW w:w="8154" w:type="dxa"/>
            <w:gridSpan w:val="2"/>
            <w:vAlign w:val="center"/>
          </w:tcPr>
          <w:p>
            <w:pPr>
              <w:adjustRightInd w:val="0"/>
              <w:snapToGrid w:val="0"/>
              <w:spacing w:after="0"/>
              <w:rPr>
                <w:rFonts w:ascii="宋体" w:hAnsi="宋体" w:cstheme="majorBidi"/>
                <w:bCs/>
                <w:color w:val="auto"/>
                <w:lang w:val="en-US"/>
              </w:rPr>
            </w:pPr>
            <w:r>
              <w:rPr>
                <w:rFonts w:hint="eastAsia" w:ascii="宋体" w:hAnsi="宋体" w:cstheme="majorBidi"/>
                <w:bCs/>
                <w:color w:val="auto"/>
                <w:lang w:val="en-US"/>
              </w:rPr>
              <w:t>杭州杭钢金属材料电子商务有限公司与盐城市联鑫钢铁有限公司新设合营企业案</w:t>
            </w:r>
          </w:p>
        </w:tc>
      </w:tr>
      <w:tr>
        <w:trPr>
          <w:trHeight w:val="1391" w:hRule="atLeast"/>
        </w:trPr>
        <w:tc>
          <w:tcPr>
            <w:tcW w:w="1940" w:type="dxa"/>
            <w:shd w:val="clear" w:color="auto" w:fill="D9D9D9"/>
            <w:vAlign w:val="center"/>
          </w:tcPr>
          <w:p>
            <w:pPr>
              <w:pStyle w:val="4"/>
              <w:adjustRightInd w:val="0"/>
              <w:snapToGrid w:val="0"/>
              <w:spacing w:after="0"/>
              <w:rPr>
                <w:rFonts w:ascii="宋体" w:hAnsi="宋体" w:cs="Times New Roman"/>
                <w:bCs/>
                <w:color w:val="auto"/>
                <w:lang w:val="en-US" w:eastAsia="zh-CN"/>
              </w:rPr>
            </w:pPr>
            <w:r>
              <w:rPr>
                <w:rFonts w:ascii="宋体" w:hAnsi="宋体" w:cs="Times New Roman"/>
                <w:bCs/>
                <w:color w:val="auto"/>
                <w:lang w:eastAsia="zh-CN"/>
              </w:rPr>
              <w:t>交易概况</w:t>
            </w:r>
          </w:p>
        </w:tc>
        <w:tc>
          <w:tcPr>
            <w:tcW w:w="8154" w:type="dxa"/>
            <w:gridSpan w:val="2"/>
          </w:tcPr>
          <w:p>
            <w:pPr>
              <w:widowControl w:val="0"/>
              <w:adjustRightInd w:val="0"/>
              <w:snapToGrid w:val="0"/>
              <w:spacing w:after="0"/>
              <w:rPr>
                <w:rFonts w:ascii="宋体" w:hAnsi="宋体" w:cstheme="majorBidi"/>
                <w:bCs/>
                <w:color w:val="auto"/>
              </w:rPr>
            </w:pPr>
            <w:r>
              <w:rPr>
                <w:rFonts w:hint="eastAsia" w:ascii="宋体" w:hAnsi="宋体"/>
                <w:color w:val="auto"/>
              </w:rPr>
              <w:t>杭州杭钢金属材料电子商务有限公司（“电商公司”）与盐城市联鑫钢铁有限公司（“联鑫公司”）拟设立一家合营企业（“合营企业”），合营企业将在中国境内从事开展杭钢“古剑”牌与联鑫“黄海”牌钢材运营的业务（“本次交易”）。本次交易交割后，电商公司将持有合营企业51%的股权，联鑫公司将持有合营企业49%的股权，从而共同控制合营企业。</w:t>
            </w:r>
          </w:p>
        </w:tc>
      </w:tr>
      <w:tr>
        <w:trPr>
          <w:trHeight w:val="942" w:hRule="atLeast"/>
        </w:trPr>
        <w:tc>
          <w:tcPr>
            <w:tcW w:w="1940" w:type="dxa"/>
            <w:vMerge w:val="restart"/>
            <w:shd w:val="clear" w:color="auto" w:fill="D9D9D9"/>
            <w:vAlign w:val="center"/>
          </w:tcPr>
          <w:p>
            <w:pPr>
              <w:pStyle w:val="4"/>
              <w:adjustRightInd w:val="0"/>
              <w:snapToGrid w:val="0"/>
              <w:spacing w:after="0"/>
              <w:rPr>
                <w:rFonts w:ascii="宋体" w:hAnsi="宋体" w:cs="Times New Roman"/>
                <w:bCs/>
                <w:color w:val="auto"/>
                <w:lang w:val="en-US" w:eastAsia="zh-CN"/>
              </w:rPr>
            </w:pPr>
            <w:r>
              <w:rPr>
                <w:rFonts w:ascii="宋体" w:hAnsi="宋体" w:cs="Times New Roman"/>
                <w:bCs/>
                <w:color w:val="auto"/>
                <w:lang w:eastAsia="zh-CN"/>
              </w:rPr>
              <w:t>参与集中的经营者简介</w:t>
            </w:r>
          </w:p>
        </w:tc>
        <w:tc>
          <w:tcPr>
            <w:tcW w:w="1607" w:type="dxa"/>
            <w:vAlign w:val="center"/>
          </w:tcPr>
          <w:p>
            <w:pPr>
              <w:pStyle w:val="4"/>
              <w:adjustRightInd w:val="0"/>
              <w:snapToGrid w:val="0"/>
              <w:spacing w:after="0"/>
              <w:rPr>
                <w:rFonts w:hint="default" w:ascii="宋体" w:hAnsi="宋体" w:cstheme="majorBidi"/>
                <w:bCs/>
                <w:color w:val="auto"/>
                <w:lang w:val="en-US" w:eastAsia="zh-CN"/>
              </w:rPr>
            </w:pPr>
            <w:r>
              <w:rPr>
                <w:rFonts w:ascii="宋体" w:hAnsi="宋体"/>
                <w:color w:val="auto"/>
                <w:lang w:eastAsia="zh-CN"/>
              </w:rPr>
              <w:t>1</w:t>
            </w:r>
            <w:r>
              <w:rPr>
                <w:rFonts w:hint="eastAsia" w:ascii="宋体" w:hAnsi="宋体"/>
                <w:color w:val="auto"/>
                <w:lang w:eastAsia="zh-CN"/>
              </w:rPr>
              <w:t>.</w:t>
            </w:r>
            <w:r>
              <w:rPr>
                <w:rFonts w:hint="eastAsia" w:ascii="宋体" w:hAnsi="宋体"/>
                <w:color w:val="auto"/>
                <w:lang w:val="en-US" w:eastAsia="zh-CN"/>
              </w:rPr>
              <w:t>电商公司</w:t>
            </w:r>
          </w:p>
        </w:tc>
        <w:tc>
          <w:tcPr>
            <w:tcW w:w="6547" w:type="dxa"/>
            <w:vAlign w:val="center"/>
          </w:tcPr>
          <w:p>
            <w:pPr>
              <w:snapToGrid w:val="0"/>
              <w:spacing w:after="0"/>
              <w:rPr>
                <w:rFonts w:ascii="宋体" w:hAnsi="宋体"/>
                <w:color w:val="auto"/>
              </w:rPr>
            </w:pPr>
            <w:r>
              <w:rPr>
                <w:rFonts w:hint="eastAsia" w:ascii="宋体" w:hAnsi="宋体"/>
                <w:color w:val="auto"/>
                <w:lang w:val="en-US" w:eastAsia="zh-CN"/>
              </w:rPr>
              <w:t>电商公司</w:t>
            </w:r>
            <w:r>
              <w:rPr>
                <w:rFonts w:ascii="宋体" w:hAnsi="宋体"/>
                <w:color w:val="auto"/>
              </w:rPr>
              <w:t>于</w:t>
            </w:r>
            <w:r>
              <w:rPr>
                <w:rFonts w:hint="eastAsia" w:ascii="宋体" w:hAnsi="宋体"/>
                <w:color w:val="auto"/>
                <w:lang w:val="en-US" w:eastAsia="zh-CN"/>
              </w:rPr>
              <w:t>2015</w:t>
            </w:r>
            <w:r>
              <w:rPr>
                <w:rFonts w:ascii="宋体" w:hAnsi="宋体"/>
                <w:color w:val="auto"/>
              </w:rPr>
              <w:t>年</w:t>
            </w:r>
            <w:r>
              <w:rPr>
                <w:rFonts w:hint="eastAsia" w:ascii="宋体" w:hAnsi="宋体"/>
                <w:color w:val="auto"/>
                <w:lang w:val="en-US" w:eastAsia="zh-CN"/>
              </w:rPr>
              <w:t>5</w:t>
            </w:r>
            <w:r>
              <w:rPr>
                <w:rFonts w:ascii="宋体" w:hAnsi="宋体"/>
                <w:color w:val="auto"/>
              </w:rPr>
              <w:t>月</w:t>
            </w:r>
            <w:r>
              <w:rPr>
                <w:rFonts w:hint="eastAsia" w:ascii="宋体" w:hAnsi="宋体"/>
                <w:color w:val="auto"/>
                <w:lang w:val="en-US" w:eastAsia="zh-CN"/>
              </w:rPr>
              <w:t>7</w:t>
            </w:r>
            <w:r>
              <w:rPr>
                <w:rFonts w:ascii="宋体" w:hAnsi="宋体"/>
                <w:color w:val="auto"/>
              </w:rPr>
              <w:t>日成立于</w:t>
            </w:r>
            <w:r>
              <w:rPr>
                <w:rFonts w:hint="eastAsia" w:ascii="宋体" w:hAnsi="宋体"/>
                <w:color w:val="auto"/>
                <w:lang w:val="en-US" w:eastAsia="zh-CN"/>
              </w:rPr>
              <w:t>中国浙江省</w:t>
            </w:r>
            <w:r>
              <w:rPr>
                <w:rFonts w:ascii="宋体" w:hAnsi="宋体"/>
                <w:color w:val="auto"/>
              </w:rPr>
              <w:t>，</w:t>
            </w:r>
            <w:r>
              <w:rPr>
                <w:rFonts w:hint="eastAsia" w:ascii="宋体" w:hAnsi="宋体"/>
                <w:color w:val="auto"/>
              </w:rPr>
              <w:t>主要从事0EM模式生产钢材和钢材销售的业务</w:t>
            </w:r>
            <w:r>
              <w:rPr>
                <w:rFonts w:ascii="宋体" w:hAnsi="宋体"/>
                <w:color w:val="auto"/>
              </w:rPr>
              <w:t>。</w:t>
            </w:r>
          </w:p>
          <w:p>
            <w:pPr>
              <w:snapToGrid w:val="0"/>
              <w:spacing w:after="0"/>
              <w:rPr>
                <w:rFonts w:ascii="宋体" w:hAnsi="宋体"/>
                <w:color w:val="auto"/>
              </w:rPr>
            </w:pPr>
            <w:r>
              <w:rPr>
                <w:rFonts w:hint="eastAsia" w:ascii="宋体" w:hAnsi="宋体"/>
                <w:color w:val="auto"/>
                <w:lang w:val="en-US" w:eastAsia="zh-CN"/>
              </w:rPr>
              <w:t>电商公司的</w:t>
            </w:r>
            <w:r>
              <w:rPr>
                <w:rFonts w:ascii="宋体" w:hAnsi="宋体"/>
                <w:color w:val="auto"/>
              </w:rPr>
              <w:t>最终控制人</w:t>
            </w:r>
            <w:r>
              <w:rPr>
                <w:rFonts w:hint="eastAsia" w:ascii="宋体" w:hAnsi="宋体"/>
                <w:color w:val="auto"/>
                <w:lang w:val="en-US" w:eastAsia="zh-CN"/>
              </w:rPr>
              <w:t>为杭州钢铁集团有限公司（“杭钢集团”），主要从事企业管理咨询服务，钢铁、钢材及其延伸产品的制造、加工，建材、五金产品、煤炭、矿产品（不含专控）、金属材料的销售等业务。</w:t>
            </w:r>
          </w:p>
        </w:tc>
      </w:tr>
      <w:tr>
        <w:trPr>
          <w:trHeight w:val="984" w:hRule="atLeast"/>
        </w:trPr>
        <w:tc>
          <w:tcPr>
            <w:tcW w:w="1940" w:type="dxa"/>
            <w:vMerge w:val="continue"/>
            <w:shd w:val="clear" w:color="auto" w:fill="D9D9D9"/>
            <w:vAlign w:val="center"/>
          </w:tcPr>
          <w:p>
            <w:pPr>
              <w:pStyle w:val="4"/>
              <w:adjustRightInd w:val="0"/>
              <w:snapToGrid w:val="0"/>
              <w:spacing w:after="0"/>
              <w:rPr>
                <w:rFonts w:ascii="宋体" w:hAnsi="宋体" w:cs="Times New Roman"/>
                <w:bCs/>
                <w:color w:val="auto"/>
                <w:lang w:val="en-US" w:eastAsia="zh-CN"/>
              </w:rPr>
            </w:pPr>
          </w:p>
        </w:tc>
        <w:tc>
          <w:tcPr>
            <w:tcW w:w="1607" w:type="dxa"/>
            <w:vAlign w:val="center"/>
          </w:tcPr>
          <w:p>
            <w:pPr>
              <w:pStyle w:val="4"/>
              <w:adjustRightInd w:val="0"/>
              <w:snapToGrid w:val="0"/>
              <w:spacing w:after="0"/>
              <w:rPr>
                <w:rFonts w:hint="default" w:ascii="宋体" w:hAnsi="宋体" w:cstheme="majorBidi"/>
                <w:bCs/>
                <w:color w:val="auto"/>
                <w:lang w:val="en-US" w:eastAsia="zh-CN"/>
              </w:rPr>
            </w:pPr>
            <w:r>
              <w:rPr>
                <w:rFonts w:ascii="宋体" w:hAnsi="宋体"/>
                <w:color w:val="auto"/>
              </w:rPr>
              <w:t>2</w:t>
            </w:r>
            <w:r>
              <w:rPr>
                <w:rFonts w:hint="eastAsia" w:ascii="宋体" w:hAnsi="宋体"/>
                <w:color w:val="auto"/>
                <w:lang w:eastAsia="zh-CN"/>
              </w:rPr>
              <w:t>.</w:t>
            </w:r>
            <w:r>
              <w:rPr>
                <w:rFonts w:hint="eastAsia" w:ascii="宋体" w:hAnsi="宋体"/>
                <w:color w:val="auto"/>
                <w:lang w:val="en-US" w:eastAsia="zh-CN"/>
              </w:rPr>
              <w:t>联鑫公司</w:t>
            </w:r>
          </w:p>
        </w:tc>
        <w:tc>
          <w:tcPr>
            <w:tcW w:w="6547" w:type="dxa"/>
          </w:tcPr>
          <w:p>
            <w:pPr>
              <w:snapToGrid w:val="0"/>
              <w:spacing w:after="0"/>
              <w:rPr>
                <w:rFonts w:ascii="宋体" w:hAnsi="宋体"/>
                <w:color w:val="auto"/>
              </w:rPr>
            </w:pPr>
            <w:r>
              <w:rPr>
                <w:rFonts w:hint="eastAsia" w:ascii="宋体" w:hAnsi="宋体"/>
                <w:color w:val="auto"/>
                <w:lang w:val="en-US" w:eastAsia="zh-CN"/>
              </w:rPr>
              <w:t>联鑫公司</w:t>
            </w:r>
            <w:r>
              <w:rPr>
                <w:rFonts w:hint="eastAsia" w:ascii="宋体" w:hAnsi="宋体"/>
                <w:color w:val="auto"/>
              </w:rPr>
              <w:t>于</w:t>
            </w:r>
            <w:r>
              <w:rPr>
                <w:rFonts w:hint="eastAsia" w:ascii="宋体" w:hAnsi="宋体"/>
                <w:color w:val="auto"/>
                <w:lang w:val="en-US" w:eastAsia="zh-CN"/>
              </w:rPr>
              <w:t>2000年6月13日</w:t>
            </w:r>
            <w:r>
              <w:rPr>
                <w:rFonts w:hint="eastAsia" w:ascii="宋体" w:hAnsi="宋体"/>
                <w:color w:val="auto"/>
              </w:rPr>
              <w:t>年成立于</w:t>
            </w:r>
            <w:r>
              <w:rPr>
                <w:rFonts w:hint="eastAsia" w:ascii="宋体" w:hAnsi="宋体"/>
                <w:color w:val="auto"/>
                <w:lang w:val="en-US" w:eastAsia="zh-CN"/>
              </w:rPr>
              <w:t>中国江苏省</w:t>
            </w:r>
            <w:r>
              <w:rPr>
                <w:rFonts w:hint="eastAsia" w:ascii="宋体" w:hAnsi="宋体"/>
                <w:color w:val="auto"/>
              </w:rPr>
              <w:t>，</w:t>
            </w:r>
            <w:r>
              <w:rPr>
                <w:rFonts w:hint="eastAsia" w:ascii="宋体" w:hAnsi="宋体"/>
                <w:color w:val="auto"/>
                <w:lang w:val="en-US" w:eastAsia="zh-CN"/>
              </w:rPr>
              <w:t>主要从事钢、铁冶炼，钢压延加工，生产性废旧金属回收，煤炭及制品、石灰和石膏制造、建筑用钢筋产品、金属材料的销售，普通货物仓储服务,技术咨询、开发与服务等业务</w:t>
            </w:r>
            <w:r>
              <w:rPr>
                <w:rFonts w:hint="eastAsia" w:ascii="宋体" w:hAnsi="宋体"/>
                <w:color w:val="auto"/>
              </w:rPr>
              <w:t>。</w:t>
            </w:r>
          </w:p>
          <w:p>
            <w:pPr>
              <w:snapToGrid w:val="0"/>
              <w:spacing w:after="0"/>
              <w:rPr>
                <w:rFonts w:ascii="宋体" w:hAnsi="宋体"/>
                <w:color w:val="auto"/>
              </w:rPr>
            </w:pPr>
            <w:r>
              <w:rPr>
                <w:rFonts w:hint="eastAsia" w:ascii="宋体" w:hAnsi="宋体"/>
                <w:color w:val="auto"/>
                <w:lang w:val="en-US" w:eastAsia="zh-CN"/>
              </w:rPr>
              <w:t>联鑫公司</w:t>
            </w:r>
            <w:r>
              <w:rPr>
                <w:rFonts w:hint="eastAsia" w:ascii="宋体" w:hAnsi="宋体"/>
                <w:color w:val="auto"/>
              </w:rPr>
              <w:t>的最终控制人为</w:t>
            </w:r>
            <w:r>
              <w:rPr>
                <w:rFonts w:hint="eastAsia" w:ascii="宋体" w:hAnsi="宋体"/>
                <w:color w:val="auto"/>
                <w:lang w:val="en-US" w:eastAsia="zh-CN"/>
              </w:rPr>
              <w:t>谢锦官</w:t>
            </w:r>
            <w:r>
              <w:rPr>
                <w:rFonts w:hint="eastAsia" w:ascii="宋体" w:hAnsi="宋体"/>
                <w:color w:val="auto"/>
              </w:rPr>
              <w:t>，通过其直接或间接控制的经营者</w:t>
            </w:r>
            <w:r>
              <w:rPr>
                <w:rFonts w:hint="eastAsia" w:ascii="宋体" w:hAnsi="宋体"/>
                <w:color w:val="auto"/>
                <w:lang w:eastAsia="zh-CN"/>
              </w:rPr>
              <w:t>，</w:t>
            </w:r>
            <w:r>
              <w:rPr>
                <w:rFonts w:hint="eastAsia" w:ascii="宋体" w:hAnsi="宋体"/>
                <w:color w:val="auto"/>
              </w:rPr>
              <w:t>主要</w:t>
            </w:r>
            <w:r>
              <w:rPr>
                <w:rFonts w:hint="eastAsia" w:ascii="宋体" w:hAnsi="宋体"/>
                <w:color w:val="auto"/>
                <w:lang w:val="en-US" w:eastAsia="zh-CN"/>
              </w:rPr>
              <w:t>从事</w:t>
            </w:r>
            <w:r>
              <w:rPr>
                <w:rFonts w:hint="eastAsia" w:ascii="宋体" w:hAnsi="宋体"/>
                <w:color w:val="auto"/>
              </w:rPr>
              <w:t>实业投资，钢、铁冶炼与钢压延加工，生产性废旧金属回收，煤炭及制品、石灰和石膏制造、建筑用钢筋产品、金属材料的销售，控股公司服务、供应链管理服务、股权投资；金属制品、不锈钢、钢材、铸造件的制造与加工，金属材料、炉料的批发与零售，普通货物仓储与租赁服务；技术咨询、开发与服务，以及煤炭的批发与零售等业务。</w:t>
            </w:r>
          </w:p>
        </w:tc>
      </w:tr>
      <w:tr>
        <w:trPr>
          <w:trHeight w:val="279" w:hRule="atLeast"/>
        </w:trPr>
        <w:tc>
          <w:tcPr>
            <w:tcW w:w="1940" w:type="dxa"/>
            <w:vMerge w:val="restart"/>
            <w:shd w:val="clear" w:color="auto" w:fill="D9D9D9"/>
            <w:vAlign w:val="center"/>
          </w:tcPr>
          <w:p>
            <w:pPr>
              <w:pStyle w:val="4"/>
              <w:adjustRightInd w:val="0"/>
              <w:snapToGrid w:val="0"/>
              <w:spacing w:after="0"/>
              <w:rPr>
                <w:rFonts w:ascii="宋体" w:hAnsi="宋体" w:cs="Times New Roman"/>
                <w:bCs/>
                <w:color w:val="auto"/>
                <w:lang w:val="en-US" w:eastAsia="zh-CN"/>
              </w:rPr>
            </w:pPr>
            <w:r>
              <w:rPr>
                <w:rFonts w:ascii="宋体" w:hAnsi="宋体" w:cs="Times New Roman"/>
                <w:bCs/>
                <w:color w:val="auto"/>
                <w:lang w:eastAsia="zh-CN"/>
              </w:rPr>
              <w:t>简易案件理由</w:t>
            </w:r>
          </w:p>
        </w:tc>
        <w:tc>
          <w:tcPr>
            <w:tcW w:w="8154" w:type="dxa"/>
            <w:gridSpan w:val="2"/>
            <w:vAlign w:val="center"/>
          </w:tcPr>
          <w:p>
            <w:pPr>
              <w:pStyle w:val="4"/>
              <w:adjustRightInd w:val="0"/>
              <w:snapToGrid w:val="0"/>
              <w:spacing w:after="0"/>
              <w:rPr>
                <w:rFonts w:ascii="宋体" w:hAnsi="宋体" w:cstheme="majorBidi"/>
                <w:bCs/>
                <w:color w:val="auto"/>
                <w:lang w:val="en-US" w:eastAsia="zh-CN"/>
              </w:rPr>
            </w:pPr>
            <w:r>
              <w:rPr>
                <w:rFonts w:ascii="宋体" w:hAnsi="宋体" w:cstheme="majorBidi"/>
                <w:bCs/>
                <w:color w:val="auto"/>
                <w:lang w:eastAsia="zh-CN"/>
              </w:rPr>
              <w:sym w:font="Wingdings" w:char="00FE"/>
            </w:r>
            <w:r>
              <w:rPr>
                <w:rFonts w:ascii="宋体" w:hAnsi="宋体" w:cstheme="majorBidi"/>
                <w:bCs/>
                <w:color w:val="auto"/>
                <w:lang w:eastAsia="zh-CN"/>
              </w:rPr>
              <w:t xml:space="preserve"> 1、在同一相关市场，所有参与集中的经营者所占市场份额之和小于15%。</w:t>
            </w:r>
          </w:p>
        </w:tc>
      </w:tr>
      <w:tr>
        <w:trPr>
          <w:trHeight w:val="330" w:hRule="atLeast"/>
        </w:trPr>
        <w:tc>
          <w:tcPr>
            <w:tcW w:w="1940" w:type="dxa"/>
            <w:vMerge w:val="continue"/>
            <w:shd w:val="clear" w:color="auto" w:fill="D9D9D9"/>
            <w:vAlign w:val="center"/>
          </w:tcPr>
          <w:p>
            <w:pPr>
              <w:pStyle w:val="4"/>
              <w:adjustRightInd w:val="0"/>
              <w:snapToGrid w:val="0"/>
              <w:spacing w:after="0"/>
              <w:rPr>
                <w:rFonts w:ascii="宋体" w:hAnsi="宋体" w:cs="Times New Roman"/>
                <w:bCs/>
                <w:color w:val="auto"/>
                <w:lang w:val="en-US" w:eastAsia="zh-CN"/>
              </w:rPr>
            </w:pPr>
          </w:p>
        </w:tc>
        <w:tc>
          <w:tcPr>
            <w:tcW w:w="8154" w:type="dxa"/>
            <w:gridSpan w:val="2"/>
            <w:vAlign w:val="center"/>
          </w:tcPr>
          <w:p>
            <w:pPr>
              <w:pStyle w:val="4"/>
              <w:adjustRightInd w:val="0"/>
              <w:snapToGrid w:val="0"/>
              <w:spacing w:after="0"/>
              <w:rPr>
                <w:rFonts w:ascii="宋体" w:hAnsi="宋体" w:cstheme="majorBidi"/>
                <w:bCs/>
                <w:color w:val="auto"/>
                <w:lang w:val="en-US" w:eastAsia="zh-CN"/>
              </w:rPr>
            </w:pPr>
            <w:r>
              <w:rPr>
                <w:rFonts w:ascii="宋体" w:hAnsi="宋体" w:cstheme="majorBidi"/>
                <w:bCs/>
                <w:color w:val="auto"/>
                <w:lang w:eastAsia="zh-CN"/>
              </w:rPr>
              <w:sym w:font="Wingdings" w:char="00FE"/>
            </w:r>
            <w:r>
              <w:rPr>
                <w:rFonts w:ascii="宋体" w:hAnsi="宋体" w:cstheme="majorBidi"/>
                <w:bCs/>
                <w:color w:val="auto"/>
                <w:lang w:eastAsia="zh-CN"/>
              </w:rPr>
              <w:t xml:space="preserve"> 2、存在上下游关系的参与集中的经营者，在上下游市场所占的市场份额均小于25%。</w:t>
            </w:r>
          </w:p>
        </w:tc>
      </w:tr>
      <w:tr>
        <w:trPr>
          <w:trHeight w:val="285" w:hRule="atLeast"/>
        </w:trPr>
        <w:tc>
          <w:tcPr>
            <w:tcW w:w="1940" w:type="dxa"/>
            <w:vMerge w:val="continue"/>
            <w:shd w:val="clear" w:color="auto" w:fill="D9D9D9"/>
            <w:vAlign w:val="center"/>
          </w:tcPr>
          <w:p>
            <w:pPr>
              <w:pStyle w:val="4"/>
              <w:adjustRightInd w:val="0"/>
              <w:snapToGrid w:val="0"/>
              <w:spacing w:after="0"/>
              <w:rPr>
                <w:rFonts w:ascii="宋体" w:hAnsi="宋体" w:cs="Times New Roman"/>
                <w:bCs/>
                <w:color w:val="auto"/>
                <w:lang w:val="en-US" w:eastAsia="zh-CN"/>
              </w:rPr>
            </w:pPr>
          </w:p>
        </w:tc>
        <w:tc>
          <w:tcPr>
            <w:tcW w:w="8154" w:type="dxa"/>
            <w:gridSpan w:val="2"/>
            <w:vAlign w:val="center"/>
          </w:tcPr>
          <w:p>
            <w:pPr>
              <w:pStyle w:val="4"/>
              <w:adjustRightInd w:val="0"/>
              <w:snapToGrid w:val="0"/>
              <w:spacing w:after="0"/>
              <w:rPr>
                <w:rFonts w:ascii="宋体" w:hAnsi="宋体" w:cstheme="majorBidi"/>
                <w:bCs/>
                <w:color w:val="auto"/>
                <w:lang w:val="en-US" w:eastAsia="zh-CN"/>
              </w:rPr>
            </w:pPr>
            <w:r>
              <w:rPr>
                <w:rFonts w:ascii="宋体" w:hAnsi="宋体" w:cstheme="majorBidi"/>
                <w:bCs/>
                <w:color w:val="auto"/>
                <w:lang w:eastAsia="zh-CN"/>
              </w:rPr>
              <w:sym w:font="Wingdings" w:char="00A8"/>
            </w:r>
            <w:r>
              <w:rPr>
                <w:rFonts w:ascii="宋体" w:hAnsi="宋体" w:cstheme="majorBidi"/>
                <w:bCs/>
                <w:color w:val="auto"/>
                <w:lang w:eastAsia="zh-CN"/>
              </w:rPr>
              <w:t xml:space="preserve"> 3、不在同一相关市场、也不存在上下游关系的参与集中的经营者，在与交易有关的每个市场所占的份额均小于25%。</w:t>
            </w:r>
          </w:p>
        </w:tc>
      </w:tr>
      <w:tr>
        <w:trPr>
          <w:trHeight w:val="870" w:hRule="atLeast"/>
        </w:trPr>
        <w:tc>
          <w:tcPr>
            <w:tcW w:w="1940" w:type="dxa"/>
            <w:vMerge w:val="continue"/>
            <w:shd w:val="clear" w:color="auto" w:fill="D9D9D9"/>
            <w:vAlign w:val="center"/>
          </w:tcPr>
          <w:p>
            <w:pPr>
              <w:pStyle w:val="4"/>
              <w:adjustRightInd w:val="0"/>
              <w:snapToGrid w:val="0"/>
              <w:spacing w:after="0"/>
              <w:rPr>
                <w:rFonts w:ascii="宋体" w:hAnsi="宋体" w:cs="Times New Roman"/>
                <w:bCs/>
                <w:color w:val="auto"/>
                <w:lang w:val="en-US" w:eastAsia="zh-CN"/>
              </w:rPr>
            </w:pPr>
          </w:p>
        </w:tc>
        <w:tc>
          <w:tcPr>
            <w:tcW w:w="8154" w:type="dxa"/>
            <w:gridSpan w:val="2"/>
            <w:vAlign w:val="center"/>
          </w:tcPr>
          <w:p>
            <w:pPr>
              <w:pStyle w:val="4"/>
              <w:adjustRightInd w:val="0"/>
              <w:snapToGrid w:val="0"/>
              <w:spacing w:after="0"/>
              <w:rPr>
                <w:rFonts w:ascii="宋体" w:hAnsi="宋体" w:cstheme="majorBidi"/>
                <w:bCs/>
                <w:color w:val="auto"/>
                <w:lang w:val="en-US" w:eastAsia="zh-CN"/>
              </w:rPr>
            </w:pPr>
            <w:r>
              <w:rPr>
                <w:rFonts w:ascii="宋体" w:hAnsi="宋体" w:cstheme="majorBidi"/>
                <w:bCs/>
                <w:color w:val="auto"/>
                <w:lang w:eastAsia="zh-CN"/>
              </w:rPr>
              <w:sym w:font="Wingdings" w:char="00A8"/>
            </w:r>
            <w:r>
              <w:rPr>
                <w:rFonts w:ascii="宋体" w:hAnsi="宋体" w:cstheme="majorBidi"/>
                <w:bCs/>
                <w:color w:val="auto"/>
                <w:lang w:eastAsia="zh-CN"/>
              </w:rPr>
              <w:t xml:space="preserve"> 4、参与集中的经营者在中国境外设立合营企业，合营企业不在中国境内从事经济活动。</w:t>
            </w:r>
          </w:p>
        </w:tc>
      </w:tr>
      <w:tr>
        <w:trPr>
          <w:trHeight w:val="264" w:hRule="atLeast"/>
        </w:trPr>
        <w:tc>
          <w:tcPr>
            <w:tcW w:w="1940" w:type="dxa"/>
            <w:vMerge w:val="continue"/>
            <w:shd w:val="clear" w:color="auto" w:fill="D9D9D9"/>
            <w:vAlign w:val="center"/>
          </w:tcPr>
          <w:p>
            <w:pPr>
              <w:pStyle w:val="4"/>
              <w:adjustRightInd w:val="0"/>
              <w:snapToGrid w:val="0"/>
              <w:spacing w:after="0"/>
              <w:rPr>
                <w:rFonts w:ascii="宋体" w:hAnsi="宋体" w:cs="Times New Roman"/>
                <w:bCs/>
                <w:color w:val="auto"/>
                <w:lang w:val="en-US" w:eastAsia="zh-CN"/>
              </w:rPr>
            </w:pPr>
          </w:p>
        </w:tc>
        <w:tc>
          <w:tcPr>
            <w:tcW w:w="8154" w:type="dxa"/>
            <w:gridSpan w:val="2"/>
            <w:vAlign w:val="center"/>
          </w:tcPr>
          <w:p>
            <w:pPr>
              <w:pStyle w:val="4"/>
              <w:adjustRightInd w:val="0"/>
              <w:snapToGrid w:val="0"/>
              <w:spacing w:after="0"/>
              <w:rPr>
                <w:rFonts w:ascii="宋体" w:hAnsi="宋体" w:cstheme="majorBidi"/>
                <w:bCs/>
                <w:color w:val="auto"/>
                <w:lang w:val="en-US" w:eastAsia="zh-CN"/>
              </w:rPr>
            </w:pPr>
            <w:r>
              <w:rPr>
                <w:rFonts w:ascii="宋体" w:hAnsi="宋体" w:cstheme="majorBidi"/>
                <w:bCs/>
                <w:color w:val="auto"/>
                <w:lang w:eastAsia="zh-CN"/>
              </w:rPr>
              <w:sym w:font="Wingdings" w:char="00A8"/>
            </w:r>
            <w:r>
              <w:rPr>
                <w:rFonts w:ascii="宋体" w:hAnsi="宋体" w:cstheme="majorBidi"/>
                <w:bCs/>
                <w:color w:val="auto"/>
                <w:lang w:eastAsia="zh-CN"/>
              </w:rPr>
              <w:t xml:space="preserve"> 5、参与集中的经营者收购境外企业股权或资产的，该境外企业不在中国境内从事经济活动。</w:t>
            </w:r>
          </w:p>
        </w:tc>
      </w:tr>
      <w:tr>
        <w:trPr>
          <w:trHeight w:val="345" w:hRule="atLeast"/>
        </w:trPr>
        <w:tc>
          <w:tcPr>
            <w:tcW w:w="1940" w:type="dxa"/>
            <w:vMerge w:val="continue"/>
            <w:shd w:val="clear" w:color="auto" w:fill="D9D9D9"/>
            <w:vAlign w:val="center"/>
          </w:tcPr>
          <w:p>
            <w:pPr>
              <w:pStyle w:val="4"/>
              <w:adjustRightInd w:val="0"/>
              <w:snapToGrid w:val="0"/>
              <w:spacing w:after="0"/>
              <w:rPr>
                <w:rFonts w:ascii="宋体" w:hAnsi="宋体" w:cs="Times New Roman"/>
                <w:bCs/>
                <w:color w:val="auto"/>
                <w:lang w:val="en-US" w:eastAsia="zh-CN"/>
              </w:rPr>
            </w:pPr>
          </w:p>
        </w:tc>
        <w:tc>
          <w:tcPr>
            <w:tcW w:w="8154" w:type="dxa"/>
            <w:gridSpan w:val="2"/>
            <w:vAlign w:val="center"/>
          </w:tcPr>
          <w:p>
            <w:pPr>
              <w:pStyle w:val="4"/>
              <w:adjustRightInd w:val="0"/>
              <w:snapToGrid w:val="0"/>
              <w:spacing w:after="0"/>
              <w:rPr>
                <w:rFonts w:ascii="宋体" w:hAnsi="宋体" w:cstheme="majorBidi"/>
                <w:bCs/>
                <w:color w:val="auto"/>
                <w:lang w:val="en-US" w:eastAsia="zh-CN"/>
              </w:rPr>
            </w:pPr>
            <w:r>
              <w:rPr>
                <w:rFonts w:ascii="宋体" w:hAnsi="宋体" w:cstheme="majorBidi"/>
                <w:bCs/>
                <w:color w:val="auto"/>
                <w:lang w:eastAsia="zh-CN"/>
              </w:rPr>
              <w:sym w:font="Wingdings" w:char="00A8"/>
            </w:r>
            <w:r>
              <w:rPr>
                <w:rFonts w:ascii="宋体" w:hAnsi="宋体" w:cstheme="majorBidi"/>
                <w:bCs/>
                <w:color w:val="auto"/>
                <w:lang w:eastAsia="zh-CN"/>
              </w:rPr>
              <w:t xml:space="preserve"> 6、由两个以上的经营者共同控制的合营企业，通过集中被其中一个或一个以上经营者控制。</w:t>
            </w:r>
          </w:p>
        </w:tc>
      </w:tr>
      <w:tr>
        <w:trPr>
          <w:trHeight w:val="1250" w:hRule="atLeast"/>
        </w:trPr>
        <w:tc>
          <w:tcPr>
            <w:tcW w:w="1940" w:type="dxa"/>
            <w:shd w:val="clear" w:color="auto" w:fill="D9D9D9"/>
            <w:vAlign w:val="center"/>
          </w:tcPr>
          <w:p>
            <w:pPr>
              <w:pStyle w:val="4"/>
              <w:adjustRightInd w:val="0"/>
              <w:snapToGrid w:val="0"/>
              <w:spacing w:after="0"/>
              <w:rPr>
                <w:rFonts w:ascii="宋体" w:hAnsi="宋体" w:cs="Times New Roman"/>
                <w:bCs/>
                <w:color w:val="auto"/>
                <w:lang w:val="en-US" w:eastAsia="zh-CN"/>
              </w:rPr>
            </w:pPr>
            <w:r>
              <w:rPr>
                <w:rFonts w:ascii="宋体" w:hAnsi="宋体" w:cs="Times New Roman"/>
                <w:bCs/>
                <w:color w:val="auto"/>
                <w:lang w:val="en-US" w:eastAsia="zh-CN"/>
              </w:rPr>
              <w:t>备注</w:t>
            </w:r>
          </w:p>
        </w:tc>
        <w:tc>
          <w:tcPr>
            <w:tcW w:w="8154" w:type="dxa"/>
            <w:gridSpan w:val="2"/>
            <w:vAlign w:val="center"/>
          </w:tcPr>
          <w:p>
            <w:pPr>
              <w:widowControl/>
              <w:adjustRightInd w:val="0"/>
              <w:snapToGrid w:val="0"/>
              <w:spacing w:after="0"/>
              <w:rPr>
                <w:rFonts w:hint="eastAsia" w:ascii="宋体" w:hAnsi="宋体" w:eastAsia="宋体" w:cs="宋体"/>
                <w:b/>
                <w:color w:val="000000"/>
                <w:kern w:val="0"/>
                <w:sz w:val="24"/>
                <w:szCs w:val="24"/>
                <w:lang w:val="en-GB" w:bidi="ar-AE"/>
              </w:rPr>
            </w:pPr>
            <w:r>
              <w:rPr>
                <w:rFonts w:hint="eastAsia" w:ascii="宋体" w:hAnsi="宋体" w:eastAsia="宋体" w:cs="宋体"/>
                <w:b/>
                <w:color w:val="000000"/>
                <w:kern w:val="0"/>
                <w:sz w:val="24"/>
                <w:szCs w:val="24"/>
                <w:lang w:val="en-GB" w:bidi="ar-AE"/>
              </w:rPr>
              <w:t>横向重叠：</w:t>
            </w:r>
          </w:p>
          <w:p>
            <w:pPr>
              <w:widowControl/>
              <w:adjustRightInd w:val="0"/>
              <w:snapToGrid w:val="0"/>
              <w:spacing w:after="0"/>
              <w:rPr>
                <w:rFonts w:hint="eastAsia" w:ascii="宋体" w:hAnsi="宋体" w:eastAsia="宋体" w:cs="宋体"/>
                <w:b w:val="0"/>
                <w:bCs/>
                <w:color w:val="000000"/>
                <w:kern w:val="0"/>
                <w:sz w:val="24"/>
                <w:szCs w:val="24"/>
                <w:lang w:val="en-GB" w:bidi="ar-AE"/>
              </w:rPr>
            </w:pPr>
            <w:r>
              <w:rPr>
                <w:rFonts w:hint="eastAsia" w:ascii="宋体" w:hAnsi="宋体" w:cs="宋体"/>
                <w:b w:val="0"/>
                <w:bCs/>
                <w:color w:val="000000"/>
                <w:kern w:val="0"/>
                <w:sz w:val="24"/>
                <w:szCs w:val="24"/>
                <w:lang w:val="en-US" w:eastAsia="zh-CN" w:bidi="ar-AE"/>
              </w:rPr>
              <w:t>2</w:t>
            </w:r>
            <w:r>
              <w:rPr>
                <w:rFonts w:hint="eastAsia" w:ascii="宋体" w:hAnsi="宋体" w:eastAsia="宋体" w:cs="宋体"/>
                <w:b w:val="0"/>
                <w:bCs/>
                <w:color w:val="000000"/>
                <w:kern w:val="0"/>
                <w:sz w:val="24"/>
                <w:szCs w:val="24"/>
                <w:lang w:val="en-GB" w:bidi="ar-AE"/>
              </w:rPr>
              <w:t>02</w:t>
            </w:r>
            <w:r>
              <w:rPr>
                <w:rFonts w:hint="eastAsia" w:ascii="宋体" w:hAnsi="宋体" w:eastAsia="宋体" w:cs="宋体"/>
                <w:b w:val="0"/>
                <w:bCs/>
                <w:color w:val="000000"/>
                <w:kern w:val="0"/>
                <w:sz w:val="24"/>
                <w:szCs w:val="24"/>
                <w:lang w:val="en-US" w:eastAsia="zh-CN" w:bidi="ar-AE"/>
              </w:rPr>
              <w:t>3</w:t>
            </w:r>
            <w:r>
              <w:rPr>
                <w:rFonts w:hint="eastAsia" w:ascii="宋体" w:hAnsi="宋体" w:eastAsia="宋体" w:cs="宋体"/>
                <w:b w:val="0"/>
                <w:bCs/>
                <w:color w:val="000000"/>
                <w:kern w:val="0"/>
                <w:sz w:val="24"/>
                <w:szCs w:val="24"/>
                <w:lang w:val="en-GB" w:bidi="ar-AE"/>
              </w:rPr>
              <w:t>年中国境内</w:t>
            </w:r>
            <w:r>
              <w:rPr>
                <w:rFonts w:hint="eastAsia" w:ascii="宋体" w:hAnsi="宋体" w:eastAsia="宋体" w:cs="宋体"/>
                <w:b w:val="0"/>
                <w:bCs/>
                <w:color w:val="000000"/>
                <w:kern w:val="0"/>
                <w:sz w:val="24"/>
                <w:szCs w:val="24"/>
                <w:lang w:val="en-US" w:eastAsia="zh-CN" w:bidi="ar-AE"/>
              </w:rPr>
              <w:t>钢筋</w:t>
            </w:r>
            <w:r>
              <w:rPr>
                <w:rFonts w:hint="eastAsia" w:ascii="宋体" w:hAnsi="宋体" w:eastAsia="宋体" w:cs="宋体"/>
                <w:b w:val="0"/>
                <w:bCs/>
                <w:color w:val="000000"/>
                <w:kern w:val="0"/>
                <w:sz w:val="24"/>
                <w:szCs w:val="24"/>
                <w:lang w:val="en-GB" w:bidi="ar-AE"/>
              </w:rPr>
              <w:t>市场</w:t>
            </w:r>
          </w:p>
          <w:p>
            <w:pPr>
              <w:widowControl/>
              <w:adjustRightInd w:val="0"/>
              <w:snapToGrid w:val="0"/>
              <w:spacing w:after="0"/>
              <w:rPr>
                <w:rFonts w:hint="eastAsia" w:ascii="宋体" w:hAnsi="宋体" w:eastAsia="宋体" w:cs="宋体"/>
                <w:b w:val="0"/>
                <w:bCs/>
                <w:color w:val="000000"/>
                <w:kern w:val="0"/>
                <w:sz w:val="24"/>
                <w:szCs w:val="24"/>
                <w:lang w:val="en-US" w:eastAsia="zh-CN" w:bidi="ar-AE"/>
              </w:rPr>
            </w:pPr>
            <w:r>
              <w:rPr>
                <w:rFonts w:hint="eastAsia" w:ascii="宋体" w:hAnsi="宋体" w:eastAsia="宋体" w:cs="宋体"/>
                <w:b w:val="0"/>
                <w:bCs/>
                <w:color w:val="000000"/>
                <w:kern w:val="0"/>
                <w:sz w:val="24"/>
                <w:szCs w:val="24"/>
                <w:lang w:val="en-GB" w:bidi="ar-AE"/>
              </w:rPr>
              <w:t>联鑫公司：0-2%</w:t>
            </w:r>
            <w:r>
              <w:rPr>
                <w:rFonts w:hint="eastAsia" w:ascii="宋体" w:hAnsi="宋体" w:eastAsia="宋体" w:cs="宋体"/>
                <w:b w:val="0"/>
                <w:bCs/>
                <w:color w:val="000000"/>
                <w:kern w:val="0"/>
                <w:sz w:val="24"/>
                <w:szCs w:val="24"/>
                <w:lang w:val="en-GB" w:eastAsia="zh-CN" w:bidi="ar-AE"/>
              </w:rPr>
              <w:t>，</w:t>
            </w:r>
            <w:r>
              <w:rPr>
                <w:rFonts w:hint="eastAsia" w:ascii="宋体" w:hAnsi="宋体" w:eastAsia="宋体" w:cs="宋体"/>
                <w:b w:val="0"/>
                <w:bCs/>
                <w:color w:val="000000"/>
                <w:kern w:val="0"/>
                <w:sz w:val="24"/>
                <w:szCs w:val="24"/>
                <w:lang w:val="en-GB" w:bidi="ar-AE"/>
              </w:rPr>
              <w:t>杭钢集团：</w:t>
            </w:r>
            <w:r>
              <w:rPr>
                <w:rFonts w:hint="eastAsia" w:ascii="宋体" w:hAnsi="宋体" w:cs="宋体"/>
                <w:b w:val="0"/>
                <w:bCs/>
                <w:color w:val="000000"/>
                <w:kern w:val="0"/>
                <w:sz w:val="24"/>
                <w:szCs w:val="24"/>
                <w:lang w:val="en-US" w:eastAsia="zh-CN" w:bidi="ar-AE"/>
              </w:rPr>
              <w:t>5-10</w:t>
            </w:r>
            <w:bookmarkStart w:id="0" w:name="_GoBack"/>
            <w:bookmarkEnd w:id="0"/>
            <w:r>
              <w:rPr>
                <w:rFonts w:hint="eastAsia" w:ascii="宋体" w:hAnsi="宋体" w:eastAsia="宋体" w:cs="宋体"/>
                <w:b w:val="0"/>
                <w:bCs/>
                <w:color w:val="000000"/>
                <w:kern w:val="0"/>
                <w:sz w:val="24"/>
                <w:szCs w:val="24"/>
                <w:lang w:val="en-GB" w:bidi="ar-AE"/>
              </w:rPr>
              <w:t>%</w:t>
            </w:r>
            <w:r>
              <w:rPr>
                <w:rFonts w:hint="eastAsia" w:ascii="宋体" w:hAnsi="宋体" w:eastAsia="宋体" w:cs="宋体"/>
                <w:b w:val="0"/>
                <w:bCs/>
                <w:color w:val="000000"/>
                <w:kern w:val="0"/>
                <w:sz w:val="24"/>
                <w:szCs w:val="24"/>
                <w:lang w:val="en-GB" w:eastAsia="zh-CN" w:bidi="ar-AE"/>
              </w:rPr>
              <w:t>，</w:t>
            </w:r>
            <w:r>
              <w:rPr>
                <w:rFonts w:hint="eastAsia" w:ascii="宋体" w:hAnsi="宋体" w:eastAsia="宋体" w:cs="宋体"/>
                <w:b w:val="0"/>
                <w:bCs/>
                <w:color w:val="000000"/>
                <w:kern w:val="0"/>
                <w:sz w:val="24"/>
                <w:szCs w:val="24"/>
                <w:lang w:val="en-GB" w:bidi="ar-AE"/>
              </w:rPr>
              <w:t>各方合计：5-10%</w:t>
            </w:r>
          </w:p>
          <w:p>
            <w:pPr>
              <w:pStyle w:val="4"/>
              <w:widowControl/>
              <w:adjustRightInd w:val="0"/>
              <w:snapToGrid w:val="0"/>
              <w:spacing w:after="0"/>
              <w:rPr>
                <w:rFonts w:hint="eastAsia" w:ascii="宋体" w:hAnsi="宋体" w:cstheme="majorBidi"/>
                <w:b/>
                <w:bCs w:val="0"/>
                <w:color w:val="auto"/>
                <w:kern w:val="0"/>
                <w:sz w:val="24"/>
                <w:lang w:val="en-US" w:eastAsia="zh-CN" w:bidi="ar-AE"/>
              </w:rPr>
            </w:pPr>
            <w:r>
              <w:rPr>
                <w:rFonts w:hint="eastAsia" w:ascii="宋体" w:hAnsi="宋体" w:cstheme="majorBidi"/>
                <w:b/>
                <w:bCs w:val="0"/>
                <w:color w:val="auto"/>
                <w:kern w:val="0"/>
                <w:sz w:val="24"/>
                <w:lang w:val="en-US" w:eastAsia="zh-CN" w:bidi="ar-AE"/>
              </w:rPr>
              <w:t>纵向关联：</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6"/>
              <w:gridCol w:w="1896"/>
              <w:gridCol w:w="3096"/>
            </w:tblGrid>
            <w:tr>
              <w:tc>
                <w:tcPr>
                  <w:tcW w:w="2136" w:type="dxa"/>
                  <w:noWrap w:val="0"/>
                  <w:vAlign w:val="center"/>
                </w:tcPr>
                <w:p>
                  <w:pPr>
                    <w:pStyle w:val="4"/>
                    <w:widowControl/>
                    <w:adjustRightInd w:val="0"/>
                    <w:snapToGrid w:val="0"/>
                    <w:spacing w:after="0"/>
                    <w:rPr>
                      <w:rFonts w:hint="eastAsia" w:ascii="宋体" w:hAnsi="宋体" w:cstheme="majorBidi"/>
                      <w:bCs/>
                      <w:color w:val="auto"/>
                      <w:kern w:val="0"/>
                      <w:sz w:val="24"/>
                      <w:lang w:val="en-US" w:eastAsia="zh-CN" w:bidi="ar-AE"/>
                    </w:rPr>
                  </w:pPr>
                  <w:r>
                    <w:rPr>
                      <w:rFonts w:hint="eastAsia" w:ascii="宋体" w:hAnsi="宋体" w:cstheme="majorBidi"/>
                      <w:bCs/>
                      <w:color w:val="auto"/>
                      <w:kern w:val="0"/>
                      <w:sz w:val="24"/>
                      <w:lang w:val="en-US" w:eastAsia="zh-CN" w:bidi="ar-AE"/>
                    </w:rPr>
                    <w:t>相关商品市场</w:t>
                  </w:r>
                </w:p>
              </w:tc>
              <w:tc>
                <w:tcPr>
                  <w:tcW w:w="1896" w:type="dxa"/>
                  <w:noWrap w:val="0"/>
                  <w:vAlign w:val="center"/>
                </w:tcPr>
                <w:p>
                  <w:pPr>
                    <w:pStyle w:val="4"/>
                    <w:widowControl/>
                    <w:adjustRightInd w:val="0"/>
                    <w:snapToGrid w:val="0"/>
                    <w:spacing w:after="0"/>
                    <w:rPr>
                      <w:rFonts w:hint="eastAsia" w:ascii="宋体" w:hAnsi="宋体" w:cstheme="majorBidi"/>
                      <w:bCs/>
                      <w:color w:val="auto"/>
                      <w:kern w:val="0"/>
                      <w:sz w:val="24"/>
                      <w:lang w:val="en-US" w:eastAsia="zh-CN" w:bidi="ar-AE"/>
                    </w:rPr>
                  </w:pPr>
                  <w:r>
                    <w:rPr>
                      <w:rFonts w:hint="eastAsia" w:ascii="宋体" w:hAnsi="宋体" w:cstheme="majorBidi"/>
                      <w:bCs/>
                      <w:color w:val="auto"/>
                      <w:kern w:val="0"/>
                      <w:sz w:val="24"/>
                      <w:lang w:val="en-US" w:eastAsia="zh-CN" w:bidi="ar-AE"/>
                    </w:rPr>
                    <w:t>相关地域市场</w:t>
                  </w:r>
                </w:p>
              </w:tc>
              <w:tc>
                <w:tcPr>
                  <w:tcW w:w="3096" w:type="dxa"/>
                  <w:noWrap w:val="0"/>
                  <w:vAlign w:val="center"/>
                </w:tcPr>
                <w:p>
                  <w:pPr>
                    <w:pStyle w:val="4"/>
                    <w:widowControl/>
                    <w:adjustRightInd w:val="0"/>
                    <w:snapToGrid w:val="0"/>
                    <w:spacing w:after="0"/>
                    <w:rPr>
                      <w:rFonts w:hint="eastAsia" w:ascii="宋体" w:hAnsi="宋体" w:cstheme="majorBidi"/>
                      <w:bCs/>
                      <w:color w:val="auto"/>
                      <w:kern w:val="0"/>
                      <w:sz w:val="24"/>
                      <w:lang w:val="en-US" w:eastAsia="zh-CN" w:bidi="ar-AE"/>
                    </w:rPr>
                  </w:pPr>
                  <w:r>
                    <w:rPr>
                      <w:rFonts w:hint="eastAsia" w:ascii="宋体" w:hAnsi="宋体" w:cstheme="majorBidi"/>
                      <w:bCs/>
                      <w:color w:val="auto"/>
                      <w:kern w:val="0"/>
                      <w:sz w:val="24"/>
                      <w:lang w:val="en-US" w:eastAsia="zh-CN" w:bidi="ar-AE"/>
                    </w:rPr>
                    <w:t>2023年市场份额</w:t>
                  </w:r>
                </w:p>
              </w:tc>
            </w:tr>
            <w:tr>
              <w:tc>
                <w:tcPr>
                  <w:tcW w:w="2136" w:type="dxa"/>
                  <w:noWrap w:val="0"/>
                  <w:vAlign w:val="center"/>
                </w:tcPr>
                <w:p>
                  <w:pPr>
                    <w:pStyle w:val="4"/>
                    <w:widowControl/>
                    <w:adjustRightInd w:val="0"/>
                    <w:snapToGrid w:val="0"/>
                    <w:spacing w:after="0"/>
                    <w:rPr>
                      <w:rFonts w:hint="eastAsia" w:ascii="宋体" w:hAnsi="宋体" w:cstheme="majorBidi"/>
                      <w:bCs/>
                      <w:color w:val="auto"/>
                      <w:kern w:val="0"/>
                      <w:sz w:val="24"/>
                      <w:lang w:val="en-US" w:eastAsia="zh-CN" w:bidi="ar-AE"/>
                    </w:rPr>
                  </w:pPr>
                  <w:r>
                    <w:rPr>
                      <w:rFonts w:hint="eastAsia" w:ascii="宋体" w:hAnsi="宋体" w:cstheme="majorBidi"/>
                      <w:bCs/>
                      <w:color w:val="auto"/>
                      <w:kern w:val="0"/>
                      <w:sz w:val="24"/>
                      <w:lang w:val="en-US" w:eastAsia="zh-CN" w:bidi="ar-AE"/>
                    </w:rPr>
                    <w:t>上游：铁矿石市场</w:t>
                  </w:r>
                </w:p>
                <w:p>
                  <w:pPr>
                    <w:pStyle w:val="4"/>
                    <w:widowControl/>
                    <w:adjustRightInd w:val="0"/>
                    <w:snapToGrid w:val="0"/>
                    <w:spacing w:after="0"/>
                    <w:rPr>
                      <w:rFonts w:hint="eastAsia" w:ascii="宋体" w:hAnsi="宋体" w:cstheme="majorBidi"/>
                      <w:bCs/>
                      <w:color w:val="auto"/>
                      <w:kern w:val="0"/>
                      <w:sz w:val="24"/>
                      <w:lang w:val="en-US" w:eastAsia="zh-CN" w:bidi="ar-AE"/>
                    </w:rPr>
                  </w:pPr>
                  <w:r>
                    <w:rPr>
                      <w:rFonts w:hint="eastAsia" w:ascii="宋体" w:hAnsi="宋体" w:cstheme="majorBidi"/>
                      <w:bCs/>
                      <w:color w:val="auto"/>
                      <w:kern w:val="0"/>
                      <w:sz w:val="24"/>
                      <w:lang w:val="en-US" w:eastAsia="zh-CN" w:bidi="ar-AE"/>
                    </w:rPr>
                    <w:t>下游：钢筋市场</w:t>
                  </w:r>
                </w:p>
              </w:tc>
              <w:tc>
                <w:tcPr>
                  <w:tcW w:w="1896" w:type="dxa"/>
                  <w:noWrap w:val="0"/>
                  <w:vAlign w:val="center"/>
                </w:tcPr>
                <w:p>
                  <w:pPr>
                    <w:pStyle w:val="4"/>
                    <w:widowControl/>
                    <w:adjustRightInd w:val="0"/>
                    <w:snapToGrid w:val="0"/>
                    <w:spacing w:after="0"/>
                    <w:rPr>
                      <w:rFonts w:hint="default" w:ascii="宋体" w:hAnsi="宋体" w:cstheme="majorBidi"/>
                      <w:bCs/>
                      <w:color w:val="auto"/>
                      <w:kern w:val="0"/>
                      <w:sz w:val="24"/>
                      <w:lang w:val="en-US" w:eastAsia="zh-CN" w:bidi="ar-AE"/>
                    </w:rPr>
                  </w:pPr>
                  <w:r>
                    <w:rPr>
                      <w:rFonts w:hint="eastAsia" w:ascii="宋体" w:hAnsi="宋体" w:cstheme="majorBidi"/>
                      <w:bCs/>
                      <w:color w:val="auto"/>
                      <w:kern w:val="0"/>
                      <w:sz w:val="24"/>
                      <w:lang w:val="en-US" w:eastAsia="zh-CN" w:bidi="ar-AE"/>
                    </w:rPr>
                    <w:t>上游：全球</w:t>
                  </w:r>
                </w:p>
                <w:p>
                  <w:pPr>
                    <w:pStyle w:val="4"/>
                    <w:widowControl/>
                    <w:adjustRightInd w:val="0"/>
                    <w:snapToGrid w:val="0"/>
                    <w:spacing w:after="0"/>
                    <w:rPr>
                      <w:rFonts w:hint="eastAsia" w:ascii="宋体" w:hAnsi="宋体" w:cstheme="majorBidi"/>
                      <w:bCs/>
                      <w:color w:val="auto"/>
                      <w:kern w:val="0"/>
                      <w:sz w:val="24"/>
                      <w:lang w:val="en-US" w:eastAsia="zh-CN" w:bidi="ar-AE"/>
                    </w:rPr>
                  </w:pPr>
                  <w:r>
                    <w:rPr>
                      <w:rFonts w:hint="eastAsia" w:ascii="宋体" w:hAnsi="宋体" w:cstheme="majorBidi"/>
                      <w:bCs/>
                      <w:color w:val="auto"/>
                      <w:kern w:val="0"/>
                      <w:sz w:val="24"/>
                      <w:lang w:val="en-US" w:eastAsia="zh-CN" w:bidi="ar-AE"/>
                    </w:rPr>
                    <w:t>下游：中国境内</w:t>
                  </w:r>
                </w:p>
              </w:tc>
              <w:tc>
                <w:tcPr>
                  <w:tcW w:w="3096" w:type="dxa"/>
                  <w:noWrap w:val="0"/>
                  <w:vAlign w:val="center"/>
                </w:tcPr>
                <w:p>
                  <w:pPr>
                    <w:pStyle w:val="4"/>
                    <w:widowControl/>
                    <w:adjustRightInd w:val="0"/>
                    <w:snapToGrid w:val="0"/>
                    <w:spacing w:after="0"/>
                    <w:rPr>
                      <w:rFonts w:hint="default" w:ascii="宋体" w:hAnsi="宋体" w:cstheme="majorBidi"/>
                      <w:bCs/>
                      <w:color w:val="auto"/>
                      <w:kern w:val="0"/>
                      <w:sz w:val="24"/>
                      <w:lang w:val="en-US" w:eastAsia="zh-CN" w:bidi="ar-AE"/>
                    </w:rPr>
                  </w:pPr>
                  <w:r>
                    <w:rPr>
                      <w:rFonts w:hint="eastAsia" w:ascii="宋体" w:hAnsi="宋体" w:cstheme="majorBidi"/>
                      <w:bCs/>
                      <w:color w:val="auto"/>
                      <w:kern w:val="0"/>
                      <w:sz w:val="24"/>
                      <w:lang w:val="en-US" w:eastAsia="zh-CN" w:bidi="ar-AE"/>
                    </w:rPr>
                    <w:t>上游：全球铁矿石市场</w:t>
                  </w:r>
                </w:p>
                <w:p>
                  <w:pPr>
                    <w:pStyle w:val="4"/>
                    <w:widowControl/>
                    <w:adjustRightInd w:val="0"/>
                    <w:snapToGrid w:val="0"/>
                    <w:spacing w:after="0"/>
                    <w:rPr>
                      <w:rFonts w:hint="eastAsia" w:ascii="宋体" w:hAnsi="宋体" w:cstheme="majorBidi"/>
                      <w:bCs/>
                      <w:color w:val="auto"/>
                      <w:kern w:val="0"/>
                      <w:sz w:val="24"/>
                      <w:lang w:val="en-US" w:eastAsia="zh-CN" w:bidi="ar-AE"/>
                    </w:rPr>
                  </w:pPr>
                  <w:r>
                    <w:rPr>
                      <w:rFonts w:hint="eastAsia" w:ascii="宋体" w:hAnsi="宋体" w:cstheme="majorBidi"/>
                      <w:bCs/>
                      <w:color w:val="auto"/>
                      <w:kern w:val="0"/>
                      <w:sz w:val="24"/>
                      <w:lang w:val="en-US" w:eastAsia="zh-CN" w:bidi="ar-AE"/>
                    </w:rPr>
                    <w:t>杭钢集团：0-5%</w:t>
                  </w:r>
                </w:p>
                <w:p>
                  <w:pPr>
                    <w:pStyle w:val="4"/>
                    <w:widowControl/>
                    <w:adjustRightInd w:val="0"/>
                    <w:snapToGrid w:val="0"/>
                    <w:spacing w:after="0"/>
                    <w:rPr>
                      <w:rFonts w:hint="eastAsia" w:ascii="宋体" w:hAnsi="宋体" w:cstheme="majorBidi"/>
                      <w:bCs/>
                      <w:color w:val="auto"/>
                      <w:kern w:val="0"/>
                      <w:sz w:val="24"/>
                      <w:lang w:val="en-US" w:eastAsia="zh-CN" w:bidi="ar-AE"/>
                    </w:rPr>
                  </w:pPr>
                  <w:r>
                    <w:rPr>
                      <w:rFonts w:hint="eastAsia" w:ascii="宋体" w:hAnsi="宋体" w:cstheme="majorBidi"/>
                      <w:bCs/>
                      <w:color w:val="auto"/>
                      <w:kern w:val="0"/>
                      <w:sz w:val="24"/>
                      <w:lang w:val="en-US" w:eastAsia="zh-CN" w:bidi="ar-AE"/>
                    </w:rPr>
                    <w:t>中国境内铁矿石市场</w:t>
                  </w:r>
                </w:p>
                <w:p>
                  <w:pPr>
                    <w:pStyle w:val="4"/>
                    <w:widowControl/>
                    <w:adjustRightInd w:val="0"/>
                    <w:snapToGrid w:val="0"/>
                    <w:spacing w:after="0"/>
                    <w:rPr>
                      <w:rFonts w:hint="default" w:ascii="宋体" w:hAnsi="宋体" w:cstheme="majorBidi"/>
                      <w:bCs/>
                      <w:color w:val="auto"/>
                      <w:kern w:val="0"/>
                      <w:sz w:val="24"/>
                      <w:lang w:val="en-US" w:eastAsia="zh-CN" w:bidi="ar-AE"/>
                    </w:rPr>
                  </w:pPr>
                  <w:r>
                    <w:rPr>
                      <w:rFonts w:hint="eastAsia" w:ascii="宋体" w:hAnsi="宋体" w:cstheme="majorBidi"/>
                      <w:bCs/>
                      <w:color w:val="auto"/>
                      <w:kern w:val="0"/>
                      <w:sz w:val="24"/>
                      <w:lang w:val="en-US" w:eastAsia="zh-CN" w:bidi="ar-AE"/>
                    </w:rPr>
                    <w:t>杭钢集团：5-10%</w:t>
                  </w:r>
                </w:p>
                <w:p>
                  <w:pPr>
                    <w:pStyle w:val="4"/>
                    <w:widowControl/>
                    <w:adjustRightInd w:val="0"/>
                    <w:snapToGrid w:val="0"/>
                    <w:spacing w:after="0"/>
                    <w:rPr>
                      <w:rFonts w:hint="eastAsia" w:ascii="宋体" w:hAnsi="宋体" w:cstheme="majorBidi"/>
                      <w:bCs/>
                      <w:color w:val="auto"/>
                      <w:kern w:val="0"/>
                      <w:sz w:val="24"/>
                      <w:lang w:val="en-US" w:eastAsia="zh-CN" w:bidi="ar-AE"/>
                    </w:rPr>
                  </w:pPr>
                  <w:r>
                    <w:rPr>
                      <w:rFonts w:hint="eastAsia" w:ascii="宋体" w:hAnsi="宋体" w:cstheme="majorBidi"/>
                      <w:bCs/>
                      <w:color w:val="auto"/>
                      <w:kern w:val="0"/>
                      <w:sz w:val="24"/>
                      <w:lang w:val="en-US" w:eastAsia="zh-CN" w:bidi="ar-AE"/>
                    </w:rPr>
                    <w:t>下游：中国境内钢筋市场</w:t>
                  </w:r>
                </w:p>
                <w:p>
                  <w:pPr>
                    <w:pStyle w:val="4"/>
                    <w:widowControl/>
                    <w:adjustRightInd w:val="0"/>
                    <w:snapToGrid w:val="0"/>
                    <w:spacing w:after="0"/>
                    <w:rPr>
                      <w:rFonts w:hint="default" w:ascii="宋体" w:hAnsi="宋体" w:cstheme="majorBidi"/>
                      <w:bCs/>
                      <w:color w:val="auto"/>
                      <w:kern w:val="0"/>
                      <w:sz w:val="24"/>
                      <w:lang w:val="en-US" w:eastAsia="zh-CN" w:bidi="ar-AE"/>
                    </w:rPr>
                  </w:pPr>
                  <w:r>
                    <w:rPr>
                      <w:rFonts w:hint="eastAsia" w:ascii="宋体" w:hAnsi="宋体" w:cstheme="majorBidi"/>
                      <w:bCs/>
                      <w:color w:val="auto"/>
                      <w:kern w:val="0"/>
                      <w:sz w:val="24"/>
                      <w:lang w:val="en-US" w:eastAsia="zh-CN" w:bidi="ar-AE"/>
                    </w:rPr>
                    <w:t>如上所述</w:t>
                  </w:r>
                </w:p>
              </w:tc>
            </w:tr>
            <w:tr>
              <w:tc>
                <w:tcPr>
                  <w:tcW w:w="2136" w:type="dxa"/>
                  <w:noWrap w:val="0"/>
                  <w:vAlign w:val="center"/>
                </w:tcPr>
                <w:p>
                  <w:pPr>
                    <w:pStyle w:val="4"/>
                    <w:widowControl/>
                    <w:adjustRightInd w:val="0"/>
                    <w:snapToGrid w:val="0"/>
                    <w:spacing w:after="0"/>
                    <w:rPr>
                      <w:rFonts w:hint="eastAsia" w:ascii="宋体" w:hAnsi="宋体" w:cstheme="majorBidi"/>
                      <w:bCs/>
                      <w:color w:val="auto"/>
                      <w:kern w:val="0"/>
                      <w:sz w:val="24"/>
                      <w:lang w:val="en-US" w:eastAsia="zh-CN" w:bidi="ar-AE"/>
                    </w:rPr>
                  </w:pPr>
                  <w:r>
                    <w:rPr>
                      <w:rFonts w:hint="eastAsia" w:ascii="宋体" w:hAnsi="宋体" w:cstheme="majorBidi"/>
                      <w:bCs/>
                      <w:color w:val="auto"/>
                      <w:kern w:val="0"/>
                      <w:sz w:val="24"/>
                      <w:lang w:val="en-US" w:eastAsia="zh-CN" w:bidi="ar-AE"/>
                    </w:rPr>
                    <w:t>上游：焦炭市场</w:t>
                  </w:r>
                </w:p>
                <w:p>
                  <w:pPr>
                    <w:pStyle w:val="4"/>
                    <w:widowControl/>
                    <w:adjustRightInd w:val="0"/>
                    <w:snapToGrid w:val="0"/>
                    <w:spacing w:after="0"/>
                    <w:rPr>
                      <w:rFonts w:hint="default" w:ascii="宋体" w:hAnsi="宋体" w:cstheme="majorBidi"/>
                      <w:bCs/>
                      <w:color w:val="auto"/>
                      <w:kern w:val="0"/>
                      <w:sz w:val="24"/>
                      <w:lang w:val="en-US" w:eastAsia="zh-CN" w:bidi="ar-AE"/>
                    </w:rPr>
                  </w:pPr>
                  <w:r>
                    <w:rPr>
                      <w:rFonts w:hint="eastAsia" w:ascii="宋体" w:hAnsi="宋体" w:cstheme="majorBidi"/>
                      <w:bCs/>
                      <w:color w:val="auto"/>
                      <w:kern w:val="0"/>
                      <w:sz w:val="24"/>
                      <w:lang w:val="en-US" w:eastAsia="zh-CN" w:bidi="ar-AE"/>
                    </w:rPr>
                    <w:t>下游：钢筋市场</w:t>
                  </w:r>
                </w:p>
              </w:tc>
              <w:tc>
                <w:tcPr>
                  <w:tcW w:w="1896" w:type="dxa"/>
                  <w:noWrap w:val="0"/>
                  <w:vAlign w:val="center"/>
                </w:tcPr>
                <w:p>
                  <w:pPr>
                    <w:pStyle w:val="4"/>
                    <w:widowControl/>
                    <w:adjustRightInd w:val="0"/>
                    <w:snapToGrid w:val="0"/>
                    <w:spacing w:after="0"/>
                    <w:rPr>
                      <w:rFonts w:hint="eastAsia" w:ascii="宋体" w:hAnsi="宋体" w:cstheme="majorBidi"/>
                      <w:bCs/>
                      <w:color w:val="auto"/>
                      <w:kern w:val="0"/>
                      <w:sz w:val="24"/>
                      <w:lang w:val="en-US" w:eastAsia="zh-CN" w:bidi="ar-AE"/>
                    </w:rPr>
                  </w:pPr>
                  <w:r>
                    <w:rPr>
                      <w:rFonts w:hint="eastAsia" w:ascii="宋体" w:hAnsi="宋体" w:cstheme="majorBidi"/>
                      <w:bCs/>
                      <w:color w:val="auto"/>
                      <w:kern w:val="0"/>
                      <w:sz w:val="24"/>
                      <w:lang w:val="en-US" w:eastAsia="zh-CN" w:bidi="ar-AE"/>
                    </w:rPr>
                    <w:t>上游：中国境内</w:t>
                  </w:r>
                </w:p>
                <w:p>
                  <w:pPr>
                    <w:pStyle w:val="4"/>
                    <w:widowControl/>
                    <w:adjustRightInd w:val="0"/>
                    <w:snapToGrid w:val="0"/>
                    <w:spacing w:after="0"/>
                    <w:rPr>
                      <w:rFonts w:hint="eastAsia" w:ascii="宋体" w:hAnsi="宋体" w:cstheme="majorBidi"/>
                      <w:bCs/>
                      <w:color w:val="auto"/>
                      <w:kern w:val="0"/>
                      <w:sz w:val="24"/>
                      <w:lang w:val="en-US" w:eastAsia="zh-CN" w:bidi="ar-AE"/>
                    </w:rPr>
                  </w:pPr>
                  <w:r>
                    <w:rPr>
                      <w:rFonts w:hint="eastAsia" w:ascii="宋体" w:hAnsi="宋体" w:cstheme="majorBidi"/>
                      <w:bCs/>
                      <w:color w:val="auto"/>
                      <w:kern w:val="0"/>
                      <w:sz w:val="24"/>
                      <w:lang w:val="en-US" w:eastAsia="zh-CN" w:bidi="ar-AE"/>
                    </w:rPr>
                    <w:t>下游：中国境内</w:t>
                  </w:r>
                </w:p>
              </w:tc>
              <w:tc>
                <w:tcPr>
                  <w:tcW w:w="3096" w:type="dxa"/>
                  <w:noWrap w:val="0"/>
                  <w:vAlign w:val="center"/>
                </w:tcPr>
                <w:p>
                  <w:pPr>
                    <w:pStyle w:val="4"/>
                    <w:widowControl/>
                    <w:adjustRightInd w:val="0"/>
                    <w:snapToGrid w:val="0"/>
                    <w:spacing w:after="0"/>
                    <w:rPr>
                      <w:rFonts w:hint="eastAsia" w:ascii="宋体" w:hAnsi="宋体" w:cstheme="majorBidi"/>
                      <w:bCs/>
                      <w:color w:val="auto"/>
                      <w:kern w:val="0"/>
                      <w:sz w:val="24"/>
                      <w:lang w:val="en-US" w:eastAsia="zh-CN" w:bidi="ar-AE"/>
                    </w:rPr>
                  </w:pPr>
                  <w:r>
                    <w:rPr>
                      <w:rFonts w:hint="eastAsia" w:ascii="宋体" w:hAnsi="宋体" w:cstheme="majorBidi"/>
                      <w:bCs/>
                      <w:color w:val="auto"/>
                      <w:kern w:val="0"/>
                      <w:sz w:val="24"/>
                      <w:lang w:val="en-US" w:eastAsia="zh-CN" w:bidi="ar-AE"/>
                    </w:rPr>
                    <w:t>上游：中国境内焦炭市场</w:t>
                  </w:r>
                </w:p>
                <w:p>
                  <w:pPr>
                    <w:pStyle w:val="4"/>
                    <w:widowControl/>
                    <w:adjustRightInd w:val="0"/>
                    <w:snapToGrid w:val="0"/>
                    <w:spacing w:after="0"/>
                    <w:rPr>
                      <w:rFonts w:hint="eastAsia" w:ascii="宋体" w:hAnsi="宋体" w:cstheme="majorBidi"/>
                      <w:bCs/>
                      <w:color w:val="auto"/>
                      <w:kern w:val="0"/>
                      <w:sz w:val="24"/>
                      <w:lang w:val="en-US" w:eastAsia="zh-CN" w:bidi="ar-AE"/>
                    </w:rPr>
                  </w:pPr>
                  <w:r>
                    <w:rPr>
                      <w:rFonts w:hint="eastAsia" w:ascii="宋体" w:hAnsi="宋体" w:cstheme="majorBidi"/>
                      <w:bCs/>
                      <w:color w:val="auto"/>
                      <w:kern w:val="0"/>
                      <w:sz w:val="24"/>
                      <w:lang w:val="en-US" w:eastAsia="zh-CN" w:bidi="ar-AE"/>
                    </w:rPr>
                    <w:t>杭钢集团：0-2%</w:t>
                  </w:r>
                </w:p>
                <w:p>
                  <w:pPr>
                    <w:pStyle w:val="4"/>
                    <w:widowControl/>
                    <w:adjustRightInd w:val="0"/>
                    <w:snapToGrid w:val="0"/>
                    <w:spacing w:after="0"/>
                    <w:rPr>
                      <w:rFonts w:hint="eastAsia" w:ascii="宋体" w:hAnsi="宋体" w:cstheme="majorBidi"/>
                      <w:bCs/>
                      <w:color w:val="auto"/>
                      <w:kern w:val="0"/>
                      <w:sz w:val="24"/>
                      <w:lang w:val="en-US" w:eastAsia="zh-CN" w:bidi="ar-AE"/>
                    </w:rPr>
                  </w:pPr>
                  <w:r>
                    <w:rPr>
                      <w:rFonts w:hint="eastAsia" w:ascii="宋体" w:hAnsi="宋体" w:cstheme="majorBidi"/>
                      <w:bCs/>
                      <w:color w:val="auto"/>
                      <w:kern w:val="0"/>
                      <w:sz w:val="24"/>
                      <w:lang w:val="en-US" w:eastAsia="zh-CN" w:bidi="ar-AE"/>
                    </w:rPr>
                    <w:t>下游：中国境内钢筋市场</w:t>
                  </w:r>
                </w:p>
                <w:p>
                  <w:pPr>
                    <w:pStyle w:val="4"/>
                    <w:widowControl/>
                    <w:adjustRightInd w:val="0"/>
                    <w:snapToGrid w:val="0"/>
                    <w:spacing w:after="0"/>
                    <w:rPr>
                      <w:rFonts w:hint="eastAsia" w:ascii="宋体" w:hAnsi="宋体" w:cstheme="majorBidi"/>
                      <w:bCs/>
                      <w:color w:val="auto"/>
                      <w:kern w:val="0"/>
                      <w:sz w:val="24"/>
                      <w:lang w:val="en-US" w:eastAsia="zh-CN" w:bidi="ar-AE"/>
                    </w:rPr>
                  </w:pPr>
                  <w:r>
                    <w:rPr>
                      <w:rFonts w:hint="eastAsia" w:ascii="宋体" w:hAnsi="宋体" w:cstheme="majorBidi"/>
                      <w:bCs/>
                      <w:color w:val="auto"/>
                      <w:kern w:val="0"/>
                      <w:sz w:val="24"/>
                      <w:lang w:val="en-US" w:eastAsia="zh-CN" w:bidi="ar-AE"/>
                    </w:rPr>
                    <w:t>如上所述</w:t>
                  </w:r>
                </w:p>
              </w:tc>
            </w:tr>
          </w:tbl>
          <w:p>
            <w:pPr>
              <w:pStyle w:val="4"/>
              <w:adjustRightInd w:val="0"/>
              <w:snapToGrid w:val="0"/>
              <w:spacing w:after="0"/>
              <w:rPr>
                <w:rFonts w:ascii="宋体" w:hAnsi="宋体" w:cstheme="majorBidi"/>
                <w:bCs/>
                <w:color w:val="auto"/>
                <w:lang w:val="en-US" w:eastAsia="zh-CN"/>
              </w:rPr>
            </w:pPr>
          </w:p>
        </w:tc>
      </w:tr>
    </w:tbl>
    <w:p>
      <w:pPr>
        <w:snapToGrid w:val="0"/>
        <w:spacing w:after="0"/>
        <w:rPr>
          <w:rFonts w:ascii="宋体" w:hAnsi="宋体"/>
        </w:rPr>
      </w:pPr>
    </w:p>
    <w:sectPr>
      <w:pgSz w:w="11906" w:h="16838"/>
      <w:pgMar w:top="1440" w:right="1080" w:bottom="1440" w:left="1080" w:header="851" w:footer="992" w:gutter="0"/>
      <w:cols w:space="425"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0000000000000000000"/>
    <w:charset w:val="00"/>
    <w:family w:val="auto"/>
    <w:pitch w:val="default"/>
    <w:sig w:usb0="00000000" w:usb1="00000000" w:usb2="00000000" w:usb3="00000000" w:csb0="00000000" w:csb1="00000000"/>
  </w:font>
  <w:font w:name="Simplified Arabic">
    <w:altName w:val="苹方-简"/>
    <w:panose1 w:val="02020603050405020304"/>
    <w:charset w:val="00"/>
    <w:family w:val="roman"/>
    <w:pitch w:val="default"/>
    <w:sig w:usb0="00000000" w:usb1="00000000" w:usb2="00000000" w:usb3="00000000" w:csb0="00000041"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p>
  </w:footnote>
  <w:footnote w:type="continuationSeparator" w:id="1">
    <w:p>
      <w:pPr>
        <w:spacing w:before="0" w:after="0"/>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6"/>
  <w:bordersDoNotSurroundHeader w:val="0"/>
  <w:bordersDoNotSurroundFooter w:val="0"/>
  <w:hideSpellingErrors/>
  <w:hideGrammaticalErrors/>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FiNDMwYzNiNTBhOTQyMGQ1ZDUzYWI0ZmYzYzYxZGQifQ=="/>
  </w:docVars>
  <w:rsids>
    <w:rsidRoot w:val="003D611A"/>
    <w:rsid w:val="00001459"/>
    <w:rsid w:val="00013BA4"/>
    <w:rsid w:val="00052ACB"/>
    <w:rsid w:val="000918F6"/>
    <w:rsid w:val="00092C73"/>
    <w:rsid w:val="000B4C36"/>
    <w:rsid w:val="000B5F3C"/>
    <w:rsid w:val="000B7BA1"/>
    <w:rsid w:val="000F75B1"/>
    <w:rsid w:val="00106063"/>
    <w:rsid w:val="00122A38"/>
    <w:rsid w:val="00165377"/>
    <w:rsid w:val="001C51DF"/>
    <w:rsid w:val="002075AF"/>
    <w:rsid w:val="0026261D"/>
    <w:rsid w:val="002766B0"/>
    <w:rsid w:val="002859F8"/>
    <w:rsid w:val="002D7079"/>
    <w:rsid w:val="00320C4D"/>
    <w:rsid w:val="00324E96"/>
    <w:rsid w:val="003743DF"/>
    <w:rsid w:val="00383FD9"/>
    <w:rsid w:val="00393939"/>
    <w:rsid w:val="003A391B"/>
    <w:rsid w:val="003C3352"/>
    <w:rsid w:val="003D54DD"/>
    <w:rsid w:val="003D611A"/>
    <w:rsid w:val="003F7337"/>
    <w:rsid w:val="00412CEB"/>
    <w:rsid w:val="00457AF3"/>
    <w:rsid w:val="0046562E"/>
    <w:rsid w:val="00471425"/>
    <w:rsid w:val="004D4520"/>
    <w:rsid w:val="004F0666"/>
    <w:rsid w:val="004F7A42"/>
    <w:rsid w:val="0050423B"/>
    <w:rsid w:val="00504EC7"/>
    <w:rsid w:val="00524393"/>
    <w:rsid w:val="00561252"/>
    <w:rsid w:val="00583D61"/>
    <w:rsid w:val="005B2159"/>
    <w:rsid w:val="005B34AA"/>
    <w:rsid w:val="005D01E2"/>
    <w:rsid w:val="005D2614"/>
    <w:rsid w:val="005D44C4"/>
    <w:rsid w:val="005D558B"/>
    <w:rsid w:val="005E2429"/>
    <w:rsid w:val="005E3674"/>
    <w:rsid w:val="005E3ABA"/>
    <w:rsid w:val="005E60A5"/>
    <w:rsid w:val="006042C3"/>
    <w:rsid w:val="00654DCA"/>
    <w:rsid w:val="0065679C"/>
    <w:rsid w:val="006C6AF3"/>
    <w:rsid w:val="006E4169"/>
    <w:rsid w:val="00733D47"/>
    <w:rsid w:val="00743AD4"/>
    <w:rsid w:val="007B4C2A"/>
    <w:rsid w:val="007C26B0"/>
    <w:rsid w:val="007E5F69"/>
    <w:rsid w:val="008142DB"/>
    <w:rsid w:val="008741E9"/>
    <w:rsid w:val="00895DCF"/>
    <w:rsid w:val="008A4E92"/>
    <w:rsid w:val="008A6117"/>
    <w:rsid w:val="008B3422"/>
    <w:rsid w:val="008C701F"/>
    <w:rsid w:val="009049C5"/>
    <w:rsid w:val="009233C6"/>
    <w:rsid w:val="009456E8"/>
    <w:rsid w:val="00955597"/>
    <w:rsid w:val="009A43DF"/>
    <w:rsid w:val="009D1281"/>
    <w:rsid w:val="00A10350"/>
    <w:rsid w:val="00A73D4C"/>
    <w:rsid w:val="00AC1DCB"/>
    <w:rsid w:val="00B103AE"/>
    <w:rsid w:val="00B50EFD"/>
    <w:rsid w:val="00B545A6"/>
    <w:rsid w:val="00B54E74"/>
    <w:rsid w:val="00B56137"/>
    <w:rsid w:val="00B610D6"/>
    <w:rsid w:val="00B83F97"/>
    <w:rsid w:val="00B9105B"/>
    <w:rsid w:val="00BF0040"/>
    <w:rsid w:val="00C15E43"/>
    <w:rsid w:val="00C36FA3"/>
    <w:rsid w:val="00C37599"/>
    <w:rsid w:val="00C51B5E"/>
    <w:rsid w:val="00C637C9"/>
    <w:rsid w:val="00C80335"/>
    <w:rsid w:val="00CA1F1C"/>
    <w:rsid w:val="00CE0126"/>
    <w:rsid w:val="00D02977"/>
    <w:rsid w:val="00D5727C"/>
    <w:rsid w:val="00D717D1"/>
    <w:rsid w:val="00D7473B"/>
    <w:rsid w:val="00D96567"/>
    <w:rsid w:val="00D96DC8"/>
    <w:rsid w:val="00DB2F6E"/>
    <w:rsid w:val="00DC013B"/>
    <w:rsid w:val="00DC0624"/>
    <w:rsid w:val="00E00EF6"/>
    <w:rsid w:val="00E53073"/>
    <w:rsid w:val="00E7406A"/>
    <w:rsid w:val="00E75A69"/>
    <w:rsid w:val="00EB3F65"/>
    <w:rsid w:val="00ED041B"/>
    <w:rsid w:val="00ED512E"/>
    <w:rsid w:val="00F07E59"/>
    <w:rsid w:val="00F20428"/>
    <w:rsid w:val="00F3286A"/>
    <w:rsid w:val="00F721FF"/>
    <w:rsid w:val="00F97C33"/>
    <w:rsid w:val="00FE00B5"/>
    <w:rsid w:val="00FE057F"/>
    <w:rsid w:val="00FF7C85"/>
    <w:rsid w:val="2BFB828D"/>
    <w:rsid w:val="59B8586E"/>
    <w:rsid w:val="5EBF94E5"/>
    <w:rsid w:val="5EF92A0A"/>
    <w:rsid w:val="7D7D00A1"/>
    <w:rsid w:val="7FD74FC9"/>
    <w:rsid w:val="AE7D0FBA"/>
    <w:rsid w:val="BCF3A7C9"/>
    <w:rsid w:val="BF7920E9"/>
    <w:rsid w:val="F5D9313C"/>
    <w:rsid w:val="FEFCC8C8"/>
    <w:rsid w:val="FF7D2061"/>
    <w:rsid w:val="FFBBDFB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nhideWhenUsed="0" w:uiPriority="0" w:semiHidden="0"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spacing w:after="240"/>
      <w:jc w:val="both"/>
    </w:pPr>
    <w:rPr>
      <w:rFonts w:ascii="Times New Roman" w:hAnsi="Times New Roman" w:eastAsia="宋体" w:cs="Times New Roman"/>
      <w:kern w:val="0"/>
      <w:sz w:val="24"/>
      <w:szCs w:val="24"/>
      <w:lang w:val="en-GB" w:eastAsia="zh-CN" w:bidi="ar-AE"/>
    </w:rPr>
  </w:style>
  <w:style w:type="character" w:default="1" w:styleId="12">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2">
    <w:name w:val="macro"/>
    <w:link w:val="21"/>
    <w:uiPriority w:val="0"/>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eastAsia="宋体" w:cs="Courier New"/>
      <w:kern w:val="0"/>
      <w:sz w:val="20"/>
      <w:szCs w:val="20"/>
      <w:lang w:val="en-GB" w:eastAsia="zh-CN" w:bidi="ar-AE"/>
    </w:rPr>
  </w:style>
  <w:style w:type="paragraph" w:styleId="3">
    <w:name w:val="annotation text"/>
    <w:basedOn w:val="1"/>
    <w:link w:val="19"/>
    <w:autoRedefine/>
    <w:semiHidden/>
    <w:unhideWhenUsed/>
    <w:qFormat/>
    <w:uiPriority w:val="99"/>
    <w:pPr>
      <w:jc w:val="left"/>
    </w:pPr>
  </w:style>
  <w:style w:type="paragraph" w:styleId="4">
    <w:name w:val="Body Text"/>
    <w:basedOn w:val="1"/>
    <w:link w:val="15"/>
    <w:autoRedefine/>
    <w:qFormat/>
    <w:uiPriority w:val="0"/>
    <w:rPr>
      <w:rFonts w:cs="Simplified Arabic"/>
      <w:lang w:eastAsia="en-GB"/>
    </w:rPr>
  </w:style>
  <w:style w:type="paragraph" w:styleId="5">
    <w:name w:val="Balloon Text"/>
    <w:basedOn w:val="1"/>
    <w:link w:val="18"/>
    <w:autoRedefine/>
    <w:semiHidden/>
    <w:unhideWhenUsed/>
    <w:qFormat/>
    <w:uiPriority w:val="99"/>
    <w:pPr>
      <w:spacing w:after="0"/>
    </w:pPr>
    <w:rPr>
      <w:sz w:val="18"/>
      <w:szCs w:val="18"/>
    </w:rPr>
  </w:style>
  <w:style w:type="paragraph" w:styleId="6">
    <w:name w:val="footer"/>
    <w:basedOn w:val="1"/>
    <w:link w:val="17"/>
    <w:autoRedefine/>
    <w:unhideWhenUsed/>
    <w:qFormat/>
    <w:uiPriority w:val="99"/>
    <w:pPr>
      <w:tabs>
        <w:tab w:val="center" w:pos="4153"/>
        <w:tab w:val="right" w:pos="8306"/>
      </w:tabs>
      <w:snapToGrid w:val="0"/>
      <w:jc w:val="left"/>
    </w:pPr>
    <w:rPr>
      <w:sz w:val="18"/>
      <w:szCs w:val="18"/>
    </w:rPr>
  </w:style>
  <w:style w:type="paragraph" w:styleId="7">
    <w:name w:val="header"/>
    <w:basedOn w:val="1"/>
    <w:link w:val="16"/>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autoRedefine/>
    <w:semiHidden/>
    <w:unhideWhenUsed/>
    <w:qFormat/>
    <w:uiPriority w:val="99"/>
    <w:pPr>
      <w:spacing w:before="0" w:beforeAutospacing="1" w:after="0" w:afterAutospacing="1"/>
      <w:ind w:left="0" w:right="0"/>
      <w:jc w:val="left"/>
    </w:pPr>
    <w:rPr>
      <w:kern w:val="0"/>
      <w:sz w:val="24"/>
      <w:lang w:val="en-US" w:eastAsia="zh-CN" w:bidi="ar"/>
    </w:rPr>
  </w:style>
  <w:style w:type="paragraph" w:styleId="9">
    <w:name w:val="annotation subject"/>
    <w:basedOn w:val="3"/>
    <w:next w:val="3"/>
    <w:link w:val="20"/>
    <w:autoRedefine/>
    <w:semiHidden/>
    <w:unhideWhenUsed/>
    <w:qFormat/>
    <w:uiPriority w:val="99"/>
    <w:rPr>
      <w:b/>
      <w:bCs/>
    </w:rPr>
  </w:style>
  <w:style w:type="table" w:styleId="11">
    <w:name w:val="Table Grid"/>
    <w:basedOn w:val="10"/>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autoRedefine/>
    <w:qFormat/>
    <w:uiPriority w:val="22"/>
    <w:rPr>
      <w:b/>
    </w:rPr>
  </w:style>
  <w:style w:type="character" w:styleId="14">
    <w:name w:val="annotation reference"/>
    <w:basedOn w:val="12"/>
    <w:autoRedefine/>
    <w:semiHidden/>
    <w:unhideWhenUsed/>
    <w:qFormat/>
    <w:uiPriority w:val="99"/>
    <w:rPr>
      <w:sz w:val="21"/>
      <w:szCs w:val="21"/>
    </w:rPr>
  </w:style>
  <w:style w:type="character" w:customStyle="1" w:styleId="15">
    <w:name w:val="Body Text Char"/>
    <w:basedOn w:val="12"/>
    <w:link w:val="4"/>
    <w:autoRedefine/>
    <w:qFormat/>
    <w:uiPriority w:val="0"/>
    <w:rPr>
      <w:rFonts w:ascii="Times New Roman" w:hAnsi="Times New Roman" w:eastAsia="宋体" w:cs="Simplified Arabic"/>
      <w:kern w:val="0"/>
      <w:sz w:val="24"/>
      <w:szCs w:val="24"/>
      <w:lang w:val="en-GB" w:eastAsia="en-GB" w:bidi="ar-AE"/>
    </w:rPr>
  </w:style>
  <w:style w:type="character" w:customStyle="1" w:styleId="16">
    <w:name w:val="Header Char"/>
    <w:basedOn w:val="12"/>
    <w:link w:val="7"/>
    <w:autoRedefine/>
    <w:qFormat/>
    <w:uiPriority w:val="99"/>
    <w:rPr>
      <w:rFonts w:ascii="Times New Roman" w:hAnsi="Times New Roman" w:eastAsia="宋体" w:cs="Times New Roman"/>
      <w:kern w:val="0"/>
      <w:sz w:val="18"/>
      <w:szCs w:val="18"/>
      <w:lang w:val="en-GB" w:bidi="ar-AE"/>
    </w:rPr>
  </w:style>
  <w:style w:type="character" w:customStyle="1" w:styleId="17">
    <w:name w:val="Footer Char"/>
    <w:basedOn w:val="12"/>
    <w:link w:val="6"/>
    <w:autoRedefine/>
    <w:qFormat/>
    <w:uiPriority w:val="99"/>
    <w:rPr>
      <w:rFonts w:ascii="Times New Roman" w:hAnsi="Times New Roman" w:eastAsia="宋体" w:cs="Times New Roman"/>
      <w:kern w:val="0"/>
      <w:sz w:val="18"/>
      <w:szCs w:val="18"/>
      <w:lang w:val="en-GB" w:bidi="ar-AE"/>
    </w:rPr>
  </w:style>
  <w:style w:type="character" w:customStyle="1" w:styleId="18">
    <w:name w:val="Balloon Text Char"/>
    <w:basedOn w:val="12"/>
    <w:link w:val="5"/>
    <w:autoRedefine/>
    <w:semiHidden/>
    <w:qFormat/>
    <w:uiPriority w:val="99"/>
    <w:rPr>
      <w:rFonts w:ascii="Times New Roman" w:hAnsi="Times New Roman" w:eastAsia="宋体" w:cs="Times New Roman"/>
      <w:kern w:val="0"/>
      <w:sz w:val="18"/>
      <w:szCs w:val="18"/>
      <w:lang w:val="en-GB" w:bidi="ar-AE"/>
    </w:rPr>
  </w:style>
  <w:style w:type="character" w:customStyle="1" w:styleId="19">
    <w:name w:val="Comment Text Char"/>
    <w:basedOn w:val="12"/>
    <w:link w:val="3"/>
    <w:autoRedefine/>
    <w:semiHidden/>
    <w:qFormat/>
    <w:uiPriority w:val="99"/>
    <w:rPr>
      <w:rFonts w:ascii="Times New Roman" w:hAnsi="Times New Roman" w:eastAsia="宋体" w:cs="Times New Roman"/>
      <w:kern w:val="0"/>
      <w:sz w:val="24"/>
      <w:szCs w:val="24"/>
      <w:lang w:val="en-GB" w:bidi="ar-AE"/>
    </w:rPr>
  </w:style>
  <w:style w:type="character" w:customStyle="1" w:styleId="20">
    <w:name w:val="Comment Subject Char"/>
    <w:basedOn w:val="19"/>
    <w:link w:val="9"/>
    <w:autoRedefine/>
    <w:semiHidden/>
    <w:qFormat/>
    <w:uiPriority w:val="99"/>
    <w:rPr>
      <w:rFonts w:ascii="Times New Roman" w:hAnsi="Times New Roman" w:eastAsia="宋体" w:cs="Times New Roman"/>
      <w:b/>
      <w:bCs/>
      <w:kern w:val="0"/>
      <w:sz w:val="24"/>
      <w:szCs w:val="24"/>
      <w:lang w:val="en-GB" w:bidi="ar-AE"/>
    </w:rPr>
  </w:style>
  <w:style w:type="character" w:customStyle="1" w:styleId="21">
    <w:name w:val="Macro Text Char"/>
    <w:basedOn w:val="12"/>
    <w:link w:val="2"/>
    <w:autoRedefine/>
    <w:qFormat/>
    <w:uiPriority w:val="0"/>
    <w:rPr>
      <w:rFonts w:ascii="Courier New" w:hAnsi="Courier New" w:eastAsia="宋体" w:cs="Courier New"/>
      <w:kern w:val="0"/>
      <w:sz w:val="20"/>
      <w:szCs w:val="20"/>
      <w:lang w:val="en-GB" w:bidi="ar-A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116</Words>
  <Characters>649</Characters>
  <Lines>24</Lines>
  <Paragraphs>11</Paragraphs>
  <TotalTime>2</TotalTime>
  <ScaleCrop>false</ScaleCrop>
  <LinksUpToDate>false</LinksUpToDate>
  <CharactersWithSpaces>754</CharactersWithSpaces>
  <Application>WPS Office_6.7.1.8828_F1E327BC-269C-435d-A152-05C5408002CA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2022-06-16T16:49:00Z</dcterms:created>
  <dc:creator>iLaw.Glinx</dc:creator>
  <cp:lastModifiedBy>iLaw.Glinx</cp:lastModifiedBy>
  <dcterms:modified xsi:type="dcterms:W3CDTF">2024-05-28T14:03:18Z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2e67a54-274b-43d7-8098-b3ba5f50e576_Enabled">
    <vt:lpwstr>true</vt:lpwstr>
  </property>
  <property fmtid="{D5CDD505-2E9C-101B-9397-08002B2CF9AE}" pid="3" name="MSIP_Label_42e67a54-274b-43d7-8098-b3ba5f50e576_SetDate">
    <vt:lpwstr>2023-03-16T04:12:27Z</vt:lpwstr>
  </property>
  <property fmtid="{D5CDD505-2E9C-101B-9397-08002B2CF9AE}" pid="4" name="MSIP_Label_42e67a54-274b-43d7-8098-b3ba5f50e576_Method">
    <vt:lpwstr>Standard</vt:lpwstr>
  </property>
  <property fmtid="{D5CDD505-2E9C-101B-9397-08002B2CF9AE}" pid="5" name="MSIP_Label_42e67a54-274b-43d7-8098-b3ba5f50e576_Name">
    <vt:lpwstr>42e67a54-274b-43d7-8098-b3ba5f50e576</vt:lpwstr>
  </property>
  <property fmtid="{D5CDD505-2E9C-101B-9397-08002B2CF9AE}" pid="6" name="MSIP_Label_42e67a54-274b-43d7-8098-b3ba5f50e576_SiteId">
    <vt:lpwstr>7f0b44d2-04f8-4672-bf5d-4676796468a3</vt:lpwstr>
  </property>
  <property fmtid="{D5CDD505-2E9C-101B-9397-08002B2CF9AE}" pid="7" name="MSIP_Label_42e67a54-274b-43d7-8098-b3ba5f50e576_ActionId">
    <vt:lpwstr>f167c148-059c-4156-b0ea-532825f84cdc</vt:lpwstr>
  </property>
  <property fmtid="{D5CDD505-2E9C-101B-9397-08002B2CF9AE}" pid="8" name="MSIP_Label_42e67a54-274b-43d7-8098-b3ba5f50e576_ContentBits">
    <vt:lpwstr>0</vt:lpwstr>
  </property>
  <property fmtid="{D5CDD505-2E9C-101B-9397-08002B2CF9AE}" pid="9" name="Client">
    <vt:lpwstr>0030589</vt:lpwstr>
  </property>
  <property fmtid="{D5CDD505-2E9C-101B-9397-08002B2CF9AE}" pid="10" name="Matter">
    <vt:lpwstr>0000252</vt:lpwstr>
  </property>
  <property fmtid="{D5CDD505-2E9C-101B-9397-08002B2CF9AE}" pid="11" name="cpDocRef">
    <vt:lpwstr>EUO3: 2011560326.1</vt:lpwstr>
  </property>
  <property fmtid="{D5CDD505-2E9C-101B-9397-08002B2CF9AE}" pid="12" name="cpClientMatter">
    <vt:lpwstr>0030589-0000252</vt:lpwstr>
  </property>
  <property fmtid="{D5CDD505-2E9C-101B-9397-08002B2CF9AE}" pid="13" name="cpCombinedRef">
    <vt:lpwstr>0030589-0000252 EUO3: 2011560326.1</vt:lpwstr>
  </property>
  <property fmtid="{D5CDD505-2E9C-101B-9397-08002B2CF9AE}" pid="14" name="KSOProductBuildVer">
    <vt:lpwstr>2052-6.7.1.8828</vt:lpwstr>
  </property>
  <property fmtid="{D5CDD505-2E9C-101B-9397-08002B2CF9AE}" pid="15" name="ICV">
    <vt:lpwstr>B28E2E2DD2F3452784E7DD9B7DE4E5F7_13</vt:lpwstr>
  </property>
</Properties>
</file>