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附件1</w:t>
      </w:r>
    </w:p>
    <w:p>
      <w:pPr>
        <w:spacing w:line="594" w:lineRule="exact"/>
        <w:jc w:val="left"/>
        <w:rPr>
          <w:rFonts w:ascii="黑体" w:hAnsi="黑体" w:eastAsia="黑体" w:cs="方正小标宋简体"/>
          <w:color w:val="auto"/>
          <w:sz w:val="32"/>
          <w:szCs w:val="32"/>
        </w:rPr>
      </w:pPr>
    </w:p>
    <w:p>
      <w:pPr>
        <w:spacing w:line="594"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采用国际标准管理办法</w:t>
      </w:r>
    </w:p>
    <w:p>
      <w:pPr>
        <w:adjustRightInd w:val="0"/>
        <w:snapToGrid w:val="0"/>
        <w:spacing w:line="594" w:lineRule="exact"/>
        <w:jc w:val="center"/>
        <w:rPr>
          <w:rFonts w:ascii="楷体_GB2312" w:hAnsi="楷体_GB2312" w:eastAsia="楷体_GB2312" w:cs="楷体_GB2312"/>
          <w:color w:val="auto"/>
          <w:kern w:val="0"/>
          <w:sz w:val="32"/>
        </w:rPr>
      </w:pPr>
      <w:r>
        <w:rPr>
          <w:rFonts w:hint="eastAsia" w:ascii="楷体_GB2312" w:hAnsi="楷体_GB2312" w:eastAsia="楷体_GB2312" w:cs="楷体_GB2312"/>
          <w:color w:val="auto"/>
          <w:kern w:val="0"/>
          <w:sz w:val="32"/>
        </w:rPr>
        <w:t>（征求意见稿）</w:t>
      </w:r>
    </w:p>
    <w:p>
      <w:pPr>
        <w:adjustRightInd w:val="0"/>
        <w:snapToGrid w:val="0"/>
        <w:spacing w:line="594" w:lineRule="exact"/>
        <w:jc w:val="center"/>
        <w:rPr>
          <w:rFonts w:ascii="楷体_GB2312" w:hAnsi="楷体_GB2312" w:eastAsia="楷体_GB2312" w:cs="楷体_GB2312"/>
          <w:color w:val="auto"/>
          <w:kern w:val="0"/>
          <w:sz w:val="32"/>
        </w:rPr>
      </w:pP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第一条 【立法宗旨】</w:t>
      </w:r>
      <w:r>
        <w:rPr>
          <w:rFonts w:hint="eastAsia" w:ascii="仿宋_GB2312" w:hAnsi="仿宋_GB2312" w:eastAsia="仿宋_GB2312" w:cs="仿宋_GB2312"/>
          <w:color w:val="auto"/>
          <w:sz w:val="32"/>
          <w:szCs w:val="32"/>
        </w:rPr>
        <w:t>为加强采用国际标准工作管理，提高我国标准与国际标准的一致性程度，稳步扩大标准制度型开放，提升我国产品和服务质量，加快内外贸一体化发展，根据《中华人民共和国标准化法》，参照世界贸易组织和国际标准组织有关规定，结合我国实际，制定本办法。</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第二条 【内涵定义】</w:t>
      </w:r>
      <w:r>
        <w:rPr>
          <w:rFonts w:hint="eastAsia" w:ascii="仿宋_GB2312" w:hAnsi="仿宋_GB2312" w:eastAsia="仿宋_GB2312" w:cs="仿宋_GB2312"/>
          <w:color w:val="auto"/>
          <w:sz w:val="32"/>
          <w:szCs w:val="32"/>
        </w:rPr>
        <w:t>本办法所称采用国际标准是指经过分析研究和必要的试验验证，以国际标准化组织（ISO）、国际电工委员会（IEC）、国际电信联盟（ITU）（以下统称国际标准组织）制定发布的标准为基础制定国家标准</w:t>
      </w:r>
      <w:r>
        <w:rPr>
          <w:rFonts w:hint="eastAsia" w:ascii="仿宋_GB2312" w:hAnsi="仿宋_GB2312" w:eastAsia="仿宋_GB2312" w:cs="仿宋_GB2312"/>
          <w:b/>
          <w:bCs/>
          <w:color w:val="auto"/>
          <w:sz w:val="32"/>
          <w:szCs w:val="32"/>
        </w:rPr>
        <w:t>。</w:t>
      </w:r>
    </w:p>
    <w:p>
      <w:pPr>
        <w:spacing w:line="594" w:lineRule="exact"/>
        <w:ind w:firstLine="640" w:firstLineChars="200"/>
        <w:rPr>
          <w:rFonts w:ascii="Times New Roman" w:hAnsi="Times New Roman" w:eastAsia="宋体" w:cs="Times New Roman"/>
          <w:color w:val="auto"/>
          <w:szCs w:val="20"/>
        </w:rPr>
      </w:pPr>
      <w:r>
        <w:rPr>
          <w:rFonts w:hint="eastAsia" w:ascii="黑体" w:hAnsi="黑体" w:eastAsia="黑体" w:cs="黑体"/>
          <w:color w:val="auto"/>
          <w:kern w:val="0"/>
          <w:sz w:val="32"/>
        </w:rPr>
        <w:t>第三条 【职责分工】</w:t>
      </w:r>
      <w:r>
        <w:rPr>
          <w:rFonts w:hint="eastAsia" w:ascii="仿宋_GB2312" w:hAnsi="仿宋_GB2312" w:eastAsia="仿宋_GB2312" w:cs="仿宋_GB2312"/>
          <w:color w:val="auto"/>
          <w:sz w:val="32"/>
          <w:szCs w:val="32"/>
        </w:rPr>
        <w:t>国务院标准化行政主管部门统一管理采用国际标准工作。</w:t>
      </w:r>
      <w:r>
        <w:rPr>
          <w:rFonts w:hint="eastAsia" w:ascii="仿宋_GB2312" w:hAnsi="Calibri" w:eastAsia="仿宋_GB2312" w:cs="宋体"/>
          <w:color w:val="auto"/>
          <w:kern w:val="0"/>
          <w:sz w:val="32"/>
          <w:szCs w:val="32"/>
        </w:rPr>
        <w:t>国务院有关行政主管部门、有关行</w:t>
      </w:r>
      <w:r>
        <w:rPr>
          <w:rFonts w:hint="eastAsia" w:ascii="Calibri" w:hAnsi="Calibri" w:eastAsia="仿宋_GB2312" w:cs="宋体"/>
          <w:color w:val="auto"/>
          <w:kern w:val="0"/>
          <w:sz w:val="32"/>
          <w:szCs w:val="32"/>
        </w:rPr>
        <w:t>业协会</w:t>
      </w:r>
      <w:r>
        <w:rPr>
          <w:rFonts w:hint="eastAsia" w:ascii="仿宋_GB2312" w:hAnsi="仿宋_GB2312" w:eastAsia="仿宋_GB2312" w:cs="仿宋_GB2312"/>
          <w:color w:val="auto"/>
          <w:sz w:val="32"/>
          <w:szCs w:val="32"/>
        </w:rPr>
        <w:t>依据职责</w:t>
      </w:r>
      <w:r>
        <w:rPr>
          <w:rFonts w:hint="eastAsia" w:ascii="Calibri" w:hAnsi="Calibri" w:eastAsia="仿宋_GB2312" w:cs="宋体"/>
          <w:color w:val="auto"/>
          <w:spacing w:val="-6"/>
          <w:kern w:val="0"/>
          <w:sz w:val="32"/>
          <w:szCs w:val="32"/>
        </w:rPr>
        <w:t>对本部门、本行业采用国际标准工作进行业务指导。</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第四条 【采标原则】</w:t>
      </w:r>
      <w:r>
        <w:rPr>
          <w:rFonts w:hint="eastAsia" w:ascii="仿宋_GB2312" w:hAnsi="仿宋_GB2312" w:eastAsia="仿宋_GB2312" w:cs="仿宋_GB2312"/>
          <w:color w:val="auto"/>
          <w:sz w:val="32"/>
          <w:szCs w:val="32"/>
        </w:rPr>
        <w:t>采用国际标准应当遵守我国法律法规和国际标准组织知识产权政策，做到技术先进、经济合理、安全可靠。</w:t>
      </w:r>
    </w:p>
    <w:p>
      <w:pPr>
        <w:spacing w:line="594"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制定国家标准应当结合我国国情优先采用国际标准。采用国际标准时，鼓励起草为一一对应的国家标准。如因实际需要无法一一对应，应当尽量保持国家标准体系与国际标准体系相协调。</w:t>
      </w:r>
    </w:p>
    <w:p>
      <w:pPr>
        <w:spacing w:line="594"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术语</w:t>
      </w:r>
      <w:r>
        <w:rPr>
          <w:rFonts w:hint="eastAsia" w:ascii="仿宋_GB2312" w:hAnsi="仿宋_GB2312" w:eastAsia="仿宋_GB2312" w:cs="仿宋_GB2312"/>
          <w:color w:val="auto"/>
          <w:sz w:val="32"/>
          <w:szCs w:val="32"/>
        </w:rPr>
        <w:t>标准</w:t>
      </w:r>
      <w:r>
        <w:rPr>
          <w:rFonts w:ascii="仿宋_GB2312" w:hAnsi="仿宋_GB2312" w:eastAsia="仿宋_GB2312" w:cs="仿宋_GB2312"/>
          <w:color w:val="auto"/>
          <w:sz w:val="32"/>
          <w:szCs w:val="32"/>
        </w:rPr>
        <w:t>、符号</w:t>
      </w:r>
      <w:r>
        <w:rPr>
          <w:rFonts w:hint="eastAsia" w:ascii="仿宋_GB2312" w:hAnsi="仿宋_GB2312" w:eastAsia="仿宋_GB2312" w:cs="仿宋_GB2312"/>
          <w:color w:val="auto"/>
          <w:sz w:val="32"/>
          <w:szCs w:val="32"/>
        </w:rPr>
        <w:t>标准</w:t>
      </w:r>
      <w:r>
        <w:rPr>
          <w:rFonts w:ascii="仿宋_GB2312" w:hAnsi="仿宋_GB2312" w:eastAsia="仿宋_GB2312" w:cs="仿宋_GB2312"/>
          <w:color w:val="auto"/>
          <w:sz w:val="32"/>
          <w:szCs w:val="32"/>
        </w:rPr>
        <w:t>、分类</w:t>
      </w:r>
      <w:r>
        <w:rPr>
          <w:rFonts w:hint="eastAsia" w:ascii="仿宋_GB2312" w:hAnsi="仿宋_GB2312" w:eastAsia="仿宋_GB2312" w:cs="仿宋_GB2312"/>
          <w:color w:val="auto"/>
          <w:sz w:val="32"/>
          <w:szCs w:val="32"/>
        </w:rPr>
        <w:t>标准、</w:t>
      </w:r>
      <w:r>
        <w:rPr>
          <w:rFonts w:ascii="仿宋_GB2312" w:hAnsi="仿宋_GB2312" w:eastAsia="仿宋_GB2312" w:cs="仿宋_GB2312"/>
          <w:color w:val="auto"/>
          <w:sz w:val="32"/>
          <w:szCs w:val="32"/>
        </w:rPr>
        <w:t>试验</w:t>
      </w:r>
      <w:r>
        <w:rPr>
          <w:rFonts w:hint="eastAsia" w:ascii="仿宋_GB2312" w:hAnsi="仿宋_GB2312" w:eastAsia="仿宋_GB2312" w:cs="仿宋_GB2312"/>
          <w:color w:val="auto"/>
          <w:sz w:val="32"/>
          <w:szCs w:val="32"/>
        </w:rPr>
        <w:t>标准等</w:t>
      </w:r>
      <w:r>
        <w:rPr>
          <w:rFonts w:ascii="仿宋_GB2312" w:hAnsi="仿宋_GB2312" w:eastAsia="仿宋_GB2312" w:cs="仿宋_GB2312"/>
          <w:color w:val="auto"/>
          <w:sz w:val="32"/>
          <w:szCs w:val="32"/>
        </w:rPr>
        <w:t>基础</w:t>
      </w:r>
      <w:r>
        <w:rPr>
          <w:rFonts w:hint="eastAsia" w:ascii="仿宋_GB2312" w:hAnsi="仿宋_GB2312" w:eastAsia="仿宋_GB2312" w:cs="仿宋_GB2312"/>
          <w:color w:val="auto"/>
          <w:sz w:val="32"/>
          <w:szCs w:val="32"/>
        </w:rPr>
        <w:t>性国际</w:t>
      </w:r>
      <w:r>
        <w:rPr>
          <w:rFonts w:ascii="仿宋_GB2312" w:hAnsi="仿宋_GB2312" w:eastAsia="仿宋_GB2312" w:cs="仿宋_GB2312"/>
          <w:color w:val="auto"/>
          <w:sz w:val="32"/>
          <w:szCs w:val="32"/>
        </w:rPr>
        <w:t>标准</w:t>
      </w:r>
      <w:r>
        <w:rPr>
          <w:rFonts w:hint="eastAsia" w:ascii="仿宋_GB2312" w:hAnsi="仿宋_GB2312" w:eastAsia="仿宋_GB2312" w:cs="仿宋_GB2312"/>
          <w:color w:val="auto"/>
          <w:sz w:val="32"/>
          <w:szCs w:val="32"/>
        </w:rPr>
        <w:t>应当优先采用。</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第五条 【采用程度】</w:t>
      </w:r>
      <w:r>
        <w:rPr>
          <w:rFonts w:hint="eastAsia" w:ascii="仿宋_GB2312" w:hAnsi="仿宋_GB2312" w:eastAsia="仿宋_GB2312" w:cs="仿宋_GB2312"/>
          <w:color w:val="auto"/>
          <w:sz w:val="32"/>
          <w:szCs w:val="32"/>
        </w:rPr>
        <w:t>国际标准的采用程度分为等同采用和修改</w:t>
      </w:r>
      <w:r>
        <w:rPr>
          <w:rFonts w:hint="eastAsia" w:ascii="Calibri" w:hAnsi="Calibri" w:eastAsia="仿宋_GB2312" w:cs="宋体"/>
          <w:bCs/>
          <w:color w:val="auto"/>
          <w:spacing w:val="-6"/>
          <w:kern w:val="0"/>
          <w:sz w:val="32"/>
          <w:szCs w:val="32"/>
        </w:rPr>
        <w:t>采用。</w:t>
      </w:r>
    </w:p>
    <w:p>
      <w:pPr>
        <w:spacing w:line="594" w:lineRule="exact"/>
        <w:ind w:firstLine="616" w:firstLineChars="200"/>
        <w:rPr>
          <w:rFonts w:ascii="Calibri" w:hAnsi="Calibri" w:eastAsia="仿宋_GB2312" w:cs="宋体"/>
          <w:color w:val="auto"/>
          <w:spacing w:val="-6"/>
          <w:kern w:val="0"/>
          <w:sz w:val="32"/>
          <w:szCs w:val="32"/>
        </w:rPr>
      </w:pPr>
      <w:r>
        <w:rPr>
          <w:rFonts w:hint="eastAsia" w:ascii="Calibri" w:hAnsi="Calibri" w:eastAsia="仿宋_GB2312" w:cs="宋体"/>
          <w:color w:val="auto"/>
          <w:spacing w:val="-6"/>
          <w:kern w:val="0"/>
          <w:sz w:val="32"/>
          <w:szCs w:val="32"/>
        </w:rPr>
        <w:t>等同采用是指</w:t>
      </w:r>
      <w:r>
        <w:rPr>
          <w:rFonts w:hint="eastAsia" w:ascii="仿宋_GB2312" w:hAnsi="仿宋_GB2312" w:eastAsia="仿宋_GB2312" w:cs="仿宋_GB2312"/>
          <w:color w:val="auto"/>
          <w:sz w:val="32"/>
          <w:szCs w:val="32"/>
        </w:rPr>
        <w:t>国家标准的</w:t>
      </w:r>
      <w:r>
        <w:rPr>
          <w:rFonts w:hint="eastAsia" w:ascii="Calibri" w:hAnsi="Calibri" w:eastAsia="仿宋_GB2312" w:cs="宋体"/>
          <w:color w:val="auto"/>
          <w:spacing w:val="-6"/>
          <w:kern w:val="0"/>
          <w:sz w:val="32"/>
          <w:szCs w:val="32"/>
        </w:rPr>
        <w:t>技术内容和文本结构与所采用国际标准相同，可以包含允许的编辑性改动，代号为</w:t>
      </w:r>
      <w:r>
        <w:rPr>
          <w:rFonts w:hint="eastAsia" w:ascii="仿宋_GB2312" w:hAnsi="仿宋_GB2312" w:eastAsia="仿宋_GB2312" w:cs="仿宋_GB2312"/>
          <w:color w:val="auto"/>
          <w:spacing w:val="-6"/>
          <w:kern w:val="0"/>
          <w:sz w:val="32"/>
          <w:szCs w:val="32"/>
        </w:rPr>
        <w:t>IDT</w:t>
      </w:r>
      <w:r>
        <w:rPr>
          <w:rFonts w:hint="eastAsia" w:ascii="Calibri" w:hAnsi="Calibri" w:eastAsia="仿宋_GB2312" w:cs="宋体"/>
          <w:color w:val="auto"/>
          <w:spacing w:val="-6"/>
          <w:kern w:val="0"/>
          <w:sz w:val="32"/>
          <w:szCs w:val="32"/>
        </w:rPr>
        <w:t>。</w:t>
      </w:r>
    </w:p>
    <w:p>
      <w:pPr>
        <w:spacing w:line="594" w:lineRule="exact"/>
        <w:ind w:firstLine="616" w:firstLineChars="200"/>
        <w:rPr>
          <w:rFonts w:ascii="Calibri" w:hAnsi="Calibri" w:eastAsia="仿宋_GB2312" w:cs="宋体"/>
          <w:color w:val="auto"/>
          <w:spacing w:val="-6"/>
          <w:kern w:val="0"/>
          <w:sz w:val="32"/>
          <w:szCs w:val="32"/>
        </w:rPr>
      </w:pPr>
      <w:r>
        <w:rPr>
          <w:rFonts w:hint="eastAsia" w:ascii="Calibri" w:hAnsi="Calibri" w:eastAsia="仿宋_GB2312" w:cs="宋体"/>
          <w:color w:val="auto"/>
          <w:spacing w:val="-6"/>
          <w:kern w:val="0"/>
          <w:sz w:val="32"/>
          <w:szCs w:val="32"/>
        </w:rPr>
        <w:t>修改采用是指国家标准的技术内容或文本结构与所采用国际标准存在差异，同时清楚说明了这些差异及其产生的原因，并且保留了大部分内容和重要条款，代号为</w:t>
      </w:r>
      <w:r>
        <w:rPr>
          <w:rFonts w:hint="eastAsia" w:ascii="仿宋_GB2312" w:hAnsi="仿宋_GB2312" w:eastAsia="仿宋_GB2312" w:cs="仿宋_GB2312"/>
          <w:color w:val="auto"/>
          <w:spacing w:val="-6"/>
          <w:kern w:val="0"/>
          <w:sz w:val="32"/>
          <w:szCs w:val="32"/>
        </w:rPr>
        <w:t>MOD</w:t>
      </w:r>
      <w:r>
        <w:rPr>
          <w:rFonts w:hint="eastAsia" w:ascii="Calibri" w:hAnsi="Calibri" w:eastAsia="仿宋_GB2312" w:cs="宋体"/>
          <w:color w:val="auto"/>
          <w:spacing w:val="-6"/>
          <w:kern w:val="0"/>
          <w:sz w:val="32"/>
          <w:szCs w:val="32"/>
        </w:rPr>
        <w:t>。</w:t>
      </w:r>
    </w:p>
    <w:p>
      <w:pPr>
        <w:spacing w:line="594" w:lineRule="exact"/>
        <w:ind w:firstLine="640" w:firstLineChars="200"/>
        <w:rPr>
          <w:rFonts w:ascii="Calibri" w:hAnsi="Calibri" w:eastAsia="仿宋_GB2312" w:cs="宋体"/>
          <w:color w:val="auto"/>
          <w:spacing w:val="-6"/>
          <w:kern w:val="0"/>
          <w:sz w:val="32"/>
          <w:szCs w:val="32"/>
        </w:rPr>
      </w:pPr>
      <w:r>
        <w:rPr>
          <w:rFonts w:hint="eastAsia" w:ascii="黑体" w:hAnsi="黑体" w:eastAsia="黑体" w:cs="黑体"/>
          <w:color w:val="auto"/>
          <w:kern w:val="0"/>
          <w:sz w:val="32"/>
        </w:rPr>
        <w:t>第六条 【减小差异】</w:t>
      </w:r>
      <w:r>
        <w:rPr>
          <w:rFonts w:hint="eastAsia" w:ascii="Calibri" w:hAnsi="Calibri" w:eastAsia="仿宋_GB2312" w:cs="宋体"/>
          <w:color w:val="auto"/>
          <w:spacing w:val="-6"/>
          <w:kern w:val="0"/>
          <w:sz w:val="32"/>
          <w:szCs w:val="32"/>
        </w:rPr>
        <w:t>鼓励等同采用国际标准</w:t>
      </w:r>
      <w:r>
        <w:rPr>
          <w:rFonts w:ascii="Calibri" w:hAnsi="Calibri" w:eastAsia="仿宋_GB2312" w:cs="宋体"/>
          <w:color w:val="auto"/>
          <w:spacing w:val="-6"/>
          <w:kern w:val="0"/>
          <w:sz w:val="32"/>
          <w:szCs w:val="32"/>
        </w:rPr>
        <w:t>。</w:t>
      </w:r>
      <w:r>
        <w:rPr>
          <w:rFonts w:hint="eastAsia" w:ascii="Calibri" w:hAnsi="Calibri" w:eastAsia="仿宋_GB2312" w:cs="宋体"/>
          <w:color w:val="auto"/>
          <w:spacing w:val="-6"/>
          <w:kern w:val="0"/>
          <w:sz w:val="32"/>
          <w:szCs w:val="32"/>
        </w:rPr>
        <w:t>由于保障人身健康和生命财产安全、国家安全、生态环境安全等的需要，或基本的气候、地理、技术等条件存在差异</w:t>
      </w:r>
      <w:r>
        <w:rPr>
          <w:rFonts w:ascii="Calibri" w:hAnsi="Calibri" w:eastAsia="仿宋_GB2312" w:cs="宋体"/>
          <w:color w:val="auto"/>
          <w:spacing w:val="-6"/>
          <w:kern w:val="0"/>
          <w:sz w:val="32"/>
          <w:szCs w:val="32"/>
        </w:rPr>
        <w:t>，</w:t>
      </w:r>
      <w:r>
        <w:rPr>
          <w:rFonts w:hint="eastAsia" w:ascii="Calibri" w:hAnsi="Calibri" w:eastAsia="仿宋_GB2312" w:cs="宋体"/>
          <w:color w:val="auto"/>
          <w:spacing w:val="-6"/>
          <w:kern w:val="0"/>
          <w:sz w:val="32"/>
          <w:szCs w:val="32"/>
        </w:rPr>
        <w:t>可以在制定国家标准时进行合理、必要的修改。</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第七条 【跟踪国际】</w:t>
      </w:r>
      <w:r>
        <w:rPr>
          <w:rFonts w:hint="eastAsia" w:ascii="仿宋_GB2312" w:hAnsi="仿宋_GB2312" w:eastAsia="仿宋_GB2312" w:cs="仿宋_GB2312"/>
          <w:color w:val="auto"/>
          <w:sz w:val="32"/>
          <w:szCs w:val="32"/>
        </w:rPr>
        <w:t>国际标准组织国内技术对口单位应当</w:t>
      </w:r>
      <w:r>
        <w:rPr>
          <w:rFonts w:hint="eastAsia" w:ascii="仿宋_GB2312" w:hAnsi="宋体" w:eastAsia="仿宋_GB2312" w:cs="宋体"/>
          <w:color w:val="auto"/>
          <w:sz w:val="32"/>
          <w:szCs w:val="32"/>
        </w:rPr>
        <w:t>跟踪研究国际标准最新进展与发展趋势，</w:t>
      </w:r>
      <w:r>
        <w:rPr>
          <w:rFonts w:hint="eastAsia" w:ascii="仿宋_GB2312" w:hAnsi="仿宋_GB2312" w:eastAsia="仿宋_GB2312" w:cs="仿宋_GB2312"/>
          <w:color w:val="auto"/>
          <w:sz w:val="32"/>
          <w:szCs w:val="32"/>
        </w:rPr>
        <w:t>国际标准制定阶段更新</w:t>
      </w:r>
      <w:r>
        <w:rPr>
          <w:rFonts w:ascii="仿宋_GB2312" w:hAnsi="仿宋_GB2312" w:eastAsia="仿宋_GB2312" w:cs="仿宋_GB2312"/>
          <w:color w:val="auto"/>
          <w:sz w:val="32"/>
          <w:szCs w:val="32"/>
        </w:rPr>
        <w:t>30天内应当向全国专业标准化技术委员会等相关方反馈国际标准进展等信息。</w:t>
      </w:r>
    </w:p>
    <w:p>
      <w:pPr>
        <w:spacing w:line="594" w:lineRule="exact"/>
        <w:ind w:firstLine="640" w:firstLineChars="200"/>
        <w:rPr>
          <w:rFonts w:ascii="仿宋_GB2312" w:hAnsi="宋体" w:eastAsia="仿宋_GB2312" w:cs="宋体"/>
          <w:color w:val="auto"/>
          <w:sz w:val="32"/>
          <w:szCs w:val="32"/>
        </w:rPr>
      </w:pPr>
      <w:r>
        <w:rPr>
          <w:rFonts w:hint="eastAsia" w:ascii="黑体" w:hAnsi="黑体" w:eastAsia="黑体" w:cs="黑体"/>
          <w:color w:val="auto"/>
          <w:kern w:val="0"/>
          <w:sz w:val="32"/>
        </w:rPr>
        <w:t>第八条 【适用性分析】</w:t>
      </w:r>
      <w:r>
        <w:rPr>
          <w:rFonts w:hint="eastAsia" w:ascii="仿宋_GB2312" w:hAnsi="宋体" w:eastAsia="仿宋_GB2312" w:cs="宋体"/>
          <w:color w:val="auto"/>
          <w:sz w:val="32"/>
          <w:szCs w:val="32"/>
        </w:rPr>
        <w:t>国务院标准化行政主管部门</w:t>
      </w:r>
      <w:r>
        <w:rPr>
          <w:rFonts w:hint="eastAsia" w:ascii="仿宋_GB2312" w:hAnsi="仿宋_GB2312" w:eastAsia="仿宋_GB2312" w:cs="仿宋_GB2312"/>
          <w:color w:val="auto"/>
          <w:sz w:val="32"/>
          <w:szCs w:val="32"/>
        </w:rPr>
        <w:t>组织</w:t>
      </w:r>
      <w:r>
        <w:rPr>
          <w:rFonts w:hint="eastAsia" w:ascii="仿宋_GB2312" w:hAnsi="宋体" w:eastAsia="仿宋_GB2312" w:cs="宋体"/>
          <w:color w:val="auto"/>
          <w:sz w:val="32"/>
          <w:szCs w:val="32"/>
        </w:rPr>
        <w:t>技术委员会或专家研究分析本领域相关国际标准与我国国情的适用性。适用性分析一般包括下列内容：</w:t>
      </w:r>
    </w:p>
    <w:p>
      <w:pPr>
        <w:spacing w:line="594" w:lineRule="exact"/>
        <w:ind w:firstLine="640" w:firstLineChars="200"/>
        <w:rPr>
          <w:rFonts w:ascii="仿宋_GB2312" w:hAnsi="宋体" w:eastAsia="仿宋_GB2312" w:cs="宋体"/>
          <w:color w:val="auto"/>
          <w:sz w:val="32"/>
          <w:szCs w:val="32"/>
        </w:rPr>
      </w:pPr>
      <w:r>
        <w:rPr>
          <w:rFonts w:hint="eastAsia" w:ascii="仿宋_GB2312" w:hAnsi="宋体" w:eastAsia="仿宋_GB2312" w:cs="宋体"/>
          <w:color w:val="auto"/>
          <w:sz w:val="32"/>
          <w:szCs w:val="32"/>
        </w:rPr>
        <w:t>（一）是否符合我国法律、行政法规和强制性标准的规定，是否符合我国相关行业规划和产业政策，国际标准相关知识产权在我国应用的可行性等；</w:t>
      </w:r>
    </w:p>
    <w:p>
      <w:pPr>
        <w:spacing w:line="594" w:lineRule="exact"/>
        <w:ind w:firstLine="640" w:firstLineChars="200"/>
        <w:rPr>
          <w:rFonts w:ascii="仿宋_GB2312" w:hAnsi="宋体" w:eastAsia="仿宋_GB2312" w:cs="宋体"/>
          <w:color w:val="auto"/>
          <w:sz w:val="32"/>
          <w:szCs w:val="32"/>
        </w:rPr>
      </w:pPr>
      <w:r>
        <w:rPr>
          <w:rFonts w:hint="eastAsia" w:ascii="仿宋_GB2312" w:hAnsi="宋体" w:eastAsia="仿宋_GB2312" w:cs="宋体"/>
          <w:color w:val="auto"/>
          <w:sz w:val="32"/>
          <w:szCs w:val="32"/>
        </w:rPr>
        <w:t>（二）与我国基本气候、地理等自然条件的符合性，与宗教、风俗习惯等文化因素的友好程度；</w:t>
      </w:r>
    </w:p>
    <w:p>
      <w:pPr>
        <w:spacing w:line="594" w:lineRule="exact"/>
        <w:ind w:firstLine="640" w:firstLineChars="200"/>
        <w:rPr>
          <w:rFonts w:ascii="仿宋_GB2312" w:hAnsi="宋体" w:eastAsia="仿宋_GB2312" w:cs="宋体"/>
          <w:color w:val="auto"/>
          <w:sz w:val="32"/>
          <w:szCs w:val="32"/>
        </w:rPr>
      </w:pPr>
      <w:r>
        <w:rPr>
          <w:rFonts w:hint="eastAsia" w:ascii="仿宋_GB2312" w:hAnsi="宋体" w:eastAsia="仿宋_GB2312" w:cs="宋体"/>
          <w:color w:val="auto"/>
          <w:sz w:val="32"/>
          <w:szCs w:val="32"/>
        </w:rPr>
        <w:t>（三）技术水平的先进性，技术内容与我国技术发展方向的符合性、在我国应用的可操作性，相关技术要求与我国标准是否协调衔接等；</w:t>
      </w:r>
    </w:p>
    <w:p>
      <w:pPr>
        <w:spacing w:line="594" w:lineRule="exact"/>
        <w:ind w:firstLine="640" w:firstLineChars="200"/>
        <w:rPr>
          <w:rFonts w:ascii="仿宋_GB2312" w:hAnsi="宋体" w:eastAsia="仿宋_GB2312" w:cs="宋体"/>
          <w:color w:val="auto"/>
          <w:sz w:val="32"/>
          <w:szCs w:val="32"/>
        </w:rPr>
      </w:pPr>
      <w:r>
        <w:rPr>
          <w:rFonts w:hint="eastAsia" w:ascii="仿宋_GB2312" w:hAnsi="宋体" w:eastAsia="仿宋_GB2312" w:cs="宋体"/>
          <w:color w:val="auto"/>
          <w:sz w:val="32"/>
          <w:szCs w:val="32"/>
        </w:rPr>
        <w:t>（四）实施预期的经济效益、社会效益和生态效益，包括在促进产业发展、规范社会治理、便利国内国际贸易水平等方面的作用。</w:t>
      </w:r>
    </w:p>
    <w:p>
      <w:pPr>
        <w:spacing w:line="594" w:lineRule="exact"/>
        <w:ind w:firstLine="640" w:firstLineChars="200"/>
        <w:rPr>
          <w:rFonts w:ascii="Times New Roman" w:hAnsi="Times New Roman" w:eastAsia="宋体" w:cs="Times New Roman"/>
          <w:color w:val="auto"/>
        </w:rPr>
      </w:pPr>
      <w:r>
        <w:rPr>
          <w:rFonts w:hint="eastAsia" w:ascii="黑体" w:hAnsi="黑体" w:eastAsia="黑体" w:cs="黑体"/>
          <w:color w:val="auto"/>
          <w:kern w:val="0"/>
          <w:sz w:val="32"/>
        </w:rPr>
        <w:t>第九条 【开展验证】</w:t>
      </w:r>
      <w:r>
        <w:rPr>
          <w:rFonts w:hint="eastAsia" w:ascii="仿宋_GB2312" w:hAnsi="宋体" w:eastAsia="仿宋_GB2312" w:cs="宋体"/>
          <w:color w:val="auto"/>
          <w:sz w:val="32"/>
          <w:szCs w:val="32"/>
        </w:rPr>
        <w:t>国务院标准化行政主管部门组织技术委员会或专家根据需要对现行国际标准技术要求、试验检验方法等开展验证，包括与我国应用环境、生产工艺、设备等方面的适应性，试验和检验条件是否可满足、方法是否可操作、结果是否易于复现等。</w:t>
      </w:r>
    </w:p>
    <w:p>
      <w:pPr>
        <w:spacing w:line="594" w:lineRule="exact"/>
        <w:ind w:firstLine="640" w:firstLineChars="200"/>
        <w:rPr>
          <w:rFonts w:ascii="黑体" w:hAnsi="黑体" w:eastAsia="仿宋_GB2312" w:cs="宋体"/>
          <w:color w:val="auto"/>
          <w:kern w:val="0"/>
          <w:sz w:val="32"/>
          <w:szCs w:val="32"/>
        </w:rPr>
      </w:pPr>
      <w:r>
        <w:rPr>
          <w:rFonts w:hint="eastAsia" w:ascii="黑体" w:hAnsi="黑体" w:eastAsia="黑体" w:cs="黑体"/>
          <w:color w:val="auto"/>
          <w:kern w:val="0"/>
          <w:sz w:val="32"/>
        </w:rPr>
        <w:t>第十条 【立项申报】</w:t>
      </w:r>
      <w:r>
        <w:rPr>
          <w:rFonts w:hint="eastAsia" w:ascii="仿宋_GB2312" w:hAnsi="宋体" w:eastAsia="仿宋_GB2312" w:cs="宋体"/>
          <w:color w:val="auto"/>
          <w:sz w:val="32"/>
          <w:szCs w:val="32"/>
        </w:rPr>
        <w:t>国务院有关行政主管部门和技术委员会依据职责对适宜采用的国际标准及时向国务院标准化行政主管部门提出采标国家标准</w:t>
      </w:r>
      <w:r>
        <w:rPr>
          <w:rFonts w:hint="eastAsia" w:ascii="黑体" w:hAnsi="黑体" w:eastAsia="仿宋_GB2312" w:cs="宋体"/>
          <w:color w:val="auto"/>
          <w:kern w:val="0"/>
          <w:sz w:val="32"/>
          <w:szCs w:val="32"/>
        </w:rPr>
        <w:t>立项申请，</w:t>
      </w:r>
      <w:r>
        <w:rPr>
          <w:rFonts w:hint="eastAsia" w:ascii="仿宋_GB2312" w:hAnsi="Times New Roman" w:eastAsia="仿宋_GB2312" w:cs="Times New Roman"/>
          <w:color w:val="auto"/>
          <w:sz w:val="32"/>
          <w:szCs w:val="32"/>
        </w:rPr>
        <w:t>项目申报书应当</w:t>
      </w:r>
      <w:r>
        <w:rPr>
          <w:rFonts w:hint="eastAsia" w:ascii="黑体" w:hAnsi="黑体" w:eastAsia="仿宋_GB2312" w:cs="宋体"/>
          <w:color w:val="auto"/>
          <w:kern w:val="0"/>
          <w:sz w:val="32"/>
          <w:szCs w:val="32"/>
        </w:rPr>
        <w:t>包括</w:t>
      </w:r>
      <w:r>
        <w:rPr>
          <w:rFonts w:hint="eastAsia" w:ascii="仿宋_GB2312" w:hAnsi="Times New Roman" w:eastAsia="仿宋_GB2312" w:cs="Times New Roman"/>
          <w:color w:val="auto"/>
          <w:sz w:val="32"/>
          <w:szCs w:val="32"/>
        </w:rPr>
        <w:t>拟采用</w:t>
      </w:r>
      <w:r>
        <w:rPr>
          <w:rFonts w:hint="eastAsia" w:ascii="仿宋_GB2312" w:hAnsi="宋体" w:eastAsia="仿宋_GB2312" w:cs="宋体"/>
          <w:color w:val="auto"/>
          <w:sz w:val="32"/>
          <w:szCs w:val="32"/>
        </w:rPr>
        <w:t>国际标准制定阶段、适用情况和</w:t>
      </w:r>
      <w:r>
        <w:rPr>
          <w:rFonts w:hint="eastAsia" w:ascii="黑体" w:hAnsi="黑体" w:eastAsia="仿宋_GB2312" w:cs="宋体"/>
          <w:color w:val="auto"/>
          <w:kern w:val="0"/>
          <w:sz w:val="32"/>
          <w:szCs w:val="32"/>
        </w:rPr>
        <w:t>采用程度等说明。</w:t>
      </w:r>
    </w:p>
    <w:p>
      <w:pPr>
        <w:spacing w:line="594" w:lineRule="exact"/>
        <w:ind w:firstLine="640" w:firstLineChars="200"/>
        <w:rPr>
          <w:rFonts w:ascii="仿宋_GB2312" w:hAnsi="宋体" w:eastAsia="仿宋_GB2312" w:cs="宋体"/>
          <w:color w:val="auto"/>
          <w:sz w:val="32"/>
          <w:szCs w:val="32"/>
        </w:rPr>
      </w:pPr>
      <w:r>
        <w:rPr>
          <w:rFonts w:hint="eastAsia" w:ascii="黑体" w:hAnsi="黑体" w:eastAsia="仿宋_GB2312" w:cs="宋体"/>
          <w:color w:val="auto"/>
          <w:kern w:val="0"/>
          <w:sz w:val="32"/>
          <w:szCs w:val="32"/>
        </w:rPr>
        <w:t>对于拟修改采用国际标准的，标准草案应当明确与所采用国际标准的主要技术差异。</w:t>
      </w:r>
    </w:p>
    <w:p>
      <w:pPr>
        <w:spacing w:line="594" w:lineRule="exact"/>
        <w:ind w:firstLine="640" w:firstLineChars="200"/>
        <w:rPr>
          <w:rFonts w:ascii="仿宋_GB2312" w:hAnsi="宋体" w:eastAsia="仿宋_GB2312" w:cs="宋体"/>
          <w:color w:val="auto"/>
          <w:sz w:val="32"/>
          <w:szCs w:val="32"/>
        </w:rPr>
      </w:pPr>
      <w:r>
        <w:rPr>
          <w:rFonts w:hint="eastAsia" w:ascii="黑体" w:hAnsi="黑体" w:eastAsia="黑体" w:cs="黑体"/>
          <w:color w:val="auto"/>
          <w:kern w:val="0"/>
          <w:sz w:val="32"/>
        </w:rPr>
        <w:t>第十一条 【立项评估】</w:t>
      </w:r>
      <w:r>
        <w:rPr>
          <w:rFonts w:hint="eastAsia" w:ascii="仿宋_GB2312" w:hAnsi="宋体" w:eastAsia="仿宋_GB2312" w:cs="宋体"/>
          <w:color w:val="auto"/>
          <w:sz w:val="32"/>
          <w:szCs w:val="32"/>
        </w:rPr>
        <w:t>国务院标准化行政主管部门组织国家标准专业审评机构，对申请立项的采标国家标准项目进行评估，评估应当</w:t>
      </w:r>
      <w:r>
        <w:rPr>
          <w:rFonts w:ascii="仿宋_GB2312" w:hAnsi="宋体" w:eastAsia="仿宋_GB2312" w:cs="宋体"/>
          <w:color w:val="auto"/>
          <w:sz w:val="32"/>
          <w:szCs w:val="32"/>
        </w:rPr>
        <w:t>包括</w:t>
      </w:r>
      <w:r>
        <w:rPr>
          <w:rFonts w:hint="eastAsia" w:ascii="仿宋_GB2312" w:hAnsi="宋体" w:eastAsia="仿宋_GB2312" w:cs="宋体"/>
          <w:color w:val="auto"/>
          <w:sz w:val="32"/>
          <w:szCs w:val="32"/>
        </w:rPr>
        <w:t>下列内容：</w:t>
      </w:r>
    </w:p>
    <w:p>
      <w:pPr>
        <w:spacing w:line="594" w:lineRule="exact"/>
        <w:ind w:firstLine="640" w:firstLineChars="200"/>
        <w:rPr>
          <w:rFonts w:ascii="仿宋_GB2312" w:hAnsi="宋体" w:eastAsia="仿宋_GB2312" w:cs="宋体"/>
          <w:color w:val="auto"/>
          <w:sz w:val="32"/>
          <w:szCs w:val="32"/>
        </w:rPr>
      </w:pPr>
      <w:r>
        <w:rPr>
          <w:rFonts w:hint="eastAsia" w:ascii="仿宋_GB2312" w:hAnsi="宋体" w:eastAsia="仿宋_GB2312" w:cs="宋体"/>
          <w:color w:val="auto"/>
          <w:sz w:val="32"/>
          <w:szCs w:val="32"/>
        </w:rPr>
        <w:t>（一）是否符合国际标准组织的知识产权政策；</w:t>
      </w:r>
    </w:p>
    <w:p>
      <w:pPr>
        <w:spacing w:line="594" w:lineRule="exact"/>
        <w:ind w:firstLine="640" w:firstLineChars="200"/>
        <w:rPr>
          <w:rFonts w:ascii="仿宋_GB2312" w:hAnsi="仿宋_GB2312" w:eastAsia="仿宋_GB2312" w:cs="仿宋_GB2312"/>
          <w:color w:val="auto"/>
          <w:sz w:val="32"/>
          <w:szCs w:val="32"/>
          <w:lang w:val="zh-CN"/>
        </w:rPr>
      </w:pPr>
      <w:r>
        <w:rPr>
          <w:rFonts w:hint="eastAsia" w:ascii="仿宋_GB2312" w:hAnsi="宋体" w:eastAsia="仿宋_GB2312" w:cs="宋体"/>
          <w:color w:val="auto"/>
          <w:sz w:val="32"/>
          <w:szCs w:val="32"/>
        </w:rPr>
        <w:t>（二）</w:t>
      </w:r>
      <w:r>
        <w:rPr>
          <w:rFonts w:hint="eastAsia" w:ascii="仿宋_GB2312" w:hAnsi="仿宋_GB2312" w:eastAsia="仿宋_GB2312" w:cs="仿宋_GB2312"/>
          <w:color w:val="auto"/>
          <w:sz w:val="32"/>
          <w:szCs w:val="32"/>
          <w:lang w:val="zh-CN"/>
        </w:rPr>
        <w:t>采用国际标准的程度是否合理；</w:t>
      </w:r>
    </w:p>
    <w:p>
      <w:pPr>
        <w:spacing w:line="594" w:lineRule="exact"/>
        <w:ind w:firstLine="640" w:firstLineChars="200"/>
        <w:rPr>
          <w:rFonts w:ascii="仿宋_GB2312" w:hAnsi="宋体" w:eastAsia="仿宋_GB2312" w:cs="宋体"/>
          <w:color w:val="auto"/>
          <w:sz w:val="32"/>
          <w:szCs w:val="32"/>
        </w:rPr>
      </w:pPr>
      <w:r>
        <w:rPr>
          <w:rFonts w:hint="eastAsia" w:ascii="仿宋_GB2312" w:hAnsi="仿宋_GB2312" w:eastAsia="仿宋_GB2312" w:cs="仿宋_GB2312"/>
          <w:color w:val="auto"/>
          <w:sz w:val="32"/>
          <w:szCs w:val="32"/>
          <w:lang w:val="zh-CN"/>
        </w:rPr>
        <w:t>（三）</w:t>
      </w:r>
      <w:r>
        <w:rPr>
          <w:rFonts w:hint="eastAsia" w:ascii="仿宋_GB2312" w:hAnsi="宋体" w:eastAsia="仿宋_GB2312" w:cs="宋体"/>
          <w:color w:val="auto"/>
          <w:sz w:val="32"/>
          <w:szCs w:val="32"/>
        </w:rPr>
        <w:t>所采用的制定中的国际标准状态，</w:t>
      </w:r>
      <w:r>
        <w:rPr>
          <w:rFonts w:hint="eastAsia" w:ascii="仿宋_GB2312" w:hAnsi="仿宋_GB2312" w:eastAsia="仿宋_GB2312" w:cs="仿宋_GB2312"/>
          <w:color w:val="auto"/>
          <w:sz w:val="32"/>
          <w:szCs w:val="32"/>
          <w:lang w:val="zh-CN"/>
        </w:rPr>
        <w:t>同步制定为国家标准的可行性。</w:t>
      </w:r>
    </w:p>
    <w:p>
      <w:pPr>
        <w:spacing w:line="594" w:lineRule="exact"/>
        <w:ind w:firstLine="640" w:firstLineChars="200"/>
        <w:rPr>
          <w:rFonts w:ascii="等线" w:hAnsi="等线" w:eastAsia="仿宋_GB2312" w:cs="宋体"/>
          <w:color w:val="auto"/>
          <w:sz w:val="32"/>
          <w:szCs w:val="32"/>
        </w:rPr>
      </w:pPr>
      <w:r>
        <w:rPr>
          <w:rFonts w:hint="eastAsia" w:ascii="黑体" w:hAnsi="黑体" w:eastAsia="黑体" w:cs="黑体"/>
          <w:color w:val="auto"/>
          <w:kern w:val="0"/>
          <w:sz w:val="32"/>
        </w:rPr>
        <w:t>第十二条 【应采尽采】</w:t>
      </w:r>
      <w:r>
        <w:rPr>
          <w:rFonts w:hint="eastAsia" w:ascii="仿宋_GB2312" w:hAnsi="宋体" w:eastAsia="仿宋_GB2312" w:cs="宋体"/>
          <w:color w:val="auto"/>
          <w:sz w:val="32"/>
          <w:szCs w:val="32"/>
        </w:rPr>
        <w:t>立项评估通过的采标国家标准项目，原则上予以优先立项。</w:t>
      </w:r>
    </w:p>
    <w:p>
      <w:pPr>
        <w:spacing w:line="594" w:lineRule="exact"/>
        <w:ind w:firstLine="640" w:firstLineChars="200"/>
        <w:rPr>
          <w:rFonts w:ascii="Times New Roman" w:hAnsi="Times New Roman" w:eastAsia="宋体" w:cs="Times New Roman"/>
          <w:color w:val="auto"/>
          <w:szCs w:val="20"/>
        </w:rPr>
      </w:pPr>
      <w:r>
        <w:rPr>
          <w:rFonts w:hint="eastAsia" w:ascii="黑体" w:hAnsi="黑体" w:eastAsia="黑体" w:cs="黑体"/>
          <w:color w:val="auto"/>
          <w:kern w:val="0"/>
          <w:sz w:val="32"/>
        </w:rPr>
        <w:t>第十三条 【制定周期】</w:t>
      </w:r>
      <w:r>
        <w:rPr>
          <w:rFonts w:hint="eastAsia" w:ascii="Calibri" w:hAnsi="Calibri" w:eastAsia="仿宋_GB2312" w:cs="宋体"/>
          <w:color w:val="auto"/>
          <w:spacing w:val="-6"/>
          <w:kern w:val="0"/>
          <w:sz w:val="32"/>
          <w:szCs w:val="32"/>
        </w:rPr>
        <w:t>鼓励采标国家标准的制定与相应国际标准制定同步。</w:t>
      </w:r>
      <w:r>
        <w:rPr>
          <w:rFonts w:hint="eastAsia" w:ascii="仿宋_GB2312" w:hAnsi="宋体" w:eastAsia="仿宋_GB2312" w:cs="宋体"/>
          <w:color w:val="auto"/>
          <w:sz w:val="32"/>
          <w:szCs w:val="32"/>
        </w:rPr>
        <w:t>采用现行国际标准时，采标国家标准项目从计划下达到报送报批材料的期限一般不得超过十二个月。</w:t>
      </w:r>
    </w:p>
    <w:p>
      <w:pPr>
        <w:spacing w:line="594" w:lineRule="exact"/>
        <w:ind w:firstLine="640" w:firstLineChars="200"/>
        <w:rPr>
          <w:rFonts w:ascii="仿宋_GB2312" w:hAnsi="仿宋_GB2312" w:eastAsia="仿宋_GB2312" w:cs="仿宋_GB2312"/>
          <w:color w:val="auto"/>
          <w:sz w:val="32"/>
          <w:szCs w:val="32"/>
          <w:lang w:val="zh-CN"/>
        </w:rPr>
      </w:pPr>
      <w:r>
        <w:rPr>
          <w:rFonts w:hint="eastAsia" w:ascii="黑体" w:hAnsi="黑体" w:eastAsia="黑体" w:cs="黑体"/>
          <w:color w:val="auto"/>
          <w:kern w:val="0"/>
          <w:sz w:val="32"/>
        </w:rPr>
        <w:t>第十四条 【起草要求】</w:t>
      </w:r>
      <w:r>
        <w:rPr>
          <w:rFonts w:hint="eastAsia" w:ascii="仿宋_GB2312" w:hAnsi="仿宋_GB2312" w:eastAsia="仿宋_GB2312" w:cs="仿宋_GB2312"/>
          <w:color w:val="auto"/>
          <w:sz w:val="32"/>
          <w:szCs w:val="32"/>
          <w:lang w:val="zh-CN"/>
        </w:rPr>
        <w:t>采标国家标准的</w:t>
      </w:r>
      <w:r>
        <w:rPr>
          <w:rFonts w:hint="eastAsia" w:ascii="仿宋_GB2312" w:hAnsi="仿宋_GB2312" w:eastAsia="仿宋_GB2312" w:cs="仿宋_GB2312"/>
          <w:color w:val="auto"/>
          <w:sz w:val="32"/>
          <w:szCs w:val="32"/>
        </w:rPr>
        <w:t>起草</w:t>
      </w:r>
      <w:r>
        <w:rPr>
          <w:rFonts w:hint="eastAsia" w:ascii="仿宋_GB2312" w:hAnsi="仿宋_GB2312" w:eastAsia="仿宋_GB2312" w:cs="仿宋_GB2312"/>
          <w:color w:val="auto"/>
          <w:sz w:val="32"/>
          <w:szCs w:val="32"/>
          <w:lang w:val="zh-CN"/>
        </w:rPr>
        <w:t>应当符合以国际标准为基础起草国家标准的要求，条款句式结构及修辞方法应当符合中文表达习惯。</w:t>
      </w:r>
    </w:p>
    <w:p>
      <w:pPr>
        <w:spacing w:line="594" w:lineRule="exact"/>
        <w:ind w:firstLine="640" w:firstLineChars="200"/>
        <w:rPr>
          <w:rFonts w:ascii="Times New Roman" w:hAnsi="Times New Roman" w:eastAsia="仿宋_GB2312" w:cs="Times New Roman"/>
          <w:color w:val="auto"/>
          <w:kern w:val="0"/>
          <w:sz w:val="32"/>
          <w:szCs w:val="32"/>
        </w:rPr>
      </w:pPr>
      <w:r>
        <w:rPr>
          <w:rFonts w:hint="eastAsia" w:ascii="黑体" w:hAnsi="黑体" w:eastAsia="黑体" w:cs="黑体"/>
          <w:color w:val="auto"/>
          <w:kern w:val="0"/>
          <w:sz w:val="32"/>
        </w:rPr>
        <w:t>第</w:t>
      </w:r>
      <w:r>
        <w:rPr>
          <w:rFonts w:ascii="黑体" w:hAnsi="黑体" w:eastAsia="黑体" w:cs="黑体"/>
          <w:color w:val="auto"/>
          <w:kern w:val="0"/>
          <w:sz w:val="32"/>
        </w:rPr>
        <w:t>十</w:t>
      </w:r>
      <w:r>
        <w:rPr>
          <w:rFonts w:hint="eastAsia" w:ascii="黑体" w:hAnsi="黑体" w:eastAsia="黑体" w:cs="黑体"/>
          <w:color w:val="auto"/>
          <w:kern w:val="0"/>
          <w:sz w:val="32"/>
        </w:rPr>
        <w:t>五条 【项目报批】</w:t>
      </w:r>
      <w:r>
        <w:rPr>
          <w:rFonts w:hint="eastAsia" w:ascii="仿宋_GB2312" w:hAnsi="黑体" w:eastAsia="仿宋_GB2312" w:cs="黑体"/>
          <w:color w:val="auto"/>
          <w:kern w:val="0"/>
          <w:sz w:val="32"/>
        </w:rPr>
        <w:t>采标</w:t>
      </w:r>
      <w:r>
        <w:rPr>
          <w:rFonts w:hint="eastAsia" w:ascii="Times New Roman" w:hAnsi="Times New Roman" w:eastAsia="仿宋_GB2312" w:cs="Times New Roman"/>
          <w:color w:val="auto"/>
          <w:kern w:val="0"/>
          <w:sz w:val="32"/>
          <w:szCs w:val="32"/>
        </w:rPr>
        <w:t>国家标准报批材料中</w:t>
      </w:r>
      <w:r>
        <w:rPr>
          <w:rFonts w:hint="eastAsia" w:ascii="仿宋_GB2312" w:hAnsi="宋体" w:eastAsia="仿宋_GB2312" w:cs="宋体"/>
          <w:color w:val="auto"/>
          <w:sz w:val="32"/>
          <w:szCs w:val="32"/>
        </w:rPr>
        <w:t>应当</w:t>
      </w:r>
      <w:r>
        <w:rPr>
          <w:rFonts w:ascii="仿宋_GB2312" w:hAnsi="宋体" w:eastAsia="仿宋_GB2312" w:cs="宋体"/>
          <w:color w:val="auto"/>
          <w:sz w:val="32"/>
          <w:szCs w:val="32"/>
        </w:rPr>
        <w:t>包括</w:t>
      </w:r>
      <w:r>
        <w:rPr>
          <w:rFonts w:hint="eastAsia" w:ascii="仿宋_GB2312" w:hAnsi="宋体" w:eastAsia="仿宋_GB2312" w:cs="宋体"/>
          <w:color w:val="auto"/>
          <w:sz w:val="32"/>
          <w:szCs w:val="32"/>
        </w:rPr>
        <w:t>所采用国际标准译文，修改采用国际标准时与对应国际标准的差异合理性说明</w:t>
      </w:r>
      <w:r>
        <w:rPr>
          <w:rFonts w:hint="eastAsia" w:ascii="Times New Roman" w:hAnsi="Times New Roman" w:eastAsia="仿宋_GB2312" w:cs="Times New Roman"/>
          <w:color w:val="auto"/>
          <w:kern w:val="0"/>
          <w:sz w:val="32"/>
          <w:szCs w:val="32"/>
        </w:rPr>
        <w:t>，必要时应当提供试验验证材料。</w:t>
      </w:r>
    </w:p>
    <w:p>
      <w:pPr>
        <w:spacing w:line="594"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黑体" w:cs="Times New Roman"/>
          <w:color w:val="auto"/>
          <w:kern w:val="0"/>
          <w:sz w:val="32"/>
          <w:szCs w:val="32"/>
        </w:rPr>
        <w:t>第十</w:t>
      </w:r>
      <w:r>
        <w:rPr>
          <w:rFonts w:hint="eastAsia" w:ascii="Times New Roman" w:hAnsi="Times New Roman" w:eastAsia="黑体" w:cs="Times New Roman"/>
          <w:color w:val="auto"/>
          <w:kern w:val="0"/>
          <w:sz w:val="32"/>
          <w:szCs w:val="32"/>
        </w:rPr>
        <w:t>六</w:t>
      </w:r>
      <w:r>
        <w:rPr>
          <w:rFonts w:ascii="Times New Roman" w:hAnsi="Times New Roman" w:eastAsia="黑体" w:cs="Times New Roman"/>
          <w:color w:val="auto"/>
          <w:kern w:val="0"/>
          <w:sz w:val="32"/>
          <w:szCs w:val="32"/>
        </w:rPr>
        <w:t>条</w:t>
      </w:r>
      <w:r>
        <w:rPr>
          <w:rFonts w:hint="eastAsia" w:ascii="Times New Roman" w:hAnsi="Times New Roman" w:eastAsia="黑体" w:cs="Times New Roman"/>
          <w:color w:val="auto"/>
          <w:kern w:val="0"/>
          <w:sz w:val="32"/>
          <w:szCs w:val="32"/>
        </w:rPr>
        <w:t xml:space="preserve"> </w:t>
      </w:r>
      <w:r>
        <w:rPr>
          <w:rFonts w:ascii="Times New Roman" w:hAnsi="Times New Roman" w:eastAsia="黑体" w:cs="Times New Roman"/>
          <w:color w:val="auto"/>
          <w:kern w:val="0"/>
          <w:sz w:val="32"/>
          <w:szCs w:val="32"/>
        </w:rPr>
        <w:t>【报批审核】</w:t>
      </w:r>
      <w:r>
        <w:rPr>
          <w:rFonts w:hint="eastAsia" w:ascii="仿宋_GB2312" w:hAnsi="宋体" w:eastAsia="仿宋_GB2312" w:cs="宋体"/>
          <w:color w:val="auto"/>
          <w:sz w:val="32"/>
          <w:szCs w:val="32"/>
        </w:rPr>
        <w:t>国务院标准化行政主管部门委托国家标准专业审评机构对</w:t>
      </w:r>
      <w:r>
        <w:rPr>
          <w:rFonts w:hint="eastAsia" w:ascii="Times New Roman" w:hAnsi="Times New Roman" w:eastAsia="仿宋_GB2312" w:cs="Times New Roman"/>
          <w:color w:val="auto"/>
          <w:kern w:val="0"/>
          <w:sz w:val="32"/>
          <w:szCs w:val="32"/>
        </w:rPr>
        <w:t>采标国家</w:t>
      </w:r>
      <w:r>
        <w:rPr>
          <w:rFonts w:ascii="Times New Roman" w:hAnsi="Times New Roman" w:eastAsia="仿宋_GB2312" w:cs="Times New Roman"/>
          <w:color w:val="auto"/>
          <w:kern w:val="0"/>
          <w:sz w:val="32"/>
          <w:szCs w:val="32"/>
        </w:rPr>
        <w:t>标准</w:t>
      </w:r>
      <w:r>
        <w:rPr>
          <w:rFonts w:hint="eastAsia" w:ascii="Times New Roman" w:hAnsi="Times New Roman" w:eastAsia="仿宋_GB2312" w:cs="Times New Roman"/>
          <w:color w:val="auto"/>
          <w:kern w:val="0"/>
          <w:sz w:val="32"/>
          <w:szCs w:val="32"/>
        </w:rPr>
        <w:t>的</w:t>
      </w:r>
      <w:r>
        <w:rPr>
          <w:rFonts w:ascii="Times New Roman" w:hAnsi="Times New Roman" w:eastAsia="仿宋_GB2312" w:cs="Times New Roman"/>
          <w:color w:val="auto"/>
          <w:kern w:val="0"/>
          <w:sz w:val="32"/>
          <w:szCs w:val="32"/>
        </w:rPr>
        <w:t>报批材料</w:t>
      </w:r>
      <w:r>
        <w:rPr>
          <w:rFonts w:hint="eastAsia" w:ascii="仿宋_GB2312" w:hAnsi="宋体" w:eastAsia="仿宋_GB2312" w:cs="宋体"/>
          <w:color w:val="auto"/>
          <w:sz w:val="32"/>
          <w:szCs w:val="32"/>
        </w:rPr>
        <w:t>进行审核，</w:t>
      </w:r>
      <w:r>
        <w:rPr>
          <w:rFonts w:hint="eastAsia" w:ascii="Times New Roman" w:hAnsi="Times New Roman" w:eastAsia="仿宋_GB2312" w:cs="Times New Roman"/>
          <w:color w:val="auto"/>
          <w:kern w:val="0"/>
          <w:sz w:val="32"/>
          <w:szCs w:val="32"/>
        </w:rPr>
        <w:t>审核应当包括下列内容：</w:t>
      </w:r>
    </w:p>
    <w:p>
      <w:pPr>
        <w:widowControl/>
        <w:numPr>
          <w:ilvl w:val="0"/>
          <w:numId w:val="1"/>
        </w:numPr>
        <w:spacing w:line="594" w:lineRule="exact"/>
        <w:ind w:firstLine="624"/>
        <w:rPr>
          <w:rFonts w:ascii="仿宋_GB2312" w:hAnsi="宋体" w:eastAsia="仿宋_GB2312" w:cs="宋体"/>
          <w:color w:val="auto"/>
          <w:sz w:val="32"/>
          <w:szCs w:val="32"/>
        </w:rPr>
      </w:pPr>
      <w:r>
        <w:rPr>
          <w:rFonts w:hint="eastAsia" w:ascii="仿宋_GB2312" w:hAnsi="宋体" w:eastAsia="仿宋_GB2312" w:cs="宋体"/>
          <w:color w:val="auto"/>
          <w:sz w:val="32"/>
          <w:szCs w:val="32"/>
        </w:rPr>
        <w:t>报批材料中是否明确说明国际标准与我国国情的适用性，并经过必要的</w:t>
      </w:r>
      <w:r>
        <w:rPr>
          <w:rFonts w:hint="eastAsia" w:ascii="Times New Roman" w:hAnsi="Times New Roman" w:eastAsia="仿宋_GB2312" w:cs="Times New Roman"/>
          <w:color w:val="auto"/>
          <w:kern w:val="0"/>
          <w:sz w:val="32"/>
          <w:szCs w:val="32"/>
        </w:rPr>
        <w:t>试验验证</w:t>
      </w:r>
      <w:r>
        <w:rPr>
          <w:rFonts w:hint="eastAsia" w:ascii="仿宋_GB2312" w:hAnsi="宋体" w:eastAsia="仿宋_GB2312" w:cs="宋体"/>
          <w:color w:val="auto"/>
          <w:sz w:val="32"/>
          <w:szCs w:val="32"/>
        </w:rPr>
        <w:t>；</w:t>
      </w:r>
    </w:p>
    <w:p>
      <w:pPr>
        <w:widowControl/>
        <w:numPr>
          <w:ilvl w:val="0"/>
          <w:numId w:val="1"/>
        </w:numPr>
        <w:spacing w:line="594" w:lineRule="exact"/>
        <w:ind w:firstLine="624"/>
        <w:rPr>
          <w:rFonts w:ascii="仿宋_GB2312" w:hAnsi="宋体" w:eastAsia="仿宋_GB2312" w:cs="宋体"/>
          <w:color w:val="auto"/>
          <w:sz w:val="32"/>
          <w:szCs w:val="32"/>
        </w:rPr>
      </w:pPr>
      <w:r>
        <w:rPr>
          <w:rFonts w:hint="eastAsia" w:ascii="仿宋_GB2312" w:hAnsi="宋体" w:eastAsia="仿宋_GB2312" w:cs="宋体"/>
          <w:color w:val="auto"/>
          <w:sz w:val="32"/>
          <w:szCs w:val="32"/>
        </w:rPr>
        <w:t>标准编写质量是否符合以国际标准为基础起草国家标准的要求；</w:t>
      </w:r>
    </w:p>
    <w:p>
      <w:pPr>
        <w:widowControl/>
        <w:numPr>
          <w:ilvl w:val="0"/>
          <w:numId w:val="1"/>
        </w:numPr>
        <w:spacing w:line="594" w:lineRule="exact"/>
        <w:ind w:firstLine="624"/>
        <w:rPr>
          <w:rFonts w:ascii="仿宋_GB2312" w:hAnsi="宋体" w:eastAsia="仿宋_GB2312" w:cs="宋体"/>
          <w:color w:val="auto"/>
          <w:sz w:val="32"/>
          <w:szCs w:val="32"/>
        </w:rPr>
      </w:pPr>
      <w:r>
        <w:rPr>
          <w:rFonts w:hint="eastAsia" w:ascii="仿宋_GB2312" w:hAnsi="宋体" w:eastAsia="仿宋_GB2312" w:cs="宋体"/>
          <w:color w:val="auto"/>
          <w:sz w:val="32"/>
          <w:szCs w:val="32"/>
        </w:rPr>
        <w:t>是否符合国际标准组织的知识产权政策；</w:t>
      </w:r>
    </w:p>
    <w:p>
      <w:pPr>
        <w:widowControl/>
        <w:numPr>
          <w:ilvl w:val="0"/>
          <w:numId w:val="1"/>
        </w:numPr>
        <w:spacing w:line="594" w:lineRule="exact"/>
        <w:ind w:firstLine="624"/>
        <w:rPr>
          <w:rFonts w:ascii="仿宋_GB2312" w:hAnsi="宋体" w:eastAsia="仿宋_GB2312" w:cs="宋体"/>
          <w:color w:val="auto"/>
          <w:sz w:val="32"/>
          <w:szCs w:val="32"/>
        </w:rPr>
      </w:pPr>
      <w:r>
        <w:rPr>
          <w:rFonts w:hint="eastAsia" w:ascii="仿宋_GB2312" w:hAnsi="宋体" w:eastAsia="仿宋_GB2312" w:cs="宋体"/>
          <w:color w:val="auto"/>
          <w:sz w:val="32"/>
          <w:szCs w:val="32"/>
        </w:rPr>
        <w:t>需要审查的其他内容。</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w:t>
      </w:r>
      <w:r>
        <w:rPr>
          <w:rFonts w:ascii="黑体" w:hAnsi="黑体" w:eastAsia="黑体" w:cs="黑体"/>
          <w:color w:val="auto"/>
          <w:kern w:val="0"/>
          <w:sz w:val="32"/>
        </w:rPr>
        <w:t>十</w:t>
      </w:r>
      <w:r>
        <w:rPr>
          <w:rFonts w:hint="eastAsia" w:ascii="黑体" w:hAnsi="黑体" w:eastAsia="黑体" w:cs="黑体"/>
          <w:color w:val="auto"/>
          <w:kern w:val="0"/>
          <w:sz w:val="32"/>
        </w:rPr>
        <w:t>七条 【编号规则】</w:t>
      </w:r>
      <w:r>
        <w:rPr>
          <w:rFonts w:hint="eastAsia" w:ascii="仿宋_GB2312" w:hAnsi="仿宋_GB2312" w:eastAsia="仿宋_GB2312" w:cs="仿宋_GB2312"/>
          <w:color w:val="auto"/>
          <w:sz w:val="32"/>
          <w:szCs w:val="32"/>
        </w:rPr>
        <w:t>等同采用国际标准时，应当在采标国家标准编号之后同时标示所采用国际标准的编号。修改采用国际标准时，采标国家标准编号之后不得标示所采用国际标准的编号。</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第十八条 【标准公开】</w:t>
      </w:r>
      <w:r>
        <w:rPr>
          <w:rFonts w:hint="eastAsia" w:ascii="仿宋_GB2312" w:hAnsi="仿宋_GB2312" w:eastAsia="仿宋_GB2312" w:cs="仿宋_GB2312"/>
          <w:color w:val="auto"/>
          <w:sz w:val="32"/>
          <w:szCs w:val="32"/>
        </w:rPr>
        <w:t>采标国家标准发布后如需公开文本，应当遵守国际标准组织知识产权政策，选择适当的公开范围和形式。</w:t>
      </w:r>
    </w:p>
    <w:p>
      <w:pPr>
        <w:spacing w:line="594" w:lineRule="exact"/>
        <w:ind w:firstLine="640" w:firstLineChars="200"/>
        <w:rPr>
          <w:rFonts w:ascii="黑体" w:hAnsi="黑体" w:eastAsia="黑体" w:cs="黑体"/>
          <w:color w:val="auto"/>
          <w:kern w:val="0"/>
          <w:sz w:val="32"/>
        </w:rPr>
      </w:pPr>
      <w:r>
        <w:rPr>
          <w:rFonts w:hint="eastAsia" w:ascii="黑体" w:hAnsi="黑体" w:eastAsia="黑体" w:cs="黑体"/>
          <w:color w:val="auto"/>
          <w:kern w:val="0"/>
          <w:sz w:val="32"/>
        </w:rPr>
        <w:t>第十九条 【鼓励参与制定</w:t>
      </w:r>
      <w:r>
        <w:rPr>
          <w:rFonts w:ascii="黑体" w:hAnsi="黑体" w:eastAsia="黑体" w:cs="黑体"/>
          <w:color w:val="auto"/>
          <w:kern w:val="0"/>
          <w:sz w:val="32"/>
        </w:rPr>
        <w:t>和</w:t>
      </w:r>
      <w:r>
        <w:rPr>
          <w:rFonts w:hint="eastAsia" w:ascii="黑体" w:hAnsi="黑体" w:eastAsia="黑体" w:cs="黑体"/>
          <w:color w:val="auto"/>
          <w:kern w:val="0"/>
          <w:sz w:val="32"/>
        </w:rPr>
        <w:t>实施】</w:t>
      </w:r>
      <w:r>
        <w:rPr>
          <w:rFonts w:hint="eastAsia" w:ascii="仿宋_GB2312" w:hAnsi="仿宋_GB2312" w:eastAsia="仿宋_GB2312" w:cs="仿宋_GB2312"/>
          <w:color w:val="auto"/>
          <w:sz w:val="32"/>
          <w:szCs w:val="32"/>
        </w:rPr>
        <w:t>县级以上人民政府标准化行政主管部门、有关行政主管部门应当结合实际，为本地区、本行业内的生产者、经营者、使用者、消费者、公共利益方等相关方参与制定和实施采标国家标准创造有利条件。</w:t>
      </w:r>
    </w:p>
    <w:p>
      <w:pPr>
        <w:spacing w:line="594" w:lineRule="exact"/>
        <w:ind w:firstLine="640" w:firstLineChars="200"/>
        <w:rPr>
          <w:rFonts w:ascii="Times New Roman" w:hAnsi="Times New Roman" w:eastAsia="宋体" w:cs="Times New Roman"/>
          <w:color w:val="auto"/>
          <w:sz w:val="32"/>
          <w:szCs w:val="20"/>
          <w:lang w:val="zh-CN"/>
        </w:rPr>
      </w:pPr>
      <w:r>
        <w:rPr>
          <w:rFonts w:hint="eastAsia" w:ascii="黑体" w:hAnsi="黑体" w:eastAsia="黑体" w:cs="黑体"/>
          <w:color w:val="auto"/>
          <w:kern w:val="0"/>
          <w:sz w:val="32"/>
        </w:rPr>
        <w:t>第二十条 【统计分析】</w:t>
      </w:r>
      <w:r>
        <w:rPr>
          <w:rFonts w:hint="eastAsia" w:ascii="Times New Roman" w:hAnsi="Times New Roman" w:eastAsia="仿宋_GB2312" w:cs="Times New Roman"/>
          <w:color w:val="auto"/>
          <w:sz w:val="32"/>
          <w:szCs w:val="32"/>
          <w:lang w:val="zh-CN"/>
        </w:rPr>
        <w:t>国务院标准化行政主管部门、国务院有关行政主管部门依据职责组织开展重点领域国内、国际标准比对，</w:t>
      </w:r>
      <w:r>
        <w:rPr>
          <w:rFonts w:hint="eastAsia" w:ascii="Times New Roman" w:hAnsi="Times New Roman" w:eastAsia="仿宋_GB2312" w:cs="Times New Roman"/>
          <w:color w:val="auto"/>
          <w:sz w:val="32"/>
          <w:szCs w:val="32"/>
        </w:rPr>
        <w:t>统计国际标准转化情况</w:t>
      </w:r>
      <w:r>
        <w:rPr>
          <w:rFonts w:hint="eastAsia" w:ascii="Times New Roman" w:hAnsi="Times New Roman" w:eastAsia="仿宋_GB2312" w:cs="Times New Roman"/>
          <w:color w:val="auto"/>
          <w:sz w:val="32"/>
          <w:szCs w:val="32"/>
          <w:lang w:val="zh-CN"/>
        </w:rPr>
        <w:t>，收集和分析采标国家标准实施信息。</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第二十一条 【评估反馈】</w:t>
      </w:r>
      <w:r>
        <w:rPr>
          <w:rFonts w:hint="eastAsia" w:ascii="仿宋_GB2312" w:hAnsi="宋体" w:eastAsia="仿宋_GB2312" w:cs="宋体"/>
          <w:color w:val="auto"/>
          <w:sz w:val="32"/>
          <w:szCs w:val="32"/>
        </w:rPr>
        <w:t>国务院标准化行政主管部门组织</w:t>
      </w:r>
      <w:r>
        <w:rPr>
          <w:rFonts w:hint="eastAsia" w:ascii="仿宋_GB2312" w:hAnsi="仿宋_GB2312" w:eastAsia="仿宋_GB2312" w:cs="仿宋_GB2312"/>
          <w:color w:val="auto"/>
          <w:sz w:val="32"/>
          <w:szCs w:val="32"/>
        </w:rPr>
        <w:t>评估采标国家标准对于提升我国产品、过程和服务质量，促进贸易便利化等方面的效果和作用，并向国际标准组织反馈存在的问题和修改建议。</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第二十二条 【标准维护】</w:t>
      </w:r>
      <w:r>
        <w:rPr>
          <w:rFonts w:hint="eastAsia" w:ascii="仿宋_GB2312" w:hAnsi="仿宋_GB2312" w:eastAsia="仿宋_GB2312" w:cs="仿宋_GB2312"/>
          <w:color w:val="auto"/>
          <w:sz w:val="32"/>
          <w:szCs w:val="32"/>
        </w:rPr>
        <w:t>采标国家标准发布后，国务院有关行政主管部门、有关行业协会或技术委员会应当持续开展所采用国际标准修正案、修订版等更新变化内容的适用性研究。当所采用国际标准的少量技术要求进行了调整、补充或删减且在我国适用时，应当及时通过国家标准修改单对采标国家标准进行修改；当所采用国际标准内容变更较大时，应当结合标准实施效果评估情况等及时开展复审，尽快修订或废止。</w:t>
      </w:r>
    </w:p>
    <w:p>
      <w:pPr>
        <w:spacing w:line="594" w:lineRule="exact"/>
        <w:ind w:firstLine="640" w:firstLineChars="200"/>
        <w:rPr>
          <w:rFonts w:ascii="Times New Roman" w:hAnsi="Times New Roman" w:eastAsia="仿宋_GB2312" w:cs="Times New Roman"/>
          <w:color w:val="auto"/>
          <w:szCs w:val="20"/>
        </w:rPr>
      </w:pPr>
      <w:r>
        <w:rPr>
          <w:rFonts w:hint="eastAsia" w:ascii="黑体" w:hAnsi="黑体" w:eastAsia="黑体" w:cs="黑体"/>
          <w:color w:val="auto"/>
          <w:kern w:val="0"/>
          <w:sz w:val="32"/>
        </w:rPr>
        <w:t>第</w:t>
      </w:r>
      <w:r>
        <w:rPr>
          <w:rFonts w:ascii="黑体" w:hAnsi="黑体" w:eastAsia="黑体" w:cs="黑体"/>
          <w:color w:val="auto"/>
          <w:kern w:val="0"/>
          <w:sz w:val="32"/>
        </w:rPr>
        <w:t>二十</w:t>
      </w:r>
      <w:r>
        <w:rPr>
          <w:rFonts w:hint="eastAsia" w:ascii="黑体" w:hAnsi="黑体" w:eastAsia="黑体" w:cs="黑体"/>
          <w:color w:val="auto"/>
          <w:kern w:val="0"/>
          <w:sz w:val="32"/>
        </w:rPr>
        <w:t>三条 【对标达标】</w:t>
      </w:r>
      <w:r>
        <w:rPr>
          <w:rFonts w:hint="eastAsia" w:ascii="仿宋_GB2312" w:hAnsi="仿宋_GB2312" w:eastAsia="仿宋_GB2312" w:cs="仿宋_GB2312"/>
          <w:color w:val="auto"/>
          <w:sz w:val="32"/>
          <w:szCs w:val="32"/>
        </w:rPr>
        <w:t>鼓励企业瞄准国际国外先进标准，积极开展国内外标准比对分析，制定实施科学先进的企业标准，推动企业产品和服务提档升级。</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第二十四条 【采用其他】</w:t>
      </w:r>
      <w:r>
        <w:rPr>
          <w:rFonts w:hint="eastAsia" w:ascii="仿宋_GB2312" w:hAnsi="仿宋_GB2312" w:eastAsia="仿宋_GB2312" w:cs="仿宋_GB2312"/>
          <w:color w:val="auto"/>
          <w:sz w:val="32"/>
          <w:szCs w:val="32"/>
        </w:rPr>
        <w:t>当确有需要而国际标准组织未制定或制定发布相应标准不适用时，在遵守其他国际国外组织的知识产权政策前提下，可以以其发布的标准为基础制定国家标准。</w:t>
      </w:r>
    </w:p>
    <w:p>
      <w:pPr>
        <w:spacing w:line="594" w:lineRule="exact"/>
        <w:ind w:firstLine="640" w:firstLineChars="200"/>
        <w:rPr>
          <w:rFonts w:ascii="仿宋_GB2312" w:hAnsi="仿宋_GB2312" w:eastAsia="仿宋_GB2312" w:cs="仿宋_GB2312"/>
          <w:color w:val="auto"/>
          <w:sz w:val="32"/>
          <w:szCs w:val="32"/>
        </w:rPr>
      </w:pPr>
      <w:r>
        <w:rPr>
          <w:rFonts w:hint="eastAsia" w:ascii="黑体" w:hAnsi="黑体" w:eastAsia="黑体" w:cs="黑体"/>
          <w:color w:val="auto"/>
          <w:kern w:val="0"/>
          <w:sz w:val="32"/>
        </w:rPr>
        <w:t>第二十五条 【办法衔接】</w:t>
      </w:r>
      <w:r>
        <w:rPr>
          <w:rFonts w:hint="eastAsia" w:ascii="仿宋_GB2312" w:hAnsi="仿宋_GB2312" w:eastAsia="仿宋_GB2312" w:cs="仿宋_GB2312"/>
          <w:color w:val="auto"/>
          <w:sz w:val="32"/>
          <w:szCs w:val="32"/>
        </w:rPr>
        <w:t>采标国家标准的制定、组织实施以及监督工作在本办法中未做规定的，按照《国家标准管理办法》和《强制性国家标准管理办法》执行。</w:t>
      </w:r>
    </w:p>
    <w:p>
      <w:pPr>
        <w:spacing w:line="594"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确需采用国际标准制定行业标准的，按照《行业标准管理办法》执行。</w:t>
      </w:r>
    </w:p>
    <w:p>
      <w:pPr>
        <w:spacing w:line="594" w:lineRule="exact"/>
        <w:ind w:firstLine="640" w:firstLineChars="200"/>
        <w:rPr>
          <w:color w:val="auto"/>
        </w:rPr>
      </w:pPr>
      <w:r>
        <w:rPr>
          <w:rFonts w:hint="eastAsia" w:ascii="黑体" w:hAnsi="黑体" w:eastAsia="黑体" w:cs="黑体"/>
          <w:color w:val="auto"/>
          <w:kern w:val="0"/>
          <w:sz w:val="32"/>
        </w:rPr>
        <w:t>第二十六条</w:t>
      </w:r>
      <w:r>
        <w:rPr>
          <w:rFonts w:hint="eastAsia" w:ascii="黑体" w:hAnsi="黑体" w:eastAsia="黑体" w:cs="仿宋_GB2312"/>
          <w:color w:val="auto"/>
          <w:sz w:val="32"/>
          <w:szCs w:val="32"/>
        </w:rPr>
        <w:t xml:space="preserve"> 【实施日期】</w:t>
      </w:r>
      <w:r>
        <w:rPr>
          <w:rFonts w:hint="eastAsia" w:ascii="仿宋_GB2312" w:hAnsi="仿宋_GB2312" w:eastAsia="仿宋_GB2312" w:cs="仿宋_GB2312"/>
          <w:color w:val="auto"/>
          <w:sz w:val="32"/>
          <w:szCs w:val="32"/>
        </w:rPr>
        <w:t>本办法自发布之日起施行。原</w:t>
      </w:r>
      <w:r>
        <w:rPr>
          <w:rFonts w:hint="eastAsia" w:ascii="仿宋_GB2312" w:hAnsi="仿宋_GB2312" w:eastAsia="仿宋_GB2312" w:cs="仿宋_GB2312"/>
          <w:color w:val="auto"/>
          <w:sz w:val="32"/>
          <w:szCs w:val="32"/>
          <w:lang w:val="zh-CN"/>
        </w:rPr>
        <w:t>国家质量监督检验检疫总局2001年11月21日颁布的《采用国际标准管理办法》</w:t>
      </w:r>
      <w:r>
        <w:rPr>
          <w:rFonts w:hint="eastAsia" w:ascii="仿宋_GB2312" w:hAnsi="仿宋_GB2312" w:eastAsia="仿宋_GB2312" w:cs="仿宋_GB2312"/>
          <w:color w:val="auto"/>
          <w:sz w:val="32"/>
          <w:szCs w:val="32"/>
        </w:rPr>
        <w:t>即行废止。</w:t>
      </w:r>
      <w:bookmarkStart w:id="0" w:name="_GoBack"/>
      <w:bookmarkEnd w:id="0"/>
    </w:p>
    <w:sectPr>
      <w:footerReference r:id="rId3" w:type="default"/>
      <w:pgSz w:w="11906" w:h="16838"/>
      <w:pgMar w:top="1984" w:right="1474" w:bottom="164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汉仪中宋简"/>
    <w:panose1 w:val="02010600030101010101"/>
    <w:charset w:val="86"/>
    <w:family w:val="auto"/>
    <w:pitch w:val="default"/>
    <w:sig w:usb0="00000000" w:usb1="00000000" w:usb2="00000016" w:usb3="00000000" w:csb0="0004000F" w:csb1="00000000"/>
  </w:font>
  <w:font w:name="汉仪中宋简">
    <w:panose1 w:val="02010600000101010101"/>
    <w:charset w:val="86"/>
    <w:family w:val="auto"/>
    <w:pitch w:val="default"/>
    <w:sig w:usb0="00000001" w:usb1="080E0800" w:usb2="00000002"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jc w:val="cente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8Zm0MQIAAGMEAAAOAAAAZHJz&#10;L2Uyb0RvYy54bWytVM2O0zAQviPxDpbvNG0Rq6pquipbFSFV7EoFcXYdp4nkP9luk/IA8AacuHDn&#10;ufocfHaSLlo47IFLOvaMv5nvm5kublslyUk4Xxud08loTInQ3BS1PuT008fNqxklPjBdMGm0yOlZ&#10;eHq7fPli0di5mJrKyEI4AhDt543NaRWCnWeZ55VQzI+MFRrO0jjFAo7ukBWONUBXMpuOxzdZY1xh&#10;neHCe9yuOyftEd1zAE1Z1lysDT8qoUOH6oRkAZR8VVtPl6nashQ83JelF4HInIJpSF8kgb2P32y5&#10;YPODY7aqeV8Ce04JTzgpVmskvUKtWWDk6Oq/oFTNnfGmDCNuVNYRSYqAxWT8RJtdxaxIXCC1t1fR&#10;/f+D5R9OD47URU6nlGim0PDL92+XH78uP7+SaZSnsX6OqJ1FXGjfmhZDM9x7XEbWbelU/AUfAj/E&#10;PV/FFW0gPD6aTWezMVwcvuEA/OzxuXU+vBNGkWjk1KF7SVR22vrQhQ4hMZs2m1rK1EGpSZPTm9dv&#10;xunB1QNwqWOsSLPQw0RKXenRCu2+7XnuTXEGTWe6OfGWb2qUsmU+PDCHwUD5WJ1wj08pDVKa3qKk&#10;Mu7Lv+5jPPoFLyUNBi2nGntFiXyv0UcAhsFwg7EfDH1UdwaTO8FKWp5MPHBBDmbpjPqMfVrFHHAx&#10;zZEpp2Ew70I37NhHLlarFITJsyxs9c7yCB3l8XZ1DJAzqRxF6ZRAd+IBs5f61O9JHO4/zynq8b9h&#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hvGZtDECAABj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3"/>
                      <w:jc w:val="cente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4B9094"/>
    <w:multiLevelType w:val="singleLevel"/>
    <w:tmpl w:val="214B909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0YzQzMGFjMjUzMGYwODMwZjhmZTEzMTA0N2U0NTcifQ=="/>
  </w:docVars>
  <w:rsids>
    <w:rsidRoot w:val="004E08C3"/>
    <w:rsid w:val="00101864"/>
    <w:rsid w:val="004E08C3"/>
    <w:rsid w:val="00861857"/>
    <w:rsid w:val="0087383B"/>
    <w:rsid w:val="00875C42"/>
    <w:rsid w:val="00E522B5"/>
    <w:rsid w:val="00EE69D0"/>
    <w:rsid w:val="00F302D9"/>
    <w:rsid w:val="0354231B"/>
    <w:rsid w:val="036E4462"/>
    <w:rsid w:val="039B6844"/>
    <w:rsid w:val="04781AD6"/>
    <w:rsid w:val="04D7060A"/>
    <w:rsid w:val="05C567A5"/>
    <w:rsid w:val="05D97632"/>
    <w:rsid w:val="069B4BF3"/>
    <w:rsid w:val="06E3129C"/>
    <w:rsid w:val="075051C5"/>
    <w:rsid w:val="0838464E"/>
    <w:rsid w:val="08835DA0"/>
    <w:rsid w:val="08EA5987"/>
    <w:rsid w:val="09043FF6"/>
    <w:rsid w:val="090F2B4A"/>
    <w:rsid w:val="0A900FDF"/>
    <w:rsid w:val="0A930781"/>
    <w:rsid w:val="0BB8654E"/>
    <w:rsid w:val="0C161754"/>
    <w:rsid w:val="0C4656F1"/>
    <w:rsid w:val="0C8B3C54"/>
    <w:rsid w:val="0CB62AF3"/>
    <w:rsid w:val="0CDD43D7"/>
    <w:rsid w:val="0D956527"/>
    <w:rsid w:val="0D9B4D16"/>
    <w:rsid w:val="0E1A0A44"/>
    <w:rsid w:val="0EB81978"/>
    <w:rsid w:val="0F0466C4"/>
    <w:rsid w:val="0F5A0F4F"/>
    <w:rsid w:val="0FEE279B"/>
    <w:rsid w:val="0FF7537C"/>
    <w:rsid w:val="1048621A"/>
    <w:rsid w:val="10BC1833"/>
    <w:rsid w:val="11396204"/>
    <w:rsid w:val="118557E6"/>
    <w:rsid w:val="11D66461"/>
    <w:rsid w:val="12162B01"/>
    <w:rsid w:val="13261AC8"/>
    <w:rsid w:val="13F83A81"/>
    <w:rsid w:val="1558738B"/>
    <w:rsid w:val="157A730D"/>
    <w:rsid w:val="164746C0"/>
    <w:rsid w:val="167E72D9"/>
    <w:rsid w:val="16830F3B"/>
    <w:rsid w:val="169579BD"/>
    <w:rsid w:val="16B85877"/>
    <w:rsid w:val="1726085D"/>
    <w:rsid w:val="173A79BE"/>
    <w:rsid w:val="17C45B10"/>
    <w:rsid w:val="1978141D"/>
    <w:rsid w:val="19A56FA4"/>
    <w:rsid w:val="19C23E37"/>
    <w:rsid w:val="1A3A338C"/>
    <w:rsid w:val="1B7B222C"/>
    <w:rsid w:val="1BE242C8"/>
    <w:rsid w:val="1C046D3F"/>
    <w:rsid w:val="1C14582B"/>
    <w:rsid w:val="1CF06A44"/>
    <w:rsid w:val="1D09084C"/>
    <w:rsid w:val="1D573E48"/>
    <w:rsid w:val="1D8745E1"/>
    <w:rsid w:val="1D935F0E"/>
    <w:rsid w:val="1E126430"/>
    <w:rsid w:val="1E127385"/>
    <w:rsid w:val="1E134138"/>
    <w:rsid w:val="1E422ADB"/>
    <w:rsid w:val="1F1B54F5"/>
    <w:rsid w:val="20D00033"/>
    <w:rsid w:val="21582C57"/>
    <w:rsid w:val="2265433C"/>
    <w:rsid w:val="22F255CB"/>
    <w:rsid w:val="260B47AB"/>
    <w:rsid w:val="26241AA6"/>
    <w:rsid w:val="26571CF8"/>
    <w:rsid w:val="26D851EB"/>
    <w:rsid w:val="280204EC"/>
    <w:rsid w:val="28787C06"/>
    <w:rsid w:val="288B5FAE"/>
    <w:rsid w:val="29C65E64"/>
    <w:rsid w:val="29DB224C"/>
    <w:rsid w:val="2A965AE8"/>
    <w:rsid w:val="2B4D2F39"/>
    <w:rsid w:val="2B81452F"/>
    <w:rsid w:val="2CE11525"/>
    <w:rsid w:val="2D7540F2"/>
    <w:rsid w:val="2DC50539"/>
    <w:rsid w:val="2E9704EC"/>
    <w:rsid w:val="2ECF51D6"/>
    <w:rsid w:val="2F126784"/>
    <w:rsid w:val="2F854AE6"/>
    <w:rsid w:val="2FB55DCC"/>
    <w:rsid w:val="30030852"/>
    <w:rsid w:val="313417DD"/>
    <w:rsid w:val="319520F5"/>
    <w:rsid w:val="325B2DAE"/>
    <w:rsid w:val="32F5070A"/>
    <w:rsid w:val="32F81C02"/>
    <w:rsid w:val="330071FE"/>
    <w:rsid w:val="33020BB8"/>
    <w:rsid w:val="33AE3CD5"/>
    <w:rsid w:val="349F26BF"/>
    <w:rsid w:val="35C4710E"/>
    <w:rsid w:val="36056B0A"/>
    <w:rsid w:val="37ED2187"/>
    <w:rsid w:val="384C28A4"/>
    <w:rsid w:val="385401CC"/>
    <w:rsid w:val="38C2619D"/>
    <w:rsid w:val="39773CCE"/>
    <w:rsid w:val="39815E90"/>
    <w:rsid w:val="3A550490"/>
    <w:rsid w:val="3A7965F8"/>
    <w:rsid w:val="3B1D3B37"/>
    <w:rsid w:val="3BB01996"/>
    <w:rsid w:val="3C3F7FC2"/>
    <w:rsid w:val="3CEC4129"/>
    <w:rsid w:val="3DF375B4"/>
    <w:rsid w:val="3E1F62CB"/>
    <w:rsid w:val="3E8A5C50"/>
    <w:rsid w:val="3EC355E0"/>
    <w:rsid w:val="3F354E2F"/>
    <w:rsid w:val="3F3A1AC6"/>
    <w:rsid w:val="3F7E3D83"/>
    <w:rsid w:val="3F9B4D2B"/>
    <w:rsid w:val="3FCB7749"/>
    <w:rsid w:val="3FF44E90"/>
    <w:rsid w:val="40235425"/>
    <w:rsid w:val="41356903"/>
    <w:rsid w:val="413F6E59"/>
    <w:rsid w:val="427D4AEC"/>
    <w:rsid w:val="42997729"/>
    <w:rsid w:val="42DE3CC6"/>
    <w:rsid w:val="4340639B"/>
    <w:rsid w:val="4351761B"/>
    <w:rsid w:val="439C2BD5"/>
    <w:rsid w:val="447C1326"/>
    <w:rsid w:val="450B79A7"/>
    <w:rsid w:val="45925123"/>
    <w:rsid w:val="459A1A1C"/>
    <w:rsid w:val="45FB5DE8"/>
    <w:rsid w:val="467410BE"/>
    <w:rsid w:val="47E75894"/>
    <w:rsid w:val="48706AFC"/>
    <w:rsid w:val="489433AA"/>
    <w:rsid w:val="49BB3C51"/>
    <w:rsid w:val="49E25108"/>
    <w:rsid w:val="4A033336"/>
    <w:rsid w:val="4AC86C1E"/>
    <w:rsid w:val="4B1B6B34"/>
    <w:rsid w:val="4B282BA1"/>
    <w:rsid w:val="4C167573"/>
    <w:rsid w:val="4C2122B4"/>
    <w:rsid w:val="4C425B0C"/>
    <w:rsid w:val="4D070F44"/>
    <w:rsid w:val="4D4D12E5"/>
    <w:rsid w:val="4EC26B30"/>
    <w:rsid w:val="4ECE01F8"/>
    <w:rsid w:val="4EF5141C"/>
    <w:rsid w:val="4F4F19F9"/>
    <w:rsid w:val="4FE331D9"/>
    <w:rsid w:val="4FE431DF"/>
    <w:rsid w:val="5051120A"/>
    <w:rsid w:val="508241A2"/>
    <w:rsid w:val="50BE29A0"/>
    <w:rsid w:val="51275EB7"/>
    <w:rsid w:val="517D657A"/>
    <w:rsid w:val="51C50A2D"/>
    <w:rsid w:val="52264C97"/>
    <w:rsid w:val="52464F89"/>
    <w:rsid w:val="53197AC4"/>
    <w:rsid w:val="537B2642"/>
    <w:rsid w:val="53B20D51"/>
    <w:rsid w:val="547B3340"/>
    <w:rsid w:val="54FB63C3"/>
    <w:rsid w:val="55890953"/>
    <w:rsid w:val="558A3650"/>
    <w:rsid w:val="559D36B5"/>
    <w:rsid w:val="55B44FB7"/>
    <w:rsid w:val="55BE7984"/>
    <w:rsid w:val="55C42541"/>
    <w:rsid w:val="56EC1663"/>
    <w:rsid w:val="56F453D0"/>
    <w:rsid w:val="574B4E1C"/>
    <w:rsid w:val="579D3DB3"/>
    <w:rsid w:val="57A92DE9"/>
    <w:rsid w:val="57E46CB7"/>
    <w:rsid w:val="58E33A5A"/>
    <w:rsid w:val="58E92670"/>
    <w:rsid w:val="58F4490B"/>
    <w:rsid w:val="59761B5B"/>
    <w:rsid w:val="59D84B09"/>
    <w:rsid w:val="5B707CAF"/>
    <w:rsid w:val="5C2D1D85"/>
    <w:rsid w:val="5D150B34"/>
    <w:rsid w:val="5D3E3EA8"/>
    <w:rsid w:val="5D507844"/>
    <w:rsid w:val="5D544F01"/>
    <w:rsid w:val="5E316252"/>
    <w:rsid w:val="5F821421"/>
    <w:rsid w:val="5F9E1871"/>
    <w:rsid w:val="5FBFE58F"/>
    <w:rsid w:val="5FDA755F"/>
    <w:rsid w:val="60437055"/>
    <w:rsid w:val="61DF5BBB"/>
    <w:rsid w:val="622E5088"/>
    <w:rsid w:val="62423325"/>
    <w:rsid w:val="624569C1"/>
    <w:rsid w:val="627F2377"/>
    <w:rsid w:val="62AA0B54"/>
    <w:rsid w:val="62B2504E"/>
    <w:rsid w:val="62B33488"/>
    <w:rsid w:val="64494B70"/>
    <w:rsid w:val="65DC52BC"/>
    <w:rsid w:val="67041BD8"/>
    <w:rsid w:val="67222D62"/>
    <w:rsid w:val="67EE2CB9"/>
    <w:rsid w:val="68D56472"/>
    <w:rsid w:val="69395F0B"/>
    <w:rsid w:val="69CF357E"/>
    <w:rsid w:val="6A1E3E9A"/>
    <w:rsid w:val="6B705E97"/>
    <w:rsid w:val="6BFB676F"/>
    <w:rsid w:val="6C292AF8"/>
    <w:rsid w:val="6CE664F1"/>
    <w:rsid w:val="6D7A1ED2"/>
    <w:rsid w:val="6DF5274E"/>
    <w:rsid w:val="6E1D5D8C"/>
    <w:rsid w:val="6E6C4D94"/>
    <w:rsid w:val="6EB320B7"/>
    <w:rsid w:val="6F786826"/>
    <w:rsid w:val="6F7D0688"/>
    <w:rsid w:val="707A5DB8"/>
    <w:rsid w:val="71284932"/>
    <w:rsid w:val="7155665E"/>
    <w:rsid w:val="71A6561C"/>
    <w:rsid w:val="72050285"/>
    <w:rsid w:val="72372D6F"/>
    <w:rsid w:val="727655CE"/>
    <w:rsid w:val="732FDBBB"/>
    <w:rsid w:val="73757486"/>
    <w:rsid w:val="737B6A31"/>
    <w:rsid w:val="73A33CCB"/>
    <w:rsid w:val="73A95FC6"/>
    <w:rsid w:val="73FA798C"/>
    <w:rsid w:val="747A433C"/>
    <w:rsid w:val="74A90B71"/>
    <w:rsid w:val="74C877E2"/>
    <w:rsid w:val="75FFF6FA"/>
    <w:rsid w:val="762C0968"/>
    <w:rsid w:val="770254C6"/>
    <w:rsid w:val="77331F55"/>
    <w:rsid w:val="777D0500"/>
    <w:rsid w:val="78460861"/>
    <w:rsid w:val="786F76CD"/>
    <w:rsid w:val="791801D2"/>
    <w:rsid w:val="7BCC3B39"/>
    <w:rsid w:val="7C16692D"/>
    <w:rsid w:val="7C4374B0"/>
    <w:rsid w:val="7C5F4BA5"/>
    <w:rsid w:val="7C60547B"/>
    <w:rsid w:val="7DE79229"/>
    <w:rsid w:val="7E1F5398"/>
    <w:rsid w:val="7EE107FE"/>
    <w:rsid w:val="7F017B1D"/>
    <w:rsid w:val="7FDE8D45"/>
    <w:rsid w:val="7FE26302"/>
    <w:rsid w:val="7FE72AB4"/>
    <w:rsid w:val="7FFFECFD"/>
    <w:rsid w:val="94D5819B"/>
    <w:rsid w:val="B72F5E2A"/>
    <w:rsid w:val="B7BD8CD1"/>
    <w:rsid w:val="DEDE4B4C"/>
    <w:rsid w:val="E5E9D2F5"/>
    <w:rsid w:val="F9F9B0E2"/>
    <w:rsid w:val="FC7526B3"/>
    <w:rsid w:val="FDCD85B9"/>
    <w:rsid w:val="FED3D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200" w:firstLine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样式2"/>
    <w:basedOn w:val="8"/>
    <w:qFormat/>
    <w:uiPriority w:val="0"/>
    <w:rPr>
      <w:rFonts w:ascii="Calibri" w:hAnsi="Calibri"/>
      <w:szCs w:val="22"/>
    </w:rPr>
  </w:style>
  <w:style w:type="paragraph" w:customStyle="1" w:styleId="8">
    <w:name w:val="样式1"/>
    <w:basedOn w:val="1"/>
    <w:qFormat/>
    <w:uiPriority w:val="0"/>
    <w:pPr>
      <w:jc w:val="left"/>
    </w:pPr>
    <w:rPr>
      <w:bCs/>
      <w:sz w:val="28"/>
      <w:szCs w:val="28"/>
    </w:rPr>
  </w:style>
  <w:style w:type="paragraph" w:customStyle="1" w:styleId="9">
    <w:name w:val="修订1"/>
    <w:hidden/>
    <w:unhideWhenUsed/>
    <w:qFormat/>
    <w:uiPriority w:val="99"/>
    <w:rPr>
      <w:rFonts w:ascii="宋体" w:hAnsi="宋体" w:eastAsia="宋体" w:cs="Times New Roman"/>
      <w:kern w:val="2"/>
      <w:sz w:val="32"/>
      <w:szCs w:val="32"/>
      <w:lang w:val="en-US" w:eastAsia="zh-CN" w:bidi="ar-SA"/>
    </w:rPr>
  </w:style>
  <w:style w:type="paragraph" w:customStyle="1" w:styleId="10">
    <w:name w:val="Revision"/>
    <w:hidden/>
    <w:unhideWhenUsed/>
    <w:qFormat/>
    <w:uiPriority w:val="99"/>
    <w:rPr>
      <w:rFonts w:ascii="宋体" w:hAnsi="宋体" w:eastAsia="宋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566</Words>
  <Characters>3230</Characters>
  <Lines>26</Lines>
  <Paragraphs>7</Paragraphs>
  <TotalTime>0</TotalTime>
  <ScaleCrop>false</ScaleCrop>
  <LinksUpToDate>false</LinksUpToDate>
  <CharactersWithSpaces>3789</CharactersWithSpaces>
  <Application>WPS Office_11.8.2.11653_F1E327BC-269C-435d-A152-05C5408002CA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2023-08-17T14:08:00Z</dcterms:created>
  <dc:creator>tech</dc:creator>
  <cp:lastModifiedBy>oa</cp:lastModifiedBy>
  <cp:lastPrinted>2024-05-07T18:19:00Z</cp:lastPrinted>
  <dcterms:modified xsi:type="dcterms:W3CDTF">2024-05-09T10:34:46Z</dcterms:modified>
  <dc:title>附件2</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2052-11.8.2.11653</vt:lpwstr>
  </property>
  <property fmtid="{D5CDD505-2E9C-101B-9397-08002B2CF9AE}" pid="3" name="ICV">
    <vt:lpwstr>013FA2566DA94ACBB3850DD87304C556</vt:lpwstr>
  </property>
</Properties>
</file>