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300" w:line="360" w:lineRule="atLeast"/>
        <w:jc w:val="center"/>
        <w:rPr>
          <w:rFonts w:ascii="微软雅黑" w:hAnsi="微软雅黑" w:eastAsia="微软雅黑" w:cs="微软雅黑"/>
          <w:color w:val="000000"/>
          <w:sz w:val="24"/>
        </w:rPr>
      </w:pPr>
      <w:r>
        <w:rPr>
          <w:rFonts w:hint="eastAsia" w:ascii="微软雅黑" w:hAnsi="微软雅黑" w:eastAsia="微软雅黑" w:cs="微软雅黑"/>
          <w:color w:val="000000"/>
          <w:kern w:val="0"/>
          <w:sz w:val="24"/>
          <w:shd w:val="clear" w:color="auto" w:fill="FFFFFF"/>
          <w:lang w:bidi="ar"/>
        </w:rPr>
        <w:t>福建省药品监督管</w:t>
      </w:r>
      <w:bookmarkStart w:id="0" w:name="_GoBack"/>
      <w:bookmarkEnd w:id="0"/>
      <w:r>
        <w:rPr>
          <w:rFonts w:hint="eastAsia" w:ascii="微软雅黑" w:hAnsi="微软雅黑" w:eastAsia="微软雅黑" w:cs="微软雅黑"/>
          <w:color w:val="000000"/>
          <w:kern w:val="0"/>
          <w:sz w:val="24"/>
          <w:shd w:val="clear" w:color="auto" w:fill="FFFFFF"/>
          <w:lang w:bidi="ar"/>
        </w:rPr>
        <w:t>理局行政处罚信息公开表</w:t>
      </w:r>
    </w:p>
    <w:tbl>
      <w:tblPr>
        <w:tblStyle w:val="5"/>
        <w:tblW w:w="14658" w:type="dxa"/>
        <w:jc w:val="center"/>
        <w:tblLayout w:type="fixed"/>
        <w:tblCellMar>
          <w:top w:w="0" w:type="dxa"/>
          <w:left w:w="0" w:type="dxa"/>
          <w:bottom w:w="0" w:type="dxa"/>
          <w:right w:w="0" w:type="dxa"/>
        </w:tblCellMar>
      </w:tblPr>
      <w:tblGrid>
        <w:gridCol w:w="291"/>
        <w:gridCol w:w="798"/>
        <w:gridCol w:w="759"/>
        <w:gridCol w:w="851"/>
        <w:gridCol w:w="840"/>
        <w:gridCol w:w="567"/>
        <w:gridCol w:w="3827"/>
        <w:gridCol w:w="2977"/>
        <w:gridCol w:w="2410"/>
        <w:gridCol w:w="879"/>
        <w:gridCol w:w="459"/>
      </w:tblGrid>
      <w:tr>
        <w:tblPrEx>
          <w:tblCellMar>
            <w:top w:w="0" w:type="dxa"/>
            <w:left w:w="0" w:type="dxa"/>
            <w:bottom w:w="0" w:type="dxa"/>
            <w:right w:w="0" w:type="dxa"/>
          </w:tblCellMar>
        </w:tblPrEx>
        <w:trPr>
          <w:trHeight w:val="1481" w:hRule="atLeast"/>
          <w:jc w:val="center"/>
        </w:trPr>
        <w:tc>
          <w:tcPr>
            <w:tcW w:w="29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60" w:lineRule="atLeast"/>
              <w:jc w:val="center"/>
              <w:textAlignment w:val="center"/>
              <w:rPr>
                <w:rFonts w:hint="eastAsia" w:ascii="方正小标宋简体" w:hAnsi="方正小标宋简体" w:eastAsia="方正小标宋简体" w:cs="方正小标宋简体"/>
                <w:color w:val="000000"/>
                <w:szCs w:val="21"/>
              </w:rPr>
            </w:pPr>
            <w:r>
              <w:rPr>
                <w:rFonts w:hint="eastAsia" w:ascii="方正小标宋简体" w:hAnsi="方正小标宋简体" w:eastAsia="方正小标宋简体" w:cs="方正小标宋简体"/>
                <w:color w:val="000000"/>
                <w:kern w:val="0"/>
                <w:szCs w:val="21"/>
                <w:lang w:bidi="ar"/>
              </w:rPr>
              <w:t>序号</w:t>
            </w:r>
          </w:p>
        </w:tc>
        <w:tc>
          <w:tcPr>
            <w:tcW w:w="7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60" w:lineRule="atLeast"/>
              <w:jc w:val="center"/>
              <w:textAlignment w:val="center"/>
              <w:rPr>
                <w:rFonts w:hint="eastAsia" w:ascii="方正小标宋简体" w:hAnsi="方正小标宋简体" w:eastAsia="方正小标宋简体" w:cs="方正小标宋简体"/>
                <w:color w:val="000000"/>
                <w:szCs w:val="21"/>
              </w:rPr>
            </w:pPr>
            <w:r>
              <w:rPr>
                <w:rFonts w:hint="eastAsia" w:ascii="方正小标宋简体" w:hAnsi="方正小标宋简体" w:eastAsia="方正小标宋简体" w:cs="方正小标宋简体"/>
                <w:color w:val="000000"/>
                <w:kern w:val="0"/>
                <w:szCs w:val="21"/>
                <w:lang w:bidi="ar"/>
              </w:rPr>
              <w:t>行政处罚决定书文号</w:t>
            </w:r>
          </w:p>
        </w:tc>
        <w:tc>
          <w:tcPr>
            <w:tcW w:w="75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60" w:lineRule="atLeast"/>
              <w:jc w:val="center"/>
              <w:textAlignment w:val="center"/>
              <w:rPr>
                <w:rFonts w:hint="eastAsia" w:ascii="方正小标宋简体" w:hAnsi="方正小标宋简体" w:eastAsia="方正小标宋简体" w:cs="方正小标宋简体"/>
                <w:color w:val="000000"/>
                <w:szCs w:val="21"/>
              </w:rPr>
            </w:pPr>
            <w:r>
              <w:rPr>
                <w:rFonts w:hint="eastAsia" w:ascii="方正小标宋简体" w:hAnsi="方正小标宋简体" w:eastAsia="方正小标宋简体" w:cs="方正小标宋简体"/>
                <w:color w:val="000000"/>
                <w:kern w:val="0"/>
                <w:szCs w:val="21"/>
                <w:lang w:bidi="ar"/>
              </w:rPr>
              <w:t>案件名称</w:t>
            </w:r>
          </w:p>
        </w:tc>
        <w:tc>
          <w:tcPr>
            <w:tcW w:w="85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60" w:lineRule="atLeast"/>
              <w:jc w:val="center"/>
              <w:textAlignment w:val="center"/>
              <w:rPr>
                <w:rFonts w:hint="eastAsia" w:ascii="方正小标宋简体" w:hAnsi="方正小标宋简体" w:eastAsia="方正小标宋简体" w:cs="方正小标宋简体"/>
                <w:color w:val="000000"/>
                <w:szCs w:val="21"/>
              </w:rPr>
            </w:pPr>
            <w:r>
              <w:rPr>
                <w:rFonts w:hint="eastAsia" w:ascii="方正小标宋简体" w:hAnsi="方正小标宋简体" w:eastAsia="方正小标宋简体" w:cs="方正小标宋简体"/>
                <w:color w:val="000000"/>
                <w:kern w:val="0"/>
                <w:szCs w:val="21"/>
                <w:lang w:bidi="ar"/>
              </w:rPr>
              <w:t>违法企业名称或违法自然人姓名</w:t>
            </w:r>
          </w:p>
        </w:tc>
        <w:tc>
          <w:tcPr>
            <w:tcW w:w="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60" w:lineRule="atLeast"/>
              <w:jc w:val="center"/>
              <w:textAlignment w:val="center"/>
              <w:rPr>
                <w:rFonts w:hint="eastAsia" w:ascii="方正小标宋简体" w:hAnsi="方正小标宋简体" w:eastAsia="方正小标宋简体" w:cs="方正小标宋简体"/>
                <w:color w:val="000000"/>
                <w:szCs w:val="21"/>
              </w:rPr>
            </w:pPr>
            <w:r>
              <w:rPr>
                <w:rFonts w:hint="eastAsia" w:ascii="方正小标宋简体" w:hAnsi="方正小标宋简体" w:eastAsia="方正小标宋简体" w:cs="方正小标宋简体"/>
                <w:color w:val="000000"/>
                <w:kern w:val="0"/>
                <w:szCs w:val="21"/>
                <w:lang w:bidi="ar"/>
              </w:rPr>
              <w:t>违法企业社会信用代码</w:t>
            </w:r>
          </w:p>
        </w:tc>
        <w:tc>
          <w:tcPr>
            <w:tcW w:w="5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60" w:lineRule="atLeast"/>
              <w:jc w:val="center"/>
              <w:textAlignment w:val="center"/>
              <w:rPr>
                <w:rFonts w:hint="eastAsia" w:ascii="方正小标宋简体" w:hAnsi="方正小标宋简体" w:eastAsia="方正小标宋简体" w:cs="方正小标宋简体"/>
                <w:color w:val="000000"/>
                <w:szCs w:val="21"/>
              </w:rPr>
            </w:pPr>
            <w:r>
              <w:rPr>
                <w:rFonts w:hint="eastAsia" w:ascii="方正小标宋简体" w:hAnsi="方正小标宋简体" w:eastAsia="方正小标宋简体" w:cs="方正小标宋简体"/>
                <w:color w:val="000000"/>
                <w:kern w:val="0"/>
                <w:szCs w:val="21"/>
                <w:lang w:bidi="ar"/>
              </w:rPr>
              <w:t>法定代表人姓名</w:t>
            </w:r>
          </w:p>
        </w:tc>
        <w:tc>
          <w:tcPr>
            <w:tcW w:w="38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60" w:lineRule="atLeast"/>
              <w:jc w:val="center"/>
              <w:textAlignment w:val="center"/>
              <w:rPr>
                <w:rFonts w:hint="eastAsia" w:ascii="方正小标宋简体" w:hAnsi="方正小标宋简体" w:eastAsia="方正小标宋简体" w:cs="方正小标宋简体"/>
                <w:color w:val="000000"/>
                <w:szCs w:val="21"/>
              </w:rPr>
            </w:pPr>
            <w:r>
              <w:rPr>
                <w:rFonts w:hint="eastAsia" w:ascii="方正小标宋简体" w:hAnsi="方正小标宋简体" w:eastAsia="方正小标宋简体" w:cs="方正小标宋简体"/>
                <w:color w:val="000000"/>
                <w:kern w:val="0"/>
                <w:szCs w:val="21"/>
                <w:lang w:bidi="ar"/>
              </w:rPr>
              <w:t>主要违法事实</w:t>
            </w:r>
          </w:p>
        </w:tc>
        <w:tc>
          <w:tcPr>
            <w:tcW w:w="29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60" w:lineRule="atLeast"/>
              <w:jc w:val="center"/>
              <w:textAlignment w:val="center"/>
              <w:rPr>
                <w:rFonts w:hint="eastAsia" w:ascii="方正小标宋简体" w:hAnsi="方正小标宋简体" w:eastAsia="方正小标宋简体" w:cs="方正小标宋简体"/>
                <w:color w:val="000000"/>
                <w:szCs w:val="21"/>
              </w:rPr>
            </w:pPr>
            <w:r>
              <w:rPr>
                <w:rFonts w:hint="eastAsia" w:ascii="方正小标宋简体" w:hAnsi="方正小标宋简体" w:eastAsia="方正小标宋简体" w:cs="方正小标宋简体"/>
                <w:color w:val="000000"/>
                <w:kern w:val="0"/>
                <w:szCs w:val="21"/>
                <w:lang w:bidi="ar"/>
              </w:rPr>
              <w:t>行政处罚的种类和依据</w:t>
            </w:r>
          </w:p>
        </w:tc>
        <w:tc>
          <w:tcPr>
            <w:tcW w:w="24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60" w:lineRule="atLeast"/>
              <w:jc w:val="center"/>
              <w:textAlignment w:val="center"/>
              <w:rPr>
                <w:rFonts w:hint="eastAsia" w:ascii="方正小标宋简体" w:hAnsi="方正小标宋简体" w:eastAsia="方正小标宋简体" w:cs="方正小标宋简体"/>
                <w:color w:val="000000"/>
                <w:szCs w:val="21"/>
              </w:rPr>
            </w:pPr>
            <w:r>
              <w:rPr>
                <w:rFonts w:hint="eastAsia" w:ascii="方正小标宋简体" w:hAnsi="方正小标宋简体" w:eastAsia="方正小标宋简体" w:cs="方正小标宋简体"/>
                <w:color w:val="000000"/>
                <w:kern w:val="0"/>
                <w:szCs w:val="21"/>
                <w:lang w:bidi="ar"/>
              </w:rPr>
              <w:t>行政处罚的履行方式和期限</w:t>
            </w:r>
          </w:p>
        </w:tc>
        <w:tc>
          <w:tcPr>
            <w:tcW w:w="8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60" w:lineRule="atLeast"/>
              <w:jc w:val="center"/>
              <w:textAlignment w:val="center"/>
              <w:rPr>
                <w:rFonts w:hint="eastAsia" w:ascii="方正小标宋简体" w:hAnsi="方正小标宋简体" w:eastAsia="方正小标宋简体" w:cs="方正小标宋简体"/>
                <w:color w:val="000000"/>
                <w:szCs w:val="21"/>
              </w:rPr>
            </w:pPr>
            <w:r>
              <w:rPr>
                <w:rFonts w:hint="eastAsia" w:ascii="方正小标宋简体" w:hAnsi="方正小标宋简体" w:eastAsia="方正小标宋简体" w:cs="方正小标宋简体"/>
                <w:color w:val="000000"/>
                <w:kern w:val="0"/>
                <w:szCs w:val="21"/>
                <w:lang w:bidi="ar"/>
              </w:rPr>
              <w:t>做出处罚的机关名称和日期</w:t>
            </w:r>
          </w:p>
        </w:tc>
        <w:tc>
          <w:tcPr>
            <w:tcW w:w="45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60" w:lineRule="atLeast"/>
              <w:jc w:val="center"/>
              <w:textAlignment w:val="center"/>
              <w:rPr>
                <w:rFonts w:hint="eastAsia" w:ascii="方正小标宋简体" w:hAnsi="方正小标宋简体" w:eastAsia="方正小标宋简体" w:cs="方正小标宋简体"/>
                <w:color w:val="000000"/>
                <w:szCs w:val="21"/>
              </w:rPr>
            </w:pPr>
            <w:r>
              <w:rPr>
                <w:rFonts w:hint="eastAsia" w:ascii="方正小标宋简体" w:hAnsi="方正小标宋简体" w:eastAsia="方正小标宋简体" w:cs="方正小标宋简体"/>
                <w:color w:val="000000"/>
                <w:kern w:val="0"/>
                <w:szCs w:val="21"/>
                <w:lang w:bidi="ar"/>
              </w:rPr>
              <w:t>备注</w:t>
            </w:r>
          </w:p>
        </w:tc>
      </w:tr>
      <w:tr>
        <w:tblPrEx>
          <w:tblCellMar>
            <w:top w:w="0" w:type="dxa"/>
            <w:left w:w="0" w:type="dxa"/>
            <w:bottom w:w="0" w:type="dxa"/>
            <w:right w:w="0" w:type="dxa"/>
          </w:tblCellMar>
        </w:tblPrEx>
        <w:trPr>
          <w:trHeight w:val="1553" w:hRule="atLeast"/>
          <w:jc w:val="center"/>
        </w:trPr>
        <w:tc>
          <w:tcPr>
            <w:tcW w:w="2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30" w:lineRule="atLeast"/>
              <w:jc w:val="center"/>
              <w:textAlignment w:val="center"/>
              <w:rPr>
                <w:rFonts w:ascii="Times New Roman" w:hAnsi="Times New Roman" w:eastAsia="仿宋" w:cs="Times New Roman"/>
                <w:szCs w:val="21"/>
                <w:highlight w:val="yellow"/>
              </w:rPr>
            </w:pPr>
            <w:r>
              <w:rPr>
                <w:rFonts w:ascii="Times New Roman" w:hAnsi="Times New Roman" w:eastAsia="仿宋" w:cs="Times New Roman"/>
                <w:szCs w:val="21"/>
              </w:rPr>
              <w:t>1</w:t>
            </w:r>
          </w:p>
        </w:tc>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30" w:lineRule="atLeast"/>
              <w:jc w:val="left"/>
              <w:textAlignment w:val="center"/>
              <w:rPr>
                <w:rFonts w:hint="eastAsia" w:ascii="仿宋" w:hAnsi="仿宋" w:eastAsia="仿宋" w:cs="仿宋"/>
                <w:szCs w:val="21"/>
                <w:highlight w:val="yellow"/>
              </w:rPr>
            </w:pPr>
            <w:r>
              <w:rPr>
                <w:rFonts w:hint="eastAsia" w:ascii="仿宋" w:hAnsi="仿宋" w:eastAsia="仿宋" w:cs="仿宋"/>
                <w:b w:val="0"/>
                <w:bCs w:val="0"/>
                <w:sz w:val="24"/>
                <w:szCs w:val="24"/>
                <w:lang w:val="en-US" w:eastAsia="zh-CN"/>
              </w:rPr>
              <w:t>闽药监厦稽办〔2024〕3-02号</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30" w:lineRule="atLeast"/>
              <w:jc w:val="left"/>
              <w:textAlignment w:val="center"/>
              <w:rPr>
                <w:rFonts w:hint="eastAsia" w:ascii="仿宋" w:hAnsi="仿宋" w:eastAsia="仿宋" w:cs="仿宋"/>
                <w:color w:val="000000"/>
                <w:szCs w:val="21"/>
                <w:lang w:val="en-US" w:eastAsia="zh-CN"/>
              </w:rPr>
            </w:pPr>
            <w:r>
              <w:rPr>
                <w:rFonts w:hint="eastAsia" w:ascii="仿宋" w:hAnsi="仿宋" w:eastAsia="仿宋" w:cs="仿宋"/>
                <w:sz w:val="24"/>
                <w:szCs w:val="24"/>
                <w:u w:val="none"/>
                <w:lang w:eastAsia="zh-CN"/>
              </w:rPr>
              <w:t>丹祚（厦门）工贸有限公司涉嫌未经许可从事第二类医疗器械生产活动案件</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30" w:lineRule="atLeast"/>
              <w:jc w:val="left"/>
              <w:textAlignment w:val="center"/>
              <w:rPr>
                <w:rFonts w:hint="eastAsia" w:ascii="仿宋" w:hAnsi="仿宋" w:eastAsia="仿宋" w:cs="仿宋"/>
                <w:color w:val="000000"/>
                <w:szCs w:val="21"/>
              </w:rPr>
            </w:pPr>
            <w:r>
              <w:rPr>
                <w:rFonts w:hint="eastAsia" w:ascii="仿宋" w:hAnsi="仿宋" w:eastAsia="仿宋" w:cs="仿宋"/>
                <w:sz w:val="24"/>
                <w:szCs w:val="24"/>
                <w:u w:val="none"/>
                <w:lang w:eastAsia="zh-CN"/>
              </w:rPr>
              <w:t>祚（厦门）工贸有限公司</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30" w:lineRule="atLeast"/>
              <w:jc w:val="center"/>
              <w:textAlignment w:val="center"/>
              <w:rPr>
                <w:rFonts w:hint="eastAsia" w:ascii="仿宋" w:hAnsi="仿宋" w:eastAsia="仿宋" w:cs="仿宋"/>
                <w:color w:val="000000"/>
                <w:szCs w:val="21"/>
                <w:highlight w:val="yellow"/>
              </w:rPr>
            </w:pPr>
            <w:r>
              <w:rPr>
                <w:rFonts w:hint="eastAsia" w:ascii="宋体" w:hAnsi="宋体" w:eastAsia="宋体" w:cs="宋体"/>
                <w:color w:val="000000"/>
                <w:sz w:val="24"/>
                <w:szCs w:val="24"/>
              </w:rPr>
              <w:t>91350212MA32XKEWXX</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30" w:lineRule="atLeast"/>
              <w:jc w:val="center"/>
              <w:textAlignment w:val="center"/>
              <w:rPr>
                <w:rFonts w:hint="eastAsia" w:ascii="仿宋" w:hAnsi="仿宋" w:eastAsia="仿宋" w:cs="仿宋"/>
                <w:color w:val="000000"/>
                <w:szCs w:val="21"/>
              </w:rPr>
            </w:pPr>
            <w:r>
              <w:rPr>
                <w:rFonts w:hint="eastAsia" w:ascii="仿宋" w:hAnsi="仿宋" w:eastAsia="仿宋" w:cs="仿宋"/>
                <w:color w:val="000000"/>
                <w:szCs w:val="21"/>
                <w:lang w:eastAsia="zh-CN"/>
              </w:rPr>
              <w:t>林</w:t>
            </w:r>
            <w:r>
              <w:rPr>
                <w:rFonts w:hint="eastAsia" w:ascii="仿宋" w:hAnsi="仿宋" w:eastAsia="仿宋" w:cs="仿宋"/>
                <w:color w:val="000000"/>
                <w:szCs w:val="21"/>
                <w:lang w:val="en-US" w:eastAsia="zh-CN"/>
              </w:rPr>
              <w:t>*</w:t>
            </w:r>
            <w:r>
              <w:rPr>
                <w:rFonts w:hint="eastAsia" w:ascii="仿宋" w:hAnsi="仿宋" w:eastAsia="仿宋" w:cs="仿宋"/>
                <w:color w:val="000000"/>
                <w:szCs w:val="21"/>
              </w:rPr>
              <w:t>*</w:t>
            </w:r>
          </w:p>
        </w:tc>
        <w:tc>
          <w:tcPr>
            <w:tcW w:w="3827" w:type="dxa"/>
            <w:tcBorders>
              <w:top w:val="single" w:color="000000" w:sz="4" w:space="0"/>
              <w:left w:val="single" w:color="000000" w:sz="4" w:space="0"/>
              <w:bottom w:val="single" w:color="000000" w:sz="4" w:space="0"/>
              <w:right w:val="single" w:color="000000" w:sz="4" w:space="0"/>
            </w:tcBorders>
            <w:shd w:val="clear" w:color="auto" w:fill="auto"/>
            <w:vAlign w:val="center"/>
          </w:tcPr>
          <w:p>
            <w:pPr>
              <w:tabs>
                <w:tab w:val="left" w:pos="2440"/>
                <w:tab w:val="left" w:pos="8964"/>
              </w:tabs>
              <w:rPr>
                <w:rFonts w:hint="eastAsia" w:ascii="Times New Roman" w:hAnsi="Times New Roman" w:eastAsia="仿宋" w:cs="Times New Roman"/>
                <w:color w:val="000000"/>
                <w:szCs w:val="21"/>
                <w:lang w:eastAsia="zh-CN"/>
              </w:rPr>
            </w:pPr>
            <w:r>
              <w:rPr>
                <w:rFonts w:hint="eastAsia" w:ascii="Times New Roman" w:hAnsi="Times New Roman" w:eastAsia="仿宋" w:cs="Times New Roman"/>
                <w:color w:val="000000"/>
                <w:szCs w:val="21"/>
                <w:lang w:eastAsia="zh-CN"/>
              </w:rPr>
              <w:t>2023年12月26日，我办收到省局转来的四川省绵阳市市场监督管理局《案件移送函》（绵市监案移〔2023〕6号），函述厦门天祚医疗科技有限公司（以下简称“厦门天祚”）生产的雾化器（规格型号：小儿型，批号：2023330A）在外包装上粘贴有环氧乙烷灭菌化学指示标签（以下简称“灭菌标识”），与该产品注册证适用范围“该产品供液态药物雾化吸入治疗用。出厂时未做灭菌，须由使用单位消毒或灭菌后方可使用”不一致。</w:t>
            </w:r>
          </w:p>
          <w:p>
            <w:pPr>
              <w:tabs>
                <w:tab w:val="left" w:pos="2440"/>
                <w:tab w:val="left" w:pos="8964"/>
              </w:tabs>
              <w:rPr>
                <w:rFonts w:hint="eastAsia" w:ascii="Times New Roman" w:hAnsi="Times New Roman" w:eastAsia="仿宋" w:cs="Times New Roman"/>
                <w:color w:val="000000"/>
                <w:szCs w:val="21"/>
                <w:lang w:eastAsia="zh-CN"/>
              </w:rPr>
            </w:pPr>
            <w:r>
              <w:rPr>
                <w:rFonts w:hint="eastAsia" w:ascii="Times New Roman" w:hAnsi="Times New Roman" w:eastAsia="仿宋" w:cs="Times New Roman"/>
                <w:color w:val="000000"/>
                <w:szCs w:val="21"/>
                <w:lang w:val="en-US" w:eastAsia="zh-CN"/>
              </w:rPr>
              <w:t>2024年1月3日，</w:t>
            </w:r>
            <w:r>
              <w:rPr>
                <w:rFonts w:hint="eastAsia" w:ascii="Times New Roman" w:hAnsi="Times New Roman" w:eastAsia="仿宋" w:cs="Times New Roman"/>
                <w:color w:val="000000"/>
                <w:szCs w:val="21"/>
                <w:lang w:eastAsia="zh-CN"/>
              </w:rPr>
              <w:t>经过现场核查，未发现厦门天祚将涉案批次产品以灭菌形式销售给丹祚（厦门）工贸有限公司。同日，我办执法人员到丹祚（厦门）工贸有限公司进行现场核查。通过现场核查，发现丹祚（厦门）工贸有限公司将涉案批次雾化器进行环氧乙烷灭菌并加贴灭菌标识后，销售给四川姊哲医药科技有限公司（以下简称“四川姊哲”）。</w:t>
            </w:r>
          </w:p>
          <w:p>
            <w:pPr>
              <w:tabs>
                <w:tab w:val="left" w:pos="2440"/>
                <w:tab w:val="left" w:pos="8964"/>
              </w:tabs>
              <w:rPr>
                <w:rFonts w:hint="eastAsia" w:ascii="仿宋" w:hAnsi="仿宋" w:eastAsia="仿宋" w:cs="仿宋"/>
                <w:color w:val="000000"/>
                <w:szCs w:val="21"/>
              </w:rPr>
            </w:pPr>
            <w:r>
              <w:rPr>
                <w:rFonts w:hint="eastAsia" w:ascii="Times New Roman" w:hAnsi="Times New Roman" w:eastAsia="仿宋" w:cs="Times New Roman"/>
                <w:color w:val="000000"/>
                <w:szCs w:val="21"/>
                <w:lang w:eastAsia="zh-CN"/>
              </w:rPr>
              <w:t>根据案件移送函和现场核查情况，丹祚（厦门）工贸有限公司违反了《医疗器械监督管理条例》第十三条第一款、第三十二条第一款的规定，构成未经许可从事第二类医疗器械（雾化器）的违法行为。</w:t>
            </w:r>
          </w:p>
        </w:tc>
        <w:tc>
          <w:tcPr>
            <w:tcW w:w="2977" w:type="dxa"/>
            <w:tcBorders>
              <w:top w:val="single" w:color="000000" w:sz="4" w:space="0"/>
              <w:left w:val="single" w:color="000000" w:sz="4" w:space="0"/>
              <w:bottom w:val="single" w:color="000000" w:sz="4" w:space="0"/>
              <w:right w:val="single" w:color="000000" w:sz="4" w:space="0"/>
            </w:tcBorders>
            <w:shd w:val="clear" w:color="auto" w:fill="auto"/>
            <w:vAlign w:val="center"/>
          </w:tcPr>
          <w:p>
            <w:pPr>
              <w:tabs>
                <w:tab w:val="left" w:pos="2440"/>
                <w:tab w:val="left" w:pos="8964"/>
              </w:tabs>
              <w:rPr>
                <w:rFonts w:hint="eastAsia" w:ascii="Times New Roman" w:hAnsi="Times New Roman" w:eastAsia="仿宋" w:cs="Times New Roman"/>
                <w:color w:val="000000"/>
                <w:szCs w:val="21"/>
              </w:rPr>
            </w:pPr>
            <w:r>
              <w:rPr>
                <w:rFonts w:hint="eastAsia" w:ascii="Times New Roman" w:hAnsi="Times New Roman" w:eastAsia="仿宋" w:cs="Times New Roman"/>
                <w:color w:val="000000"/>
                <w:szCs w:val="21"/>
              </w:rPr>
              <w:t>依据《行政处罚法》第二十八条第一款，《医疗器械监督管理条例》第八十一条第一款第一项、第二项，《福建省药品监管行政处罚裁量权适用实施细则（试行）》第十三条第一项、第十四条第一款第四项及第十五条第一款第二项的规定，决定对当事人未经许可生产第二类医疗器械雾化器的违法行为给予如下处理：</w:t>
            </w:r>
          </w:p>
          <w:p>
            <w:pPr>
              <w:tabs>
                <w:tab w:val="left" w:pos="2440"/>
                <w:tab w:val="left" w:pos="8964"/>
              </w:tabs>
              <w:rPr>
                <w:rFonts w:hint="eastAsia" w:ascii="Times New Roman" w:hAnsi="Times New Roman" w:eastAsia="仿宋" w:cs="Times New Roman"/>
                <w:color w:val="000000"/>
                <w:szCs w:val="21"/>
              </w:rPr>
            </w:pPr>
            <w:r>
              <w:rPr>
                <w:rFonts w:hint="eastAsia" w:ascii="Times New Roman" w:hAnsi="Times New Roman" w:eastAsia="仿宋" w:cs="Times New Roman"/>
                <w:color w:val="000000"/>
                <w:szCs w:val="21"/>
              </w:rPr>
              <w:t>1.责令改正；</w:t>
            </w:r>
          </w:p>
          <w:p>
            <w:pPr>
              <w:tabs>
                <w:tab w:val="left" w:pos="2440"/>
                <w:tab w:val="left" w:pos="8964"/>
              </w:tabs>
              <w:rPr>
                <w:rFonts w:hint="eastAsia" w:ascii="Times New Roman" w:hAnsi="Times New Roman" w:eastAsia="仿宋" w:cs="Times New Roman"/>
                <w:color w:val="000000"/>
                <w:szCs w:val="21"/>
              </w:rPr>
            </w:pPr>
            <w:r>
              <w:rPr>
                <w:rFonts w:hint="eastAsia" w:ascii="Times New Roman" w:hAnsi="Times New Roman" w:eastAsia="仿宋" w:cs="Times New Roman"/>
                <w:color w:val="000000"/>
                <w:szCs w:val="21"/>
              </w:rPr>
              <w:t>2.没收涉案批号为2023330A的雾化器131套；</w:t>
            </w:r>
          </w:p>
          <w:p>
            <w:pPr>
              <w:tabs>
                <w:tab w:val="left" w:pos="2440"/>
                <w:tab w:val="left" w:pos="8964"/>
              </w:tabs>
              <w:rPr>
                <w:rFonts w:hint="eastAsia" w:ascii="Times New Roman" w:hAnsi="Times New Roman" w:eastAsia="仿宋" w:cs="Times New Roman"/>
                <w:color w:val="000000"/>
                <w:szCs w:val="21"/>
              </w:rPr>
            </w:pPr>
            <w:r>
              <w:rPr>
                <w:rFonts w:hint="eastAsia" w:ascii="Times New Roman" w:hAnsi="Times New Roman" w:eastAsia="仿宋" w:cs="Times New Roman"/>
                <w:color w:val="000000"/>
                <w:szCs w:val="21"/>
              </w:rPr>
              <w:t>3.罚款81000元（捌万壹仟元）。</w:t>
            </w:r>
          </w:p>
          <w:p>
            <w:pPr>
              <w:tabs>
                <w:tab w:val="left" w:pos="2440"/>
                <w:tab w:val="left" w:pos="8964"/>
              </w:tabs>
              <w:rPr>
                <w:rFonts w:ascii="Times New Roman" w:hAnsi="Times New Roman" w:eastAsia="仿宋" w:cs="Times New Roman"/>
                <w:color w:val="000000"/>
                <w:szCs w:val="21"/>
              </w:rPr>
            </w:pPr>
            <w:r>
              <w:rPr>
                <w:rFonts w:hint="eastAsia" w:ascii="Times New Roman" w:hAnsi="Times New Roman" w:eastAsia="仿宋" w:cs="Times New Roman"/>
                <w:color w:val="000000"/>
                <w:szCs w:val="21"/>
              </w:rPr>
              <w:t>上述罚没款合计81000元（捌万壹仟元）。</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30" w:lineRule="atLeast"/>
              <w:textAlignment w:val="center"/>
              <w:rPr>
                <w:rFonts w:ascii="Times New Roman" w:hAnsi="Times New Roman" w:eastAsia="仿宋" w:cs="Times New Roman"/>
                <w:color w:val="000000"/>
                <w:szCs w:val="21"/>
                <w:highlight w:val="yellow"/>
              </w:rPr>
            </w:pPr>
            <w:r>
              <w:rPr>
                <w:rFonts w:hint="eastAsia" w:ascii="Times New Roman" w:hAnsi="Times New Roman" w:eastAsia="仿宋" w:cs="Times New Roman"/>
                <w:color w:val="000000"/>
                <w:szCs w:val="21"/>
              </w:rPr>
              <w:t>当事人应自接到本行政处罚决定之日起</w:t>
            </w:r>
            <w:r>
              <w:rPr>
                <w:rFonts w:ascii="Times New Roman" w:hAnsi="Times New Roman" w:eastAsia="仿宋" w:cs="Times New Roman"/>
                <w:color w:val="000000"/>
                <w:szCs w:val="21"/>
              </w:rPr>
              <w:t>15</w:t>
            </w:r>
            <w:r>
              <w:rPr>
                <w:rFonts w:hint="eastAsia" w:ascii="Times New Roman" w:hAnsi="Times New Roman" w:eastAsia="仿宋" w:cs="Times New Roman"/>
                <w:color w:val="000000"/>
                <w:szCs w:val="21"/>
              </w:rPr>
              <w:t>日内缴纳上述罚没款。当事人根据</w:t>
            </w:r>
            <w:r>
              <w:rPr>
                <w:rFonts w:hint="eastAsia" w:ascii="Times New Roman" w:hAnsi="Times New Roman" w:eastAsia="仿宋" w:cs="Times New Roman"/>
                <w:color w:val="000000"/>
                <w:kern w:val="0"/>
                <w:szCs w:val="21"/>
                <w:lang w:bidi="ar"/>
              </w:rPr>
              <w:t>福建省药品监督管理局</w:t>
            </w:r>
            <w:r>
              <w:rPr>
                <w:rFonts w:hint="eastAsia" w:ascii="Times New Roman" w:hAnsi="Times New Roman" w:eastAsia="仿宋" w:cs="Times New Roman"/>
                <w:color w:val="000000"/>
                <w:szCs w:val="21"/>
              </w:rPr>
              <w:t>开具的行政处罚缴款通知书，自行选择缴款方式。逾期不缴纳罚款的，依据《中华人民共和国行政处罚法》第七十二条第一款的规定，我办将每日按罚款数额的百分之三加处罚款，并依法申请人民法院强制执行。</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30" w:lineRule="atLeast"/>
              <w:textAlignment w:val="center"/>
              <w:rPr>
                <w:rFonts w:ascii="Times New Roman" w:hAnsi="Times New Roman" w:eastAsia="仿宋" w:cs="Times New Roman"/>
                <w:color w:val="000000"/>
                <w:szCs w:val="21"/>
                <w:highlight w:val="yellow"/>
              </w:rPr>
            </w:pPr>
            <w:r>
              <w:rPr>
                <w:rFonts w:ascii="Times New Roman" w:hAnsi="Times New Roman" w:eastAsia="仿宋" w:cs="Times New Roman"/>
                <w:color w:val="000000"/>
                <w:kern w:val="0"/>
                <w:szCs w:val="21"/>
                <w:lang w:bidi="ar"/>
              </w:rPr>
              <w:t>福建省药品监督管理局厦门药品稽查办公室</w:t>
            </w:r>
            <w:r>
              <w:rPr>
                <w:rFonts w:ascii="Times New Roman" w:hAnsi="Times New Roman" w:eastAsia="仿宋" w:cs="Times New Roman"/>
                <w:kern w:val="0"/>
                <w:szCs w:val="21"/>
                <w:lang w:bidi="ar"/>
              </w:rPr>
              <w:t>，202</w:t>
            </w:r>
            <w:r>
              <w:rPr>
                <w:rFonts w:hint="eastAsia" w:ascii="Times New Roman" w:hAnsi="Times New Roman" w:eastAsia="仿宋" w:cs="Times New Roman"/>
                <w:kern w:val="0"/>
                <w:szCs w:val="21"/>
                <w:lang w:val="en-US" w:eastAsia="zh-CN" w:bidi="ar"/>
              </w:rPr>
              <w:t>4</w:t>
            </w:r>
            <w:r>
              <w:rPr>
                <w:rFonts w:ascii="Times New Roman" w:hAnsi="Times New Roman" w:eastAsia="仿宋" w:cs="Times New Roman"/>
                <w:kern w:val="0"/>
                <w:szCs w:val="21"/>
                <w:lang w:bidi="ar"/>
              </w:rPr>
              <w:t>年</w:t>
            </w:r>
            <w:r>
              <w:rPr>
                <w:rFonts w:hint="eastAsia" w:ascii="Times New Roman" w:hAnsi="Times New Roman" w:eastAsia="仿宋" w:cs="Times New Roman"/>
                <w:kern w:val="0"/>
                <w:szCs w:val="21"/>
                <w:lang w:val="en-US" w:eastAsia="zh-CN" w:bidi="ar"/>
              </w:rPr>
              <w:t>4</w:t>
            </w:r>
            <w:r>
              <w:rPr>
                <w:rFonts w:ascii="Times New Roman" w:hAnsi="Times New Roman" w:eastAsia="仿宋" w:cs="Times New Roman"/>
                <w:kern w:val="0"/>
                <w:szCs w:val="21"/>
                <w:lang w:bidi="ar"/>
              </w:rPr>
              <w:t>月</w:t>
            </w:r>
            <w:r>
              <w:rPr>
                <w:rFonts w:hint="eastAsia" w:ascii="Times New Roman" w:hAnsi="Times New Roman" w:eastAsia="仿宋" w:cs="Times New Roman"/>
                <w:kern w:val="0"/>
                <w:szCs w:val="21"/>
                <w:lang w:val="en-US" w:eastAsia="zh-CN" w:bidi="ar"/>
              </w:rPr>
              <w:t>7</w:t>
            </w:r>
            <w:r>
              <w:rPr>
                <w:rFonts w:ascii="Times New Roman" w:hAnsi="Times New Roman" w:eastAsia="仿宋" w:cs="Times New Roman"/>
                <w:kern w:val="0"/>
                <w:szCs w:val="21"/>
                <w:lang w:bidi="ar"/>
              </w:rPr>
              <w:t>日。</w:t>
            </w:r>
          </w:p>
        </w:tc>
        <w:tc>
          <w:tcPr>
            <w:tcW w:w="4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30" w:lineRule="atLeast"/>
              <w:jc w:val="left"/>
              <w:textAlignment w:val="center"/>
              <w:rPr>
                <w:rFonts w:ascii="Times New Roman" w:hAnsi="Times New Roman" w:eastAsia="仿宋" w:cs="Times New Roman"/>
                <w:color w:val="000000"/>
                <w:szCs w:val="21"/>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roman"/>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微软雅黑">
    <w:altName w:val="方正黑体_GBK"/>
    <w:panose1 w:val="020B0503020204020204"/>
    <w:charset w:val="86"/>
    <w:family w:val="swiss"/>
    <w:pitch w:val="default"/>
    <w:sig w:usb0="00000000" w:usb1="00000000" w:usb2="00000016" w:usb3="00000000" w:csb0="0004001F" w:csb1="00000000"/>
  </w:font>
  <w:font w:name="方正黑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BjOWZiOGJjZDlkNjQzMzUwYjBhYzQyNTAyZTk3MmIifQ=="/>
  </w:docVars>
  <w:rsids>
    <w:rsidRoot w:val="0AFC60A5"/>
    <w:rsid w:val="00030266"/>
    <w:rsid w:val="00076254"/>
    <w:rsid w:val="000871D5"/>
    <w:rsid w:val="000C202C"/>
    <w:rsid w:val="001226E1"/>
    <w:rsid w:val="00133C4D"/>
    <w:rsid w:val="001C5893"/>
    <w:rsid w:val="00253D4B"/>
    <w:rsid w:val="002811F9"/>
    <w:rsid w:val="00334989"/>
    <w:rsid w:val="00431DA7"/>
    <w:rsid w:val="00474305"/>
    <w:rsid w:val="00484E35"/>
    <w:rsid w:val="004F3546"/>
    <w:rsid w:val="005318AB"/>
    <w:rsid w:val="005C292B"/>
    <w:rsid w:val="006137C6"/>
    <w:rsid w:val="00647264"/>
    <w:rsid w:val="006809B1"/>
    <w:rsid w:val="006E677A"/>
    <w:rsid w:val="0079437F"/>
    <w:rsid w:val="007E6247"/>
    <w:rsid w:val="007F207E"/>
    <w:rsid w:val="00805F24"/>
    <w:rsid w:val="00855903"/>
    <w:rsid w:val="009C5167"/>
    <w:rsid w:val="00B022D6"/>
    <w:rsid w:val="00B8644D"/>
    <w:rsid w:val="00BE4DCC"/>
    <w:rsid w:val="00C24D98"/>
    <w:rsid w:val="00CB19CA"/>
    <w:rsid w:val="00D4319E"/>
    <w:rsid w:val="00D841F8"/>
    <w:rsid w:val="00DB14C3"/>
    <w:rsid w:val="00DB2E1E"/>
    <w:rsid w:val="00DD5582"/>
    <w:rsid w:val="02F758D7"/>
    <w:rsid w:val="05E927E7"/>
    <w:rsid w:val="06DF09E6"/>
    <w:rsid w:val="0A8263CF"/>
    <w:rsid w:val="0AF353F0"/>
    <w:rsid w:val="0AFC60A5"/>
    <w:rsid w:val="0C616F42"/>
    <w:rsid w:val="0D9D6771"/>
    <w:rsid w:val="17F52F62"/>
    <w:rsid w:val="1CC47C11"/>
    <w:rsid w:val="1DAF4892"/>
    <w:rsid w:val="2B8C72D3"/>
    <w:rsid w:val="2E5B16E1"/>
    <w:rsid w:val="2EEB283A"/>
    <w:rsid w:val="2F383184"/>
    <w:rsid w:val="35E525D1"/>
    <w:rsid w:val="37F00998"/>
    <w:rsid w:val="388E5FDA"/>
    <w:rsid w:val="3BFC0B7A"/>
    <w:rsid w:val="3DE206BA"/>
    <w:rsid w:val="4344143E"/>
    <w:rsid w:val="43A61BD7"/>
    <w:rsid w:val="4AEC1DD8"/>
    <w:rsid w:val="4B227261"/>
    <w:rsid w:val="511C6458"/>
    <w:rsid w:val="53CE2445"/>
    <w:rsid w:val="55455002"/>
    <w:rsid w:val="7AC34CDF"/>
    <w:rsid w:val="BDFF56E7"/>
    <w:rsid w:val="FBFEAB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0"/>
    <w:qFormat/>
    <w:uiPriority w:val="0"/>
    <w:pPr>
      <w:ind w:left="220"/>
      <w:jc w:val="left"/>
    </w:pPr>
    <w:rPr>
      <w:rFonts w:ascii="宋体" w:hAnsi="宋体" w:eastAsia="宋体" w:cs="Times New Roman"/>
      <w:kern w:val="0"/>
      <w:sz w:val="32"/>
      <w:szCs w:val="32"/>
      <w:lang w:eastAsia="en-US"/>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0"/>
    <w:rPr>
      <w:rFonts w:asciiTheme="minorHAnsi" w:hAnsiTheme="minorHAnsi" w:eastAsiaTheme="minorEastAsia"/>
      <w:kern w:val="2"/>
      <w:sz w:val="18"/>
      <w:szCs w:val="18"/>
    </w:rPr>
  </w:style>
  <w:style w:type="character" w:customStyle="1" w:styleId="8">
    <w:name w:val="页脚 字符"/>
    <w:basedOn w:val="6"/>
    <w:link w:val="3"/>
    <w:qFormat/>
    <w:uiPriority w:val="0"/>
    <w:rPr>
      <w:rFonts w:asciiTheme="minorHAnsi" w:hAnsiTheme="minorHAnsi" w:eastAsiaTheme="minorEastAsia"/>
      <w:kern w:val="2"/>
      <w:sz w:val="18"/>
      <w:szCs w:val="18"/>
    </w:rPr>
  </w:style>
  <w:style w:type="paragraph" w:styleId="9">
    <w:name w:val="List Paragraph"/>
    <w:basedOn w:val="1"/>
    <w:qFormat/>
    <w:uiPriority w:val="99"/>
    <w:pPr>
      <w:ind w:firstLine="420" w:firstLineChars="200"/>
    </w:pPr>
  </w:style>
  <w:style w:type="character" w:customStyle="1" w:styleId="10">
    <w:name w:val="正文文本 字符"/>
    <w:basedOn w:val="6"/>
    <w:link w:val="2"/>
    <w:qFormat/>
    <w:uiPriority w:val="0"/>
    <w:rPr>
      <w:rFonts w:ascii="宋体" w:hAnsi="宋体" w:cs="Times New Roman"/>
      <w:sz w:val="32"/>
      <w:szCs w:val="32"/>
      <w:lang w:eastAsia="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151</Words>
  <Characters>865</Characters>
  <Lines>7</Lines>
  <Paragraphs>2</Paragraphs>
  <TotalTime>0</TotalTime>
  <ScaleCrop>false</ScaleCrop>
  <LinksUpToDate>false</LinksUpToDate>
  <CharactersWithSpaces>1014</CharactersWithSpaces>
  <Application>WPS Office_11.8.2.1127_F1E327BC-269C-435d-A152-05C5408002CA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2019-11-05T06:53:00Z</dcterms:created>
  <dc:creator>林振顺</dc:creator>
  <cp:lastModifiedBy>null</cp:lastModifiedBy>
  <cp:lastPrinted>2024-04-18T15:06:35Z</cp:lastPrinted>
  <dcterms:modified xsi:type="dcterms:W3CDTF">2024-04-18T15:06:38Z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2052-11.8.2.1127</vt:lpwstr>
  </property>
  <property fmtid="{D5CDD505-2E9C-101B-9397-08002B2CF9AE}" pid="3" name="ICV">
    <vt:lpwstr>AAF3D7702C815092584D17664AF4293A</vt:lpwstr>
  </property>
</Properties>
</file>