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val="0"/>
        <w:topLinePunct w:val="0"/>
        <w:autoSpaceDE/>
        <w:autoSpaceDN/>
        <w:bidi w:val="0"/>
        <w:spacing w:line="590" w:lineRule="exact"/>
        <w:jc w:val="center"/>
        <w:textAlignment w:val="auto"/>
        <w:rPr>
          <w:rFonts w:hint="eastAsia" w:ascii="宋体" w:hAnsi="宋体" w:eastAsia="方正小标宋简体" w:cs="方正小标宋简体"/>
          <w:color w:val="000000" w:themeColor="text1"/>
          <w:sz w:val="44"/>
          <w:szCs w:val="44"/>
        </w:rPr>
      </w:pPr>
    </w:p>
    <w:p>
      <w:pPr>
        <w:keepNext w:val="0"/>
        <w:keepLines w:val="0"/>
        <w:pageBreakBefore w:val="0"/>
        <w:widowControl w:val="0"/>
        <w:kinsoku/>
        <w:wordWrap/>
        <w:overflowPunct w:val="0"/>
        <w:topLinePunct w:val="0"/>
        <w:autoSpaceDE/>
        <w:autoSpaceDN/>
        <w:bidi w:val="0"/>
        <w:spacing w:line="590" w:lineRule="exact"/>
        <w:jc w:val="center"/>
        <w:textAlignment w:val="auto"/>
        <w:rPr>
          <w:rFonts w:ascii="宋体" w:hAnsi="宋体" w:eastAsia="方正小标宋简体" w:cs="方正小标宋简体"/>
          <w:color w:val="000000" w:themeColor="text1"/>
          <w:sz w:val="44"/>
          <w:szCs w:val="44"/>
        </w:rPr>
      </w:pPr>
      <w:r>
        <w:rPr>
          <w:rFonts w:hint="eastAsia" w:ascii="宋体" w:hAnsi="宋体" w:eastAsia="方正小标宋简体" w:cs="方正小标宋简体"/>
          <w:color w:val="000000" w:themeColor="text1"/>
          <w:sz w:val="44"/>
          <w:szCs w:val="44"/>
        </w:rPr>
        <w:t>河南省市场监督管理局</w:t>
      </w:r>
    </w:p>
    <w:p>
      <w:pPr>
        <w:keepNext w:val="0"/>
        <w:keepLines w:val="0"/>
        <w:pageBreakBefore w:val="0"/>
        <w:widowControl w:val="0"/>
        <w:kinsoku/>
        <w:wordWrap/>
        <w:overflowPunct w:val="0"/>
        <w:topLinePunct w:val="0"/>
        <w:autoSpaceDE/>
        <w:autoSpaceDN/>
        <w:bidi w:val="0"/>
        <w:spacing w:line="590" w:lineRule="exact"/>
        <w:jc w:val="center"/>
        <w:textAlignment w:val="auto"/>
        <w:rPr>
          <w:rFonts w:ascii="宋体" w:hAnsi="宋体" w:eastAsia="方正小标宋简体" w:cs="方正小标宋简体"/>
          <w:color w:val="000000" w:themeColor="text1"/>
          <w:sz w:val="44"/>
          <w:szCs w:val="44"/>
        </w:rPr>
      </w:pPr>
      <w:bookmarkStart w:id="0" w:name="_Toc76683344"/>
      <w:r>
        <w:rPr>
          <w:rFonts w:hint="eastAsia" w:ascii="宋体" w:hAnsi="宋体" w:eastAsia="方正小标宋简体" w:cs="方正小标宋简体"/>
          <w:color w:val="000000" w:themeColor="text1"/>
          <w:sz w:val="44"/>
          <w:szCs w:val="44"/>
        </w:rPr>
        <w:t>行政处罚决定书</w:t>
      </w:r>
      <w:bookmarkEnd w:id="0"/>
    </w:p>
    <w:p>
      <w:pPr>
        <w:keepNext w:val="0"/>
        <w:keepLines w:val="0"/>
        <w:pageBreakBefore w:val="0"/>
        <w:widowControl w:val="0"/>
        <w:kinsoku/>
        <w:wordWrap/>
        <w:overflowPunct w:val="0"/>
        <w:topLinePunct w:val="0"/>
        <w:autoSpaceDE/>
        <w:autoSpaceDN/>
        <w:bidi w:val="0"/>
        <w:spacing w:line="590" w:lineRule="exact"/>
        <w:jc w:val="center"/>
        <w:textAlignment w:val="auto"/>
        <w:rPr>
          <w:rFonts w:ascii="宋体" w:hAnsi="宋体" w:eastAsia="仿宋_GB2312" w:cs="仿宋_GB2312"/>
          <w:color w:val="000000" w:themeColor="text1"/>
          <w:sz w:val="32"/>
          <w:szCs w:val="32"/>
        </w:rPr>
      </w:pPr>
    </w:p>
    <w:p>
      <w:pPr>
        <w:keepNext w:val="0"/>
        <w:keepLines w:val="0"/>
        <w:pageBreakBefore w:val="0"/>
        <w:widowControl w:val="0"/>
        <w:kinsoku/>
        <w:wordWrap/>
        <w:overflowPunct w:val="0"/>
        <w:topLinePunct w:val="0"/>
        <w:autoSpaceDE/>
        <w:autoSpaceDN/>
        <w:bidi w:val="0"/>
        <w:spacing w:line="590" w:lineRule="exact"/>
        <w:jc w:val="center"/>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豫市监处罚〔</w:t>
      </w:r>
      <w:r>
        <w:rPr>
          <w:rFonts w:hint="eastAsia" w:ascii="宋体" w:hAnsi="宋体" w:eastAsia="仿宋" w:cs="仿宋"/>
          <w:color w:val="000000" w:themeColor="text1"/>
          <w:sz w:val="32"/>
          <w:szCs w:val="32"/>
        </w:rPr>
        <w:t>2022</w:t>
      </w:r>
      <w:r>
        <w:rPr>
          <w:rFonts w:hint="eastAsia" w:ascii="宋体" w:hAnsi="宋体" w:eastAsia="仿宋_GB2312" w:cs="仿宋_GB2312"/>
          <w:color w:val="000000" w:themeColor="text1"/>
          <w:sz w:val="32"/>
          <w:szCs w:val="32"/>
        </w:rPr>
        <w:t>〕6-17号</w:t>
      </w:r>
    </w:p>
    <w:p>
      <w:pPr>
        <w:keepNext w:val="0"/>
        <w:keepLines w:val="0"/>
        <w:pageBreakBefore w:val="0"/>
        <w:widowControl w:val="0"/>
        <w:kinsoku/>
        <w:wordWrap/>
        <w:overflowPunct w:val="0"/>
        <w:topLinePunct w:val="0"/>
        <w:autoSpaceDE/>
        <w:autoSpaceDN/>
        <w:bidi w:val="0"/>
        <w:spacing w:line="590" w:lineRule="exact"/>
        <w:ind w:firstLine="640" w:firstLineChars="200"/>
        <w:jc w:val="center"/>
        <w:textAlignment w:val="auto"/>
        <w:rPr>
          <w:rFonts w:ascii="宋体" w:hAnsi="宋体" w:eastAsia="仿宋_GB2312" w:cs="仿宋_GB2312"/>
          <w:color w:val="000000" w:themeColor="text1"/>
          <w:sz w:val="32"/>
          <w:szCs w:val="32"/>
        </w:rPr>
      </w:pPr>
    </w:p>
    <w:p>
      <w:pPr>
        <w:keepNext w:val="0"/>
        <w:keepLines w:val="0"/>
        <w:pageBreakBefore w:val="0"/>
        <w:widowControl w:val="0"/>
        <w:kinsoku/>
        <w:wordWrap/>
        <w:overflowPunct w:val="0"/>
        <w:topLinePunct w:val="0"/>
        <w:autoSpaceDE/>
        <w:autoSpaceDN/>
        <w:bidi w:val="0"/>
        <w:adjustRightInd w:val="0"/>
        <w:spacing w:line="590" w:lineRule="exact"/>
        <w:ind w:firstLine="640" w:firstLineChars="200"/>
        <w:textAlignment w:val="auto"/>
        <w:rPr>
          <w:rFonts w:ascii="宋体" w:hAnsi="宋体" w:eastAsia="黑体" w:cs="黑体"/>
          <w:color w:val="000000" w:themeColor="text1"/>
          <w:sz w:val="32"/>
          <w:szCs w:val="32"/>
        </w:rPr>
      </w:pPr>
      <w:r>
        <w:rPr>
          <w:rFonts w:hint="eastAsia" w:ascii="宋体" w:hAnsi="宋体" w:eastAsia="黑体" w:cs="黑体"/>
          <w:color w:val="000000" w:themeColor="text1"/>
          <w:sz w:val="32"/>
          <w:szCs w:val="32"/>
        </w:rPr>
        <w:t>一、当事人基本情况</w:t>
      </w:r>
    </w:p>
    <w:p>
      <w:pPr>
        <w:keepNext w:val="0"/>
        <w:keepLines w:val="0"/>
        <w:pageBreakBefore w:val="0"/>
        <w:widowControl w:val="0"/>
        <w:kinsoku/>
        <w:wordWrap/>
        <w:overflowPunct w:val="0"/>
        <w:topLinePunct w:val="0"/>
        <w:autoSpaceDE/>
        <w:autoSpaceDN/>
        <w:bidi w:val="0"/>
        <w:spacing w:line="590"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当事人：焦作市鸿大二手车交易市场有限公司；</w:t>
      </w:r>
    </w:p>
    <w:p>
      <w:pPr>
        <w:keepNext w:val="0"/>
        <w:keepLines w:val="0"/>
        <w:pageBreakBefore w:val="0"/>
        <w:widowControl w:val="0"/>
        <w:kinsoku/>
        <w:wordWrap/>
        <w:overflowPunct w:val="0"/>
        <w:topLinePunct w:val="0"/>
        <w:autoSpaceDE/>
        <w:autoSpaceDN/>
        <w:bidi w:val="0"/>
        <w:spacing w:line="590"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统一社会信用代码：91410800MA4814N39W；</w:t>
      </w:r>
    </w:p>
    <w:p>
      <w:pPr>
        <w:keepNext w:val="0"/>
        <w:keepLines w:val="0"/>
        <w:pageBreakBefore w:val="0"/>
        <w:widowControl w:val="0"/>
        <w:kinsoku/>
        <w:wordWrap/>
        <w:overflowPunct w:val="0"/>
        <w:topLinePunct w:val="0"/>
        <w:autoSpaceDE/>
        <w:autoSpaceDN/>
        <w:bidi w:val="0"/>
        <w:spacing w:line="590"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法定代表人：</w:t>
      </w:r>
      <w:r>
        <w:rPr>
          <w:rFonts w:hint="eastAsia" w:ascii="宋体" w:hAnsi="宋体" w:eastAsia="仿宋_GB2312" w:cs="仿宋_GB2312"/>
          <w:color w:val="000000" w:themeColor="text1"/>
          <w:sz w:val="32"/>
          <w:szCs w:val="32"/>
          <w:lang w:val="en-US" w:eastAsia="zh-CN"/>
        </w:rPr>
        <w:t>**；</w:t>
      </w:r>
      <w:bookmarkStart w:id="1" w:name="_GoBack"/>
      <w:bookmarkEnd w:id="1"/>
    </w:p>
    <w:p>
      <w:pPr>
        <w:keepNext w:val="0"/>
        <w:keepLines w:val="0"/>
        <w:pageBreakBefore w:val="0"/>
        <w:widowControl w:val="0"/>
        <w:kinsoku/>
        <w:wordWrap/>
        <w:overflowPunct w:val="0"/>
        <w:topLinePunct w:val="0"/>
        <w:autoSpaceDE/>
        <w:autoSpaceDN/>
        <w:bidi w:val="0"/>
        <w:spacing w:line="590"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住所：焦作市马村区马村街道建设东路4496号（楼前、楼后、2号楼2101、2102、2103房间及二楼）；</w:t>
      </w:r>
    </w:p>
    <w:p>
      <w:pPr>
        <w:keepNext w:val="0"/>
        <w:keepLines w:val="0"/>
        <w:pageBreakBefore w:val="0"/>
        <w:widowControl w:val="0"/>
        <w:kinsoku/>
        <w:wordWrap/>
        <w:overflowPunct w:val="0"/>
        <w:topLinePunct w:val="0"/>
        <w:autoSpaceDE/>
        <w:autoSpaceDN/>
        <w:bidi w:val="0"/>
        <w:spacing w:line="590"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机构类型：有限责任公司（自然人独资）；</w:t>
      </w:r>
    </w:p>
    <w:p>
      <w:pPr>
        <w:keepNext w:val="0"/>
        <w:keepLines w:val="0"/>
        <w:pageBreakBefore w:val="0"/>
        <w:widowControl w:val="0"/>
        <w:kinsoku/>
        <w:wordWrap/>
        <w:overflowPunct w:val="0"/>
        <w:topLinePunct w:val="0"/>
        <w:autoSpaceDE/>
        <w:autoSpaceDN/>
        <w:bidi w:val="0"/>
        <w:spacing w:line="590"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经营范围：二手车交易服务；市场管理服务；房屋租赁服务。</w:t>
      </w:r>
    </w:p>
    <w:p>
      <w:pPr>
        <w:keepNext w:val="0"/>
        <w:keepLines w:val="0"/>
        <w:pageBreakBefore w:val="0"/>
        <w:widowControl w:val="0"/>
        <w:kinsoku/>
        <w:wordWrap/>
        <w:overflowPunct w:val="0"/>
        <w:topLinePunct w:val="0"/>
        <w:autoSpaceDE/>
        <w:autoSpaceDN/>
        <w:bidi w:val="0"/>
        <w:adjustRightInd w:val="0"/>
        <w:spacing w:line="590" w:lineRule="exact"/>
        <w:ind w:firstLine="640" w:firstLineChars="200"/>
        <w:textAlignment w:val="auto"/>
        <w:rPr>
          <w:rFonts w:ascii="宋体" w:hAnsi="宋体" w:eastAsia="黑体" w:cs="黑体"/>
          <w:color w:val="000000" w:themeColor="text1"/>
          <w:sz w:val="32"/>
          <w:szCs w:val="32"/>
        </w:rPr>
      </w:pPr>
      <w:r>
        <w:rPr>
          <w:rFonts w:hint="eastAsia" w:ascii="宋体" w:hAnsi="宋体" w:eastAsia="黑体" w:cs="黑体"/>
          <w:color w:val="000000" w:themeColor="text1"/>
          <w:sz w:val="32"/>
          <w:szCs w:val="32"/>
        </w:rPr>
        <w:t>二、案件来源及调查经过</w:t>
      </w:r>
    </w:p>
    <w:p>
      <w:pPr>
        <w:keepNext w:val="0"/>
        <w:keepLines w:val="0"/>
        <w:pageBreakBefore w:val="0"/>
        <w:widowControl w:val="0"/>
        <w:kinsoku/>
        <w:wordWrap/>
        <w:overflowPunct w:val="0"/>
        <w:topLinePunct w:val="0"/>
        <w:autoSpaceDE/>
        <w:autoSpaceDN/>
        <w:bidi w:val="0"/>
        <w:spacing w:line="590" w:lineRule="exact"/>
        <w:ind w:firstLine="640" w:firstLineChars="200"/>
        <w:textAlignment w:val="auto"/>
        <w:rPr>
          <w:rFonts w:ascii="宋体" w:hAnsi="宋体" w:eastAsia="仿宋_GB2312"/>
          <w:color w:val="000000" w:themeColor="text1"/>
          <w:sz w:val="32"/>
          <w:szCs w:val="32"/>
        </w:rPr>
      </w:pPr>
      <w:r>
        <w:rPr>
          <w:rFonts w:hint="eastAsia" w:ascii="宋体" w:hAnsi="宋体" w:eastAsia="仿宋_GB2312" w:cs="仿宋_GB2312"/>
          <w:color w:val="000000" w:themeColor="text1"/>
          <w:sz w:val="32"/>
          <w:szCs w:val="32"/>
        </w:rPr>
        <w:t>2022年8月24日，国务院督查组在河南督导期间向本机关交办了焦作市多家二手车交易市场公司涉嫌达成并实施垄断协议的案件线索。本机关立即对该案件线索开展了调查，经核查，本案是由焦作市二手车流通协会（以下简称“协会”）组织本行业经营者达成并实施的垄断协议。2022年9月20日，本机关对协会组织当事人及其他相关经营者达成并实施垄断协议的行为进行立案调查。期间，本机关依法</w:t>
      </w:r>
      <w:r>
        <w:rPr>
          <w:rFonts w:hint="eastAsia" w:ascii="宋体" w:hAnsi="宋体" w:eastAsia="仿宋_GB2312"/>
          <w:color w:val="000000" w:themeColor="text1"/>
          <w:sz w:val="32"/>
          <w:szCs w:val="32"/>
        </w:rPr>
        <w:t>进行了现场检查、调查询问，提</w:t>
      </w:r>
      <w:r>
        <w:rPr>
          <w:rFonts w:ascii="宋体" w:hAnsi="宋体" w:eastAsia="仿宋_GB2312"/>
          <w:color w:val="000000" w:themeColor="text1"/>
          <w:kern w:val="10"/>
          <w:sz w:val="32"/>
          <w:szCs w:val="32"/>
        </w:rPr>
        <w:t>取了相关书证、电子数据等材料，</w:t>
      </w:r>
      <w:r>
        <w:rPr>
          <w:rFonts w:hint="eastAsia" w:ascii="宋体" w:hAnsi="宋体" w:eastAsia="仿宋_GB2312"/>
          <w:color w:val="000000" w:themeColor="text1"/>
          <w:sz w:val="32"/>
          <w:szCs w:val="32"/>
        </w:rPr>
        <w:t>并多次听取当事人陈述申辩意见，保障当事人合法权利。</w:t>
      </w:r>
    </w:p>
    <w:p>
      <w:pPr>
        <w:keepNext w:val="0"/>
        <w:keepLines w:val="0"/>
        <w:pageBreakBefore w:val="0"/>
        <w:widowControl w:val="0"/>
        <w:kinsoku/>
        <w:wordWrap/>
        <w:overflowPunct w:val="0"/>
        <w:topLinePunct w:val="0"/>
        <w:autoSpaceDE/>
        <w:autoSpaceDN/>
        <w:bidi w:val="0"/>
        <w:spacing w:line="590" w:lineRule="exact"/>
        <w:ind w:firstLine="640" w:firstLineChars="200"/>
        <w:textAlignment w:val="auto"/>
        <w:rPr>
          <w:rFonts w:ascii="宋体" w:hAnsi="宋体" w:eastAsia="仿宋_GB2312"/>
          <w:color w:val="000000" w:themeColor="text1"/>
          <w:sz w:val="32"/>
          <w:szCs w:val="32"/>
        </w:rPr>
      </w:pPr>
      <w:r>
        <w:rPr>
          <w:rFonts w:ascii="宋体" w:hAnsi="宋体" w:eastAsia="仿宋_GB2312"/>
          <w:color w:val="000000" w:themeColor="text1"/>
          <w:sz w:val="32"/>
          <w:szCs w:val="32"/>
        </w:rPr>
        <w:t>2023年</w:t>
      </w:r>
      <w:r>
        <w:rPr>
          <w:rFonts w:hint="eastAsia" w:ascii="宋体" w:hAnsi="宋体" w:eastAsia="仿宋_GB2312"/>
          <w:color w:val="000000" w:themeColor="text1"/>
          <w:sz w:val="32"/>
          <w:szCs w:val="32"/>
        </w:rPr>
        <w:t>12</w:t>
      </w:r>
      <w:r>
        <w:rPr>
          <w:rFonts w:ascii="宋体" w:hAnsi="宋体" w:eastAsia="仿宋_GB2312"/>
          <w:color w:val="000000" w:themeColor="text1"/>
          <w:sz w:val="32"/>
          <w:szCs w:val="32"/>
        </w:rPr>
        <w:t>月</w:t>
      </w:r>
      <w:r>
        <w:rPr>
          <w:rFonts w:hint="eastAsia" w:ascii="宋体" w:hAnsi="宋体" w:eastAsia="仿宋_GB2312"/>
          <w:color w:val="000000" w:themeColor="text1"/>
          <w:sz w:val="32"/>
          <w:szCs w:val="32"/>
        </w:rPr>
        <w:t>6</w:t>
      </w:r>
      <w:r>
        <w:rPr>
          <w:rFonts w:ascii="宋体" w:hAnsi="宋体" w:eastAsia="仿宋_GB2312"/>
          <w:color w:val="000000" w:themeColor="text1"/>
          <w:sz w:val="32"/>
          <w:szCs w:val="32"/>
        </w:rPr>
        <w:t>日，本机关依法向当事人送达了《行政处罚告知书》，告知当事人涉嫌违反《中华人民共和国反垄断法》的事实、拟作出的行政处罚决定、理由和依据，以及依法享有陈述、申辩的权利。当事人在法定期限内未向本机关进行陈述、申辩。</w:t>
      </w:r>
    </w:p>
    <w:p>
      <w:pPr>
        <w:keepNext w:val="0"/>
        <w:keepLines w:val="0"/>
        <w:pageBreakBefore w:val="0"/>
        <w:widowControl w:val="0"/>
        <w:kinsoku/>
        <w:wordWrap/>
        <w:overflowPunct w:val="0"/>
        <w:topLinePunct w:val="0"/>
        <w:autoSpaceDE/>
        <w:autoSpaceDN/>
        <w:bidi w:val="0"/>
        <w:spacing w:line="590" w:lineRule="exact"/>
        <w:ind w:firstLine="640" w:firstLineChars="200"/>
        <w:textAlignment w:val="auto"/>
        <w:rPr>
          <w:rFonts w:hint="eastAsia" w:ascii="宋体" w:hAnsi="宋体" w:eastAsia="黑体" w:cs="黑体"/>
          <w:color w:val="000000" w:themeColor="text1"/>
          <w:sz w:val="32"/>
          <w:szCs w:val="32"/>
          <w:lang w:eastAsia="zh-CN"/>
        </w:rPr>
      </w:pPr>
      <w:r>
        <w:rPr>
          <w:rFonts w:hint="eastAsia" w:ascii="宋体" w:hAnsi="宋体" w:eastAsia="黑体" w:cs="黑体"/>
          <w:color w:val="000000" w:themeColor="text1"/>
          <w:sz w:val="32"/>
          <w:szCs w:val="32"/>
        </w:rPr>
        <w:t>三、违法事实</w:t>
      </w:r>
      <w:r>
        <w:rPr>
          <w:rFonts w:hint="eastAsia" w:ascii="宋体" w:hAnsi="宋体" w:eastAsia="黑体" w:cs="黑体"/>
          <w:color w:val="000000" w:themeColor="text1"/>
          <w:sz w:val="32"/>
          <w:szCs w:val="32"/>
          <w:lang w:eastAsia="zh-CN"/>
        </w:rPr>
        <w:t>及相关证据</w:t>
      </w:r>
    </w:p>
    <w:p>
      <w:pPr>
        <w:pStyle w:val="2"/>
        <w:keepNext w:val="0"/>
        <w:keepLines w:val="0"/>
        <w:pageBreakBefore w:val="0"/>
        <w:widowControl w:val="0"/>
        <w:kinsoku/>
        <w:wordWrap/>
        <w:overflowPunct w:val="0"/>
        <w:topLinePunct w:val="0"/>
        <w:autoSpaceDE/>
        <w:autoSpaceDN/>
        <w:bidi w:val="0"/>
        <w:spacing w:line="590" w:lineRule="exact"/>
        <w:ind w:firstLine="640"/>
        <w:textAlignment w:val="auto"/>
        <w:rPr>
          <w:rFonts w:ascii="宋体" w:hAnsi="宋体" w:eastAsia="楷体_GB2312" w:cs="楷体_GB2312"/>
          <w:color w:val="000000" w:themeColor="text1"/>
          <w:sz w:val="32"/>
          <w:szCs w:val="32"/>
        </w:rPr>
      </w:pPr>
      <w:r>
        <w:rPr>
          <w:rFonts w:hint="eastAsia" w:ascii="宋体" w:hAnsi="宋体" w:eastAsia="楷体_GB2312" w:cs="楷体_GB2312"/>
          <w:color w:val="000000" w:themeColor="text1"/>
          <w:sz w:val="32"/>
          <w:szCs w:val="32"/>
        </w:rPr>
        <w:t>（一）焦作市18家二手车交易市场公司在焦作市二手车交易服务市场是具有竞争关系的经营者。</w:t>
      </w:r>
    </w:p>
    <w:p>
      <w:pPr>
        <w:pStyle w:val="2"/>
        <w:keepNext w:val="0"/>
        <w:keepLines w:val="0"/>
        <w:pageBreakBefore w:val="0"/>
        <w:widowControl w:val="0"/>
        <w:kinsoku/>
        <w:wordWrap/>
        <w:overflowPunct w:val="0"/>
        <w:topLinePunct w:val="0"/>
        <w:autoSpaceDE/>
        <w:autoSpaceDN/>
        <w:bidi w:val="0"/>
        <w:spacing w:line="590" w:lineRule="exact"/>
        <w:ind w:firstLine="64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shd w:val="clear" w:color="auto" w:fill="FFFFFF"/>
        </w:rPr>
        <w:t>本案涉案的焦作市二手车交易市场共有18家，分别为当事人</w:t>
      </w:r>
      <w:r>
        <w:rPr>
          <w:rFonts w:hint="eastAsia" w:ascii="宋体" w:hAnsi="宋体" w:eastAsia="仿宋_GB2312" w:cs="仿宋_GB2312"/>
          <w:color w:val="000000" w:themeColor="text1"/>
          <w:sz w:val="32"/>
          <w:szCs w:val="32"/>
        </w:rPr>
        <w:t>、焦作市恒桥旧机动车交易市场有限责任公司（简称“恒桥”）、焦作市安驰二手车交易市场有限公司（简称“安驰”）、焦作市东城国贸二手车市场有限公司（简称“东城”）、焦作市警源二手车交易市场有限公司（简称“警源”）、焦作市富捷二手车市场有限公司（简称“富捷”）、焦作市启汇二手车交易市场有限公司（简称“启汇”）、焦作市通大二手车交易市场有限公司（简称“通大”）、沁阳市瑞轩旧机动车交易服务有限公司（简称“瑞轩”）、温县天赐二手车交易市场有限公司（简称“天赐”）、孟州市路通二手车交易市场有限公司（简称“路通”）、孟州市路安二手车交易市场有限公司（简称“路安”）、修武县源通旧机动车交易市场有限公司（简称“源通”）、河南省鑫丰二手车市场管理有限公司（简称“鑫丰”）、焦作市优信二手车市场有限公司（简称“优信”）、温县顺风二手车交易市场有限公司（简称“顺风”）、博爱县盛博二手车交易有限公司（简称“盛博”）、博爱县德聚二手车交易市场有限公司（简称“德聚”）。</w:t>
      </w:r>
    </w:p>
    <w:p>
      <w:pPr>
        <w:pStyle w:val="2"/>
        <w:keepNext w:val="0"/>
        <w:keepLines w:val="0"/>
        <w:pageBreakBefore w:val="0"/>
        <w:widowControl w:val="0"/>
        <w:kinsoku/>
        <w:wordWrap/>
        <w:overflowPunct w:val="0"/>
        <w:topLinePunct w:val="0"/>
        <w:autoSpaceDE/>
        <w:autoSpaceDN/>
        <w:bidi w:val="0"/>
        <w:spacing w:line="590" w:lineRule="exact"/>
        <w:ind w:firstLine="64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shd w:val="clear" w:color="auto" w:fill="FFFFFF"/>
        </w:rPr>
        <w:t>上述18家二手车交易市场公司均从事二手车交易服务，向客户收取交易服务费，</w:t>
      </w:r>
      <w:r>
        <w:rPr>
          <w:rFonts w:hint="eastAsia" w:ascii="宋体" w:hAnsi="宋体" w:eastAsia="仿宋_GB2312" w:cs="仿宋_GB2312"/>
          <w:color w:val="000000" w:themeColor="text1"/>
          <w:sz w:val="32"/>
          <w:szCs w:val="32"/>
        </w:rPr>
        <w:t>在焦作市二手车交易服务市场是具有竞争关系的经营者。</w:t>
      </w:r>
    </w:p>
    <w:p>
      <w:pPr>
        <w:keepNext w:val="0"/>
        <w:keepLines w:val="0"/>
        <w:pageBreakBefore w:val="0"/>
        <w:widowControl w:val="0"/>
        <w:numPr>
          <w:ilvl w:val="0"/>
          <w:numId w:val="1"/>
        </w:numPr>
        <w:kinsoku/>
        <w:wordWrap/>
        <w:overflowPunct w:val="0"/>
        <w:topLinePunct w:val="0"/>
        <w:autoSpaceDE/>
        <w:autoSpaceDN/>
        <w:bidi w:val="0"/>
        <w:spacing w:line="590" w:lineRule="exact"/>
        <w:ind w:firstLine="640" w:firstLineChars="200"/>
        <w:textAlignment w:val="auto"/>
        <w:rPr>
          <w:rFonts w:ascii="宋体" w:hAnsi="宋体" w:eastAsia="楷体_GB2312" w:cs="楷体_GB2312"/>
          <w:color w:val="000000" w:themeColor="text1"/>
          <w:sz w:val="32"/>
          <w:szCs w:val="32"/>
        </w:rPr>
      </w:pPr>
      <w:r>
        <w:rPr>
          <w:rFonts w:hint="eastAsia" w:ascii="宋体" w:hAnsi="宋体" w:eastAsia="楷体_GB2312" w:cs="楷体_GB2312"/>
          <w:color w:val="000000" w:themeColor="text1"/>
          <w:sz w:val="32"/>
          <w:szCs w:val="32"/>
        </w:rPr>
        <w:t>当事人参与达成并实施分割销售市场的垄断协议。</w:t>
      </w:r>
    </w:p>
    <w:p>
      <w:pPr>
        <w:keepNext w:val="0"/>
        <w:keepLines w:val="0"/>
        <w:pageBreakBefore w:val="0"/>
        <w:widowControl w:val="0"/>
        <w:kinsoku/>
        <w:wordWrap/>
        <w:overflowPunct w:val="0"/>
        <w:topLinePunct w:val="0"/>
        <w:autoSpaceDE/>
        <w:autoSpaceDN/>
        <w:bidi w:val="0"/>
        <w:spacing w:line="590" w:lineRule="exact"/>
        <w:ind w:firstLine="640" w:firstLineChars="200"/>
        <w:textAlignment w:val="auto"/>
        <w:rPr>
          <w:rFonts w:hint="eastAsia"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经查，上述18家公司所公示的二手车交易服务费收费标准主要是参照恒桥、安驰公司而制定，公示收费价格趋同。当事人开业之前，在协会的组织下，恒桥、安驰、东城、启汇、通大、警源、富捷、源通、瑞轩、天赐、路安、路通等12家公司达成并实施了固定或者变更商品价格、分割销售市场的协议，执行趋同的二手车交易服务收费价格。2022年上半年，12家公司协同维持的上述协议，因当事人、鑫丰、盛博、顺风、优信、德聚等公司的开业而被迫中断执行。为拉拢当事人等新开业公司加入协议，协会多次采取会议、走访以及其他形式与当事人等各公司商讨如何继续协同。2022年8月1日协会组织会议，达成了将二手车交易服务费统一变更至公示价格的协议。</w:t>
      </w:r>
    </w:p>
    <w:p>
      <w:pPr>
        <w:keepNext w:val="0"/>
        <w:keepLines w:val="0"/>
        <w:pageBreakBefore w:val="0"/>
        <w:widowControl w:val="0"/>
        <w:kinsoku/>
        <w:wordWrap/>
        <w:overflowPunct w:val="0"/>
        <w:topLinePunct w:val="0"/>
        <w:autoSpaceDE/>
        <w:autoSpaceDN/>
        <w:bidi w:val="0"/>
        <w:spacing w:line="590"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当事人虽未参会但是明确</w:t>
      </w:r>
      <w:r>
        <w:rPr>
          <w:rFonts w:hint="eastAsia" w:ascii="宋体" w:hAnsi="宋体" w:eastAsia="仿宋_GB2312" w:cs="仿宋"/>
          <w:color w:val="000000" w:themeColor="text1"/>
          <w:sz w:val="32"/>
          <w:szCs w:val="32"/>
        </w:rPr>
        <w:t>表态会服从协会安排、执行新价格</w:t>
      </w:r>
      <w:r>
        <w:rPr>
          <w:rFonts w:hint="eastAsia" w:ascii="宋体" w:hAnsi="宋体" w:eastAsia="仿宋_GB2312" w:cs="仿宋_GB2312"/>
          <w:color w:val="000000" w:themeColor="text1"/>
          <w:sz w:val="32"/>
          <w:szCs w:val="32"/>
        </w:rPr>
        <w:t>，并按照协议约定自2022年8月1日起以公示价格收取二手车交易服务费。</w:t>
      </w:r>
    </w:p>
    <w:p>
      <w:pPr>
        <w:pStyle w:val="2"/>
        <w:keepNext w:val="0"/>
        <w:keepLines w:val="0"/>
        <w:pageBreakBefore w:val="0"/>
        <w:widowControl w:val="0"/>
        <w:kinsoku/>
        <w:wordWrap/>
        <w:overflowPunct w:val="0"/>
        <w:topLinePunct w:val="0"/>
        <w:autoSpaceDE/>
        <w:autoSpaceDN/>
        <w:bidi w:val="0"/>
        <w:spacing w:line="590" w:lineRule="exact"/>
        <w:ind w:firstLine="64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经审计，当事人2021年度销售额为</w:t>
      </w:r>
      <w:r>
        <w:rPr>
          <w:rFonts w:hint="eastAsia" w:ascii="宋体" w:hAnsi="宋体" w:eastAsia="仿宋_GB2312" w:cs="仿宋_GB2312"/>
          <w:color w:val="auto"/>
          <w:sz w:val="32"/>
          <w:szCs w:val="32"/>
          <w:highlight w:val="none"/>
          <w:u w:val="none"/>
          <w:lang w:val="en-US" w:eastAsia="zh-CN"/>
        </w:rPr>
        <w:t>72,940.60</w:t>
      </w:r>
      <w:r>
        <w:rPr>
          <w:rFonts w:hint="eastAsia" w:ascii="宋体" w:hAnsi="宋体" w:eastAsia="仿宋" w:cs="仿宋"/>
          <w:color w:val="000000" w:themeColor="text1"/>
          <w:kern w:val="0"/>
          <w:sz w:val="32"/>
          <w:szCs w:val="32"/>
        </w:rPr>
        <w:t>元</w:t>
      </w:r>
      <w:r>
        <w:rPr>
          <w:rFonts w:hint="eastAsia" w:ascii="宋体" w:hAnsi="宋体" w:eastAsia="仿宋_GB2312" w:cs="仿宋"/>
          <w:color w:val="000000" w:themeColor="text1"/>
          <w:sz w:val="32"/>
          <w:szCs w:val="32"/>
        </w:rPr>
        <w:t>。</w:t>
      </w:r>
    </w:p>
    <w:p>
      <w:pPr>
        <w:pStyle w:val="2"/>
        <w:keepNext w:val="0"/>
        <w:keepLines w:val="0"/>
        <w:pageBreakBefore w:val="0"/>
        <w:widowControl w:val="0"/>
        <w:kinsoku/>
        <w:wordWrap/>
        <w:overflowPunct w:val="0"/>
        <w:topLinePunct w:val="0"/>
        <w:autoSpaceDE/>
        <w:autoSpaceDN/>
        <w:bidi w:val="0"/>
        <w:spacing w:line="590" w:lineRule="exact"/>
        <w:ind w:firstLine="64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上述事实，主要有以下证据证明：</w:t>
      </w:r>
    </w:p>
    <w:p>
      <w:pPr>
        <w:keepNext w:val="0"/>
        <w:keepLines w:val="0"/>
        <w:pageBreakBefore w:val="0"/>
        <w:widowControl w:val="0"/>
        <w:kinsoku/>
        <w:wordWrap/>
        <w:overflowPunct w:val="0"/>
        <w:topLinePunct w:val="0"/>
        <w:autoSpaceDE/>
        <w:autoSpaceDN/>
        <w:bidi w:val="0"/>
        <w:spacing w:line="590"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第一组证据：当事人营业执照（副本）复印件、法定代表人身份证复印件，其他17家公司营业执照复印件。证明当事人的主体资格，是从事二手车交易服务的经营者，与其他17家公司是同行业竞争者。</w:t>
      </w:r>
    </w:p>
    <w:p>
      <w:pPr>
        <w:keepNext w:val="0"/>
        <w:keepLines w:val="0"/>
        <w:pageBreakBefore w:val="0"/>
        <w:widowControl w:val="0"/>
        <w:kinsoku/>
        <w:wordWrap/>
        <w:overflowPunct w:val="0"/>
        <w:topLinePunct w:val="0"/>
        <w:autoSpaceDE/>
        <w:autoSpaceDN/>
        <w:bidi w:val="0"/>
        <w:spacing w:line="590"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第二组证据：当事人法定代表人询问笔录以及多家公司公示的二手车交易服务费标准，证明当事人与其他公司所执行的公示价格趋同。</w:t>
      </w:r>
    </w:p>
    <w:p>
      <w:pPr>
        <w:keepNext w:val="0"/>
        <w:keepLines w:val="0"/>
        <w:pageBreakBefore w:val="0"/>
        <w:widowControl w:val="0"/>
        <w:kinsoku/>
        <w:wordWrap/>
        <w:overflowPunct w:val="0"/>
        <w:topLinePunct w:val="0"/>
        <w:autoSpaceDE/>
        <w:autoSpaceDN/>
        <w:bidi w:val="0"/>
        <w:spacing w:line="590"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第三组证据：协会第二届会员大会签到表及会议纪要，当事人法定代表人与协会相关负责人微信聊天记录、通话记录，证明当事人与协会的沟通联络。</w:t>
      </w:r>
    </w:p>
    <w:p>
      <w:pPr>
        <w:keepNext w:val="0"/>
        <w:keepLines w:val="0"/>
        <w:pageBreakBefore w:val="0"/>
        <w:widowControl w:val="0"/>
        <w:kinsoku/>
        <w:wordWrap/>
        <w:overflowPunct w:val="0"/>
        <w:topLinePunct w:val="0"/>
        <w:autoSpaceDE/>
        <w:autoSpaceDN/>
        <w:bidi w:val="0"/>
        <w:spacing w:line="590"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第四组证据：当事人2022年7月-2022年8月销售台账，证明当事人实施固定或者变更商品价格的事实。</w:t>
      </w:r>
    </w:p>
    <w:p>
      <w:pPr>
        <w:keepNext w:val="0"/>
        <w:keepLines w:val="0"/>
        <w:pageBreakBefore w:val="0"/>
        <w:widowControl w:val="0"/>
        <w:kinsoku/>
        <w:wordWrap/>
        <w:overflowPunct w:val="0"/>
        <w:topLinePunct w:val="0"/>
        <w:autoSpaceDE/>
        <w:autoSpaceDN/>
        <w:bidi w:val="0"/>
        <w:spacing w:line="590"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第五组证据：当事人法定代表人、协会相关负责人的询问笔录，当事证明当事人参与达成并实施固定或者变更商品价格的事实。</w:t>
      </w:r>
    </w:p>
    <w:p>
      <w:pPr>
        <w:keepNext w:val="0"/>
        <w:keepLines w:val="0"/>
        <w:pageBreakBefore w:val="0"/>
        <w:widowControl w:val="0"/>
        <w:kinsoku/>
        <w:wordWrap/>
        <w:overflowPunct w:val="0"/>
        <w:topLinePunct w:val="0"/>
        <w:autoSpaceDE/>
        <w:autoSpaceDN/>
        <w:bidi w:val="0"/>
        <w:spacing w:line="590"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第六组证据：会计师事务所出具的当事人财务审计报告，证明当事人2021年度销售额和无法计算违法所得的情况。</w:t>
      </w:r>
    </w:p>
    <w:p>
      <w:pPr>
        <w:keepNext w:val="0"/>
        <w:keepLines w:val="0"/>
        <w:pageBreakBefore w:val="0"/>
        <w:widowControl w:val="0"/>
        <w:kinsoku/>
        <w:wordWrap/>
        <w:overflowPunct w:val="0"/>
        <w:topLinePunct w:val="0"/>
        <w:autoSpaceDE/>
        <w:autoSpaceDN/>
        <w:bidi w:val="0"/>
        <w:spacing w:line="590" w:lineRule="exact"/>
        <w:ind w:firstLine="640" w:firstLineChars="200"/>
        <w:textAlignment w:val="auto"/>
        <w:rPr>
          <w:rFonts w:hint="eastAsia" w:ascii="宋体" w:hAnsi="宋体" w:eastAsia="黑体" w:cs="黑体"/>
          <w:color w:val="000000" w:themeColor="text1"/>
          <w:sz w:val="32"/>
          <w:szCs w:val="32"/>
          <w:lang w:eastAsia="zh-CN"/>
        </w:rPr>
      </w:pPr>
      <w:r>
        <w:rPr>
          <w:rFonts w:hint="eastAsia" w:ascii="宋体" w:hAnsi="宋体" w:eastAsia="黑体" w:cs="黑体"/>
          <w:color w:val="000000" w:themeColor="text1"/>
          <w:sz w:val="32"/>
          <w:szCs w:val="32"/>
        </w:rPr>
        <w:t>四、行政处罚依据及</w:t>
      </w:r>
      <w:r>
        <w:rPr>
          <w:rFonts w:hint="eastAsia" w:ascii="宋体" w:hAnsi="宋体" w:eastAsia="黑体" w:cs="黑体"/>
          <w:color w:val="000000" w:themeColor="text1"/>
          <w:sz w:val="32"/>
          <w:szCs w:val="32"/>
          <w:lang w:eastAsia="zh-CN"/>
        </w:rPr>
        <w:t>决定</w:t>
      </w:r>
    </w:p>
    <w:p>
      <w:pPr>
        <w:keepNext w:val="0"/>
        <w:keepLines w:val="0"/>
        <w:pageBreakBefore w:val="0"/>
        <w:widowControl w:val="0"/>
        <w:kinsoku/>
        <w:wordWrap/>
        <w:overflowPunct w:val="0"/>
        <w:topLinePunct w:val="0"/>
        <w:autoSpaceDE/>
        <w:autoSpaceDN/>
        <w:bidi w:val="0"/>
        <w:adjustRightInd w:val="0"/>
        <w:snapToGrid w:val="0"/>
        <w:spacing w:line="590"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本机关认定，当事人的上述行为排除、限制了市场竞争，损害了消费者利益和社会公共利益，违反了《中华人民共和国反垄断法》第十七条第一项：“禁止具有竞争关系的经营者达成下列垄断协议：（一）固定或者变更商品价格”之规定。</w:t>
      </w:r>
    </w:p>
    <w:p>
      <w:pPr>
        <w:keepNext w:val="0"/>
        <w:keepLines w:val="0"/>
        <w:pageBreakBefore w:val="0"/>
        <w:widowControl w:val="0"/>
        <w:kinsoku/>
        <w:wordWrap/>
        <w:overflowPunct w:val="0"/>
        <w:topLinePunct w:val="0"/>
        <w:autoSpaceDE/>
        <w:autoSpaceDN/>
        <w:bidi w:val="0"/>
        <w:adjustRightInd w:val="0"/>
        <w:snapToGrid w:val="0"/>
        <w:spacing w:line="590" w:lineRule="exact"/>
        <w:ind w:firstLine="640" w:firstLineChars="200"/>
        <w:textAlignment w:val="auto"/>
        <w:rPr>
          <w:rFonts w:ascii="宋体" w:hAnsi="宋体" w:eastAsia="仿宋_GB2312" w:cs="仿宋_GB2312"/>
          <w:color w:val="000000" w:themeColor="text1"/>
          <w:sz w:val="32"/>
          <w:szCs w:val="32"/>
        </w:rPr>
      </w:pPr>
      <w:r>
        <w:rPr>
          <w:rFonts w:ascii="宋体" w:hAnsi="宋体" w:eastAsia="仿宋_GB2312"/>
          <w:color w:val="000000" w:themeColor="text1"/>
          <w:sz w:val="32"/>
          <w:szCs w:val="32"/>
        </w:rPr>
        <w:t>由于当事人财务数据不完整，无法</w:t>
      </w:r>
      <w:r>
        <w:rPr>
          <w:rFonts w:hint="eastAsia" w:ascii="宋体" w:hAnsi="宋体" w:eastAsia="仿宋_GB2312"/>
          <w:color w:val="000000" w:themeColor="text1"/>
          <w:sz w:val="32"/>
          <w:szCs w:val="32"/>
        </w:rPr>
        <w:t>科学</w:t>
      </w:r>
      <w:r>
        <w:rPr>
          <w:rFonts w:ascii="宋体" w:hAnsi="宋体" w:eastAsia="仿宋_GB2312"/>
          <w:color w:val="000000" w:themeColor="text1"/>
          <w:sz w:val="32"/>
          <w:szCs w:val="32"/>
        </w:rPr>
        <w:t>计算其实施垄断行为存续期间因该行为实际多得的收入或减少的支出，因此</w:t>
      </w:r>
      <w:r>
        <w:rPr>
          <w:rFonts w:hint="eastAsia" w:ascii="宋体" w:hAnsi="宋体" w:eastAsia="仿宋_GB2312"/>
          <w:color w:val="000000" w:themeColor="text1"/>
          <w:sz w:val="32"/>
          <w:szCs w:val="32"/>
        </w:rPr>
        <w:t>本</w:t>
      </w:r>
      <w:r>
        <w:rPr>
          <w:rFonts w:ascii="宋体" w:hAnsi="宋体" w:eastAsia="仿宋_GB2312"/>
          <w:color w:val="000000" w:themeColor="text1"/>
          <w:sz w:val="32"/>
          <w:szCs w:val="32"/>
        </w:rPr>
        <w:t>案无法计算违法所得。</w:t>
      </w:r>
      <w:r>
        <w:rPr>
          <w:rFonts w:hint="eastAsia" w:ascii="宋体" w:hAnsi="宋体" w:eastAsia="仿宋_GB2312" w:cs="仿宋_GB2312"/>
          <w:color w:val="000000" w:themeColor="text1"/>
          <w:sz w:val="32"/>
          <w:szCs w:val="32"/>
        </w:rPr>
        <w:t>根据《中华人民共和国反垄断法》第五十六条、第五十九条以及《中华人民共和国行政处罚法》第三十二条、第三十三条有关规定，同时考虑到当事人违法行为的性质、程度和持续时间等因素，</w:t>
      </w:r>
      <w:r>
        <w:rPr>
          <w:rFonts w:ascii="宋体" w:hAnsi="宋体" w:eastAsia="仿宋_GB2312"/>
          <w:color w:val="000000" w:themeColor="text1"/>
          <w:sz w:val="32"/>
          <w:szCs w:val="32"/>
        </w:rPr>
        <w:t>本机关决定</w:t>
      </w:r>
      <w:r>
        <w:rPr>
          <w:rFonts w:hint="eastAsia" w:ascii="宋体" w:hAnsi="宋体" w:eastAsia="仿宋_GB2312" w:cs="仿宋_GB2312"/>
          <w:color w:val="000000" w:themeColor="text1"/>
          <w:sz w:val="32"/>
          <w:szCs w:val="32"/>
        </w:rPr>
        <w:t>对当事人作出如下处理：</w:t>
      </w:r>
    </w:p>
    <w:p>
      <w:pPr>
        <w:keepNext w:val="0"/>
        <w:keepLines w:val="0"/>
        <w:pageBreakBefore w:val="0"/>
        <w:widowControl w:val="0"/>
        <w:kinsoku/>
        <w:wordWrap/>
        <w:overflowPunct w:val="0"/>
        <w:topLinePunct w:val="0"/>
        <w:autoSpaceDE/>
        <w:autoSpaceDN/>
        <w:bidi w:val="0"/>
        <w:spacing w:line="590"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（一）责令停止违法行为；</w:t>
      </w:r>
    </w:p>
    <w:p>
      <w:pPr>
        <w:keepNext w:val="0"/>
        <w:keepLines w:val="0"/>
        <w:pageBreakBefore w:val="0"/>
        <w:widowControl w:val="0"/>
        <w:kinsoku/>
        <w:wordWrap/>
        <w:overflowPunct w:val="0"/>
        <w:topLinePunct w:val="0"/>
        <w:autoSpaceDE/>
        <w:autoSpaceDN/>
        <w:bidi w:val="0"/>
        <w:spacing w:line="590"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（二）</w:t>
      </w:r>
      <w:r>
        <w:rPr>
          <w:rFonts w:hint="eastAsia" w:ascii="宋体" w:hAnsi="宋体" w:eastAsia="仿宋_GB2312" w:cs="仿宋_GB2312"/>
          <w:color w:val="auto"/>
          <w:sz w:val="32"/>
          <w:szCs w:val="32"/>
          <w:highlight w:val="none"/>
          <w:u w:val="none"/>
          <w:lang w:val="en-US" w:eastAsia="zh-CN"/>
        </w:rPr>
        <w:t>处2021年度销售额72,940.60元2%的罚款，计1,458.81元（大写：壹仟肆佰伍拾捌元捌角壹分）</w:t>
      </w:r>
      <w:r>
        <w:rPr>
          <w:rFonts w:hint="eastAsia" w:ascii="宋体" w:hAnsi="宋体" w:eastAsia="仿宋_GB2312" w:cs="仿宋_GB2312"/>
          <w:color w:val="000000" w:themeColor="text1"/>
          <w:sz w:val="32"/>
          <w:szCs w:val="32"/>
        </w:rPr>
        <w:t>。</w:t>
      </w:r>
    </w:p>
    <w:p>
      <w:pPr>
        <w:keepNext w:val="0"/>
        <w:keepLines w:val="0"/>
        <w:pageBreakBefore w:val="0"/>
        <w:widowControl w:val="0"/>
        <w:kinsoku/>
        <w:wordWrap/>
        <w:overflowPunct w:val="0"/>
        <w:topLinePunct w:val="0"/>
        <w:autoSpaceDE/>
        <w:autoSpaceDN/>
        <w:bidi w:val="0"/>
        <w:adjustRightInd w:val="0"/>
        <w:snapToGrid w:val="0"/>
        <w:spacing w:line="590" w:lineRule="exact"/>
        <w:ind w:firstLine="640" w:firstLineChars="200"/>
        <w:textAlignment w:val="auto"/>
        <w:rPr>
          <w:rFonts w:ascii="宋体" w:hAnsi="宋体" w:eastAsia="仿宋_GB2312" w:cs="仿宋_GB2312"/>
          <w:color w:val="000000" w:themeColor="text1"/>
          <w:sz w:val="32"/>
          <w:szCs w:val="32"/>
        </w:rPr>
      </w:pPr>
      <w:r>
        <w:rPr>
          <w:rFonts w:ascii="宋体" w:hAnsi="宋体" w:eastAsia="仿宋_GB2312"/>
          <w:color w:val="000000" w:themeColor="text1"/>
          <w:sz w:val="32"/>
          <w:szCs w:val="32"/>
        </w:rPr>
        <w:t>当事人应当自收到本行政处罚决定书之日起十五日内，</w:t>
      </w:r>
      <w:r>
        <w:rPr>
          <w:rFonts w:hint="eastAsia" w:ascii="宋体" w:hAnsi="宋体" w:eastAsia="仿宋_GB2312" w:cs="仿宋_GB2312"/>
          <w:color w:val="000000" w:themeColor="text1"/>
          <w:sz w:val="32"/>
          <w:szCs w:val="32"/>
        </w:rPr>
        <w:t>将罚款缴至河南省财政厅非税收入财政专户。根据《中华人民共和国行政处罚法》第七十二条规定，当事人逾期不履行行政处罚决定的，本机关可以采取以下措施：（一）到期不缴纳罚款的，每日按罚款数额的百分之三加处罚款；（二）申请人民法院强制执行。</w:t>
      </w:r>
    </w:p>
    <w:p>
      <w:pPr>
        <w:keepNext w:val="0"/>
        <w:keepLines w:val="0"/>
        <w:pageBreakBefore w:val="0"/>
        <w:widowControl w:val="0"/>
        <w:kinsoku/>
        <w:wordWrap/>
        <w:overflowPunct w:val="0"/>
        <w:topLinePunct w:val="0"/>
        <w:autoSpaceDE/>
        <w:autoSpaceDN/>
        <w:bidi w:val="0"/>
        <w:adjustRightInd w:val="0"/>
        <w:snapToGrid w:val="0"/>
        <w:spacing w:line="590"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户    名：河南省财政厅非税收入财政专户</w:t>
      </w:r>
    </w:p>
    <w:p>
      <w:pPr>
        <w:keepNext w:val="0"/>
        <w:keepLines w:val="0"/>
        <w:pageBreakBefore w:val="0"/>
        <w:widowControl w:val="0"/>
        <w:kinsoku/>
        <w:wordWrap/>
        <w:overflowPunct w:val="0"/>
        <w:topLinePunct w:val="0"/>
        <w:autoSpaceDE/>
        <w:autoSpaceDN/>
        <w:bidi w:val="0"/>
        <w:spacing w:line="590" w:lineRule="exact"/>
        <w:ind w:firstLine="640" w:firstLineChars="200"/>
        <w:textAlignment w:val="auto"/>
        <w:rPr>
          <w:rFonts w:ascii="宋体" w:hAnsi="宋体" w:eastAsia="仿宋_GB2312" w:cs="仿宋"/>
          <w:color w:val="000000" w:themeColor="text1"/>
          <w:sz w:val="32"/>
          <w:szCs w:val="32"/>
        </w:rPr>
      </w:pPr>
      <w:r>
        <w:rPr>
          <w:rFonts w:hint="eastAsia" w:ascii="宋体" w:hAnsi="宋体" w:eastAsia="仿宋_GB2312" w:cs="仿宋_GB2312"/>
          <w:color w:val="000000" w:themeColor="text1"/>
          <w:sz w:val="32"/>
          <w:szCs w:val="32"/>
        </w:rPr>
        <w:t>帐    号：</w:t>
      </w:r>
      <w:r>
        <w:rPr>
          <w:rFonts w:hint="eastAsia" w:ascii="宋体" w:hAnsi="宋体" w:eastAsia="仿宋_GB2312" w:cs="仿宋"/>
          <w:color w:val="000000" w:themeColor="text1"/>
          <w:sz w:val="32"/>
          <w:szCs w:val="32"/>
        </w:rPr>
        <w:t>419901010150009501</w:t>
      </w:r>
    </w:p>
    <w:p>
      <w:pPr>
        <w:keepNext w:val="0"/>
        <w:keepLines w:val="0"/>
        <w:pageBreakBefore w:val="0"/>
        <w:widowControl w:val="0"/>
        <w:kinsoku/>
        <w:wordWrap/>
        <w:overflowPunct w:val="0"/>
        <w:topLinePunct w:val="0"/>
        <w:autoSpaceDE/>
        <w:autoSpaceDN/>
        <w:bidi w:val="0"/>
        <w:spacing w:line="590"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
          <w:color w:val="000000" w:themeColor="text1"/>
          <w:sz w:val="32"/>
          <w:szCs w:val="32"/>
        </w:rPr>
        <w:t>开 户 行：中原银行郑州商务外环</w:t>
      </w:r>
      <w:r>
        <w:rPr>
          <w:rFonts w:hint="eastAsia" w:ascii="宋体" w:hAnsi="宋体" w:eastAsia="仿宋_GB2312" w:cs="仿宋_GB2312"/>
          <w:color w:val="000000" w:themeColor="text1"/>
          <w:sz w:val="32"/>
          <w:szCs w:val="32"/>
        </w:rPr>
        <w:t>路支行</w:t>
      </w:r>
    </w:p>
    <w:p>
      <w:pPr>
        <w:keepNext w:val="0"/>
        <w:keepLines w:val="0"/>
        <w:pageBreakBefore w:val="0"/>
        <w:widowControl w:val="0"/>
        <w:kinsoku/>
        <w:wordWrap/>
        <w:overflowPunct w:val="0"/>
        <w:topLinePunct w:val="0"/>
        <w:autoSpaceDE/>
        <w:autoSpaceDN/>
        <w:bidi w:val="0"/>
        <w:adjustRightInd w:val="0"/>
        <w:snapToGrid w:val="0"/>
        <w:spacing w:line="590"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当事人如对上述行政处罚决定不服，可以自收到本行政处罚决定书之日起六十日内向国家市场监督管理总局或者河南省人民政府申请行政复议；或者自收到本行政处罚决定书之日起六个月内，依法向人民法院提起行政诉讼。行政复议或者行政诉讼期间，本行政处罚决定不停止执行。</w:t>
      </w:r>
    </w:p>
    <w:p>
      <w:pPr>
        <w:keepNext w:val="0"/>
        <w:keepLines w:val="0"/>
        <w:pageBreakBefore w:val="0"/>
        <w:widowControl w:val="0"/>
        <w:kinsoku/>
        <w:wordWrap/>
        <w:overflowPunct w:val="0"/>
        <w:topLinePunct w:val="0"/>
        <w:autoSpaceDE/>
        <w:autoSpaceDN/>
        <w:bidi w:val="0"/>
        <w:spacing w:line="590" w:lineRule="exact"/>
        <w:ind w:left="0" w:leftChars="0"/>
        <w:jc w:val="both"/>
        <w:textAlignment w:val="auto"/>
        <w:rPr>
          <w:rFonts w:hint="eastAsia" w:ascii="宋体" w:hAnsi="宋体" w:eastAsia="仿宋_GB2312" w:cs="Times New Roman"/>
          <w:color w:val="000000" w:themeColor="text1"/>
          <w:kern w:val="2"/>
          <w:sz w:val="32"/>
          <w:szCs w:val="32"/>
          <w:lang w:val="en-US" w:eastAsia="zh-CN" w:bidi="ar-SA"/>
        </w:rPr>
      </w:pPr>
    </w:p>
    <w:p>
      <w:pPr>
        <w:keepNext w:val="0"/>
        <w:keepLines w:val="0"/>
        <w:pageBreakBefore w:val="0"/>
        <w:widowControl w:val="0"/>
        <w:kinsoku/>
        <w:wordWrap/>
        <w:overflowPunct w:val="0"/>
        <w:topLinePunct w:val="0"/>
        <w:autoSpaceDE/>
        <w:autoSpaceDN/>
        <w:bidi w:val="0"/>
        <w:spacing w:line="590" w:lineRule="exact"/>
        <w:textAlignment w:val="auto"/>
        <w:rPr>
          <w:rFonts w:hint="eastAsia" w:ascii="宋体" w:hAnsi="宋体"/>
          <w:color w:val="000000" w:themeColor="text1"/>
        </w:rPr>
      </w:pPr>
    </w:p>
    <w:p>
      <w:pPr>
        <w:keepNext w:val="0"/>
        <w:keepLines w:val="0"/>
        <w:pageBreakBefore w:val="0"/>
        <w:widowControl w:val="0"/>
        <w:kinsoku/>
        <w:wordWrap/>
        <w:overflowPunct w:val="0"/>
        <w:topLinePunct w:val="0"/>
        <w:autoSpaceDE/>
        <w:autoSpaceDN/>
        <w:bidi w:val="0"/>
        <w:spacing w:line="590" w:lineRule="exact"/>
        <w:ind w:firstLine="640"/>
        <w:textAlignment w:val="auto"/>
        <w:rPr>
          <w:rFonts w:ascii="宋体" w:hAnsi="宋体" w:eastAsia="仿宋_GB2312"/>
          <w:color w:val="000000" w:themeColor="text1"/>
          <w:sz w:val="32"/>
          <w:szCs w:val="32"/>
        </w:rPr>
      </w:pPr>
      <w:r>
        <w:rPr>
          <w:rFonts w:hint="eastAsia" w:ascii="宋体" w:hAnsi="宋体" w:eastAsia="仿宋_GB2312"/>
          <w:color w:val="000000" w:themeColor="text1"/>
          <w:sz w:val="32"/>
          <w:szCs w:val="32"/>
        </w:rPr>
        <w:t xml:space="preserve">           </w:t>
      </w:r>
      <w:r>
        <w:rPr>
          <w:rFonts w:hint="eastAsia" w:ascii="宋体" w:hAnsi="宋体" w:eastAsia="仿宋_GB2312"/>
          <w:color w:val="000000" w:themeColor="text1"/>
          <w:sz w:val="32"/>
          <w:szCs w:val="32"/>
          <w:lang w:val="en-US" w:eastAsia="zh-CN"/>
        </w:rPr>
        <w:t xml:space="preserve">     </w:t>
      </w:r>
      <w:r>
        <w:rPr>
          <w:rFonts w:hint="eastAsia" w:ascii="宋体" w:hAnsi="宋体" w:eastAsia="仿宋_GB2312"/>
          <w:color w:val="000000" w:themeColor="text1"/>
          <w:sz w:val="32"/>
          <w:szCs w:val="32"/>
        </w:rPr>
        <w:t xml:space="preserve"> </w:t>
      </w:r>
      <w:r>
        <w:rPr>
          <w:rFonts w:hint="eastAsia" w:ascii="宋体" w:hAnsi="宋体" w:eastAsia="仿宋_GB2312"/>
          <w:color w:val="000000" w:themeColor="text1"/>
          <w:sz w:val="32"/>
          <w:szCs w:val="32"/>
          <w:lang w:val="en-US" w:eastAsia="zh-CN"/>
        </w:rPr>
        <w:t xml:space="preserve">  </w:t>
      </w:r>
      <w:r>
        <w:rPr>
          <w:rFonts w:hint="eastAsia" w:ascii="宋体" w:hAnsi="宋体" w:eastAsia="仿宋_GB2312"/>
          <w:color w:val="000000" w:themeColor="text1"/>
          <w:sz w:val="32"/>
          <w:szCs w:val="32"/>
        </w:rPr>
        <w:t xml:space="preserve">     河南省市场监督管理局</w:t>
      </w:r>
    </w:p>
    <w:p>
      <w:pPr>
        <w:keepNext w:val="0"/>
        <w:keepLines w:val="0"/>
        <w:pageBreakBefore w:val="0"/>
        <w:widowControl w:val="0"/>
        <w:kinsoku/>
        <w:wordWrap/>
        <w:overflowPunct w:val="0"/>
        <w:topLinePunct w:val="0"/>
        <w:autoSpaceDE/>
        <w:autoSpaceDN/>
        <w:bidi w:val="0"/>
        <w:spacing w:line="590" w:lineRule="exact"/>
        <w:ind w:firstLine="640"/>
        <w:textAlignment w:val="auto"/>
        <w:rPr>
          <w:rFonts w:hint="eastAsia" w:ascii="宋体" w:hAnsi="宋体" w:eastAsia="仿宋_GB2312"/>
          <w:color w:val="000000" w:themeColor="text1"/>
          <w:sz w:val="32"/>
          <w:szCs w:val="32"/>
        </w:rPr>
      </w:pPr>
      <w:r>
        <w:rPr>
          <w:rFonts w:hint="eastAsia" w:ascii="宋体" w:hAnsi="宋体" w:eastAsia="仿宋_GB2312"/>
          <w:color w:val="000000" w:themeColor="text1"/>
          <w:sz w:val="32"/>
          <w:szCs w:val="32"/>
        </w:rPr>
        <w:t xml:space="preserve">              </w:t>
      </w:r>
      <w:r>
        <w:rPr>
          <w:rFonts w:hint="eastAsia" w:ascii="宋体" w:hAnsi="宋体" w:eastAsia="仿宋_GB2312"/>
          <w:color w:val="000000" w:themeColor="text1"/>
          <w:sz w:val="32"/>
          <w:szCs w:val="32"/>
          <w:lang w:val="en-US" w:eastAsia="zh-CN"/>
        </w:rPr>
        <w:t xml:space="preserve">     </w:t>
      </w:r>
      <w:r>
        <w:rPr>
          <w:rFonts w:hint="eastAsia" w:ascii="宋体" w:hAnsi="宋体" w:eastAsia="仿宋_GB2312"/>
          <w:color w:val="000000" w:themeColor="text1"/>
          <w:sz w:val="32"/>
          <w:szCs w:val="32"/>
        </w:rPr>
        <w:t xml:space="preserve"> </w:t>
      </w:r>
      <w:r>
        <w:rPr>
          <w:rFonts w:hint="eastAsia" w:ascii="宋体" w:hAnsi="宋体" w:eastAsia="仿宋_GB2312"/>
          <w:color w:val="000000" w:themeColor="text1"/>
          <w:sz w:val="32"/>
          <w:szCs w:val="32"/>
          <w:lang w:val="en-US" w:eastAsia="zh-CN"/>
        </w:rPr>
        <w:t xml:space="preserve">    </w:t>
      </w:r>
      <w:r>
        <w:rPr>
          <w:rFonts w:hint="eastAsia" w:ascii="宋体" w:hAnsi="宋体" w:eastAsia="仿宋_GB2312"/>
          <w:color w:val="000000" w:themeColor="text1"/>
          <w:sz w:val="32"/>
          <w:szCs w:val="32"/>
        </w:rPr>
        <w:t xml:space="preserve">  2023年12月</w:t>
      </w:r>
      <w:r>
        <w:rPr>
          <w:rFonts w:hint="eastAsia" w:ascii="宋体" w:hAnsi="宋体" w:eastAsia="仿宋_GB2312"/>
          <w:color w:val="000000" w:themeColor="text1"/>
          <w:sz w:val="32"/>
          <w:szCs w:val="32"/>
          <w:lang w:val="en-US" w:eastAsia="zh-CN"/>
        </w:rPr>
        <w:t>19</w:t>
      </w:r>
      <w:r>
        <w:rPr>
          <w:rFonts w:hint="eastAsia" w:ascii="宋体" w:hAnsi="宋体" w:eastAsia="仿宋_GB2312"/>
          <w:color w:val="000000" w:themeColor="text1"/>
          <w:sz w:val="32"/>
          <w:szCs w:val="32"/>
        </w:rPr>
        <w:t xml:space="preserve">日         </w:t>
      </w:r>
    </w:p>
    <w:p>
      <w:pPr>
        <w:keepNext w:val="0"/>
        <w:keepLines w:val="0"/>
        <w:pageBreakBefore w:val="0"/>
        <w:widowControl w:val="0"/>
        <w:kinsoku/>
        <w:wordWrap/>
        <w:overflowPunct w:val="0"/>
        <w:topLinePunct w:val="0"/>
        <w:autoSpaceDE/>
        <w:autoSpaceDN/>
        <w:bidi w:val="0"/>
        <w:spacing w:line="590" w:lineRule="exact"/>
        <w:ind w:firstLine="640" w:firstLineChars="200"/>
        <w:jc w:val="both"/>
        <w:textAlignment w:val="auto"/>
        <w:rPr>
          <w:rFonts w:hint="eastAsia" w:ascii="宋体" w:hAnsi="宋体" w:eastAsia="仿宋_GB2312" w:cs="Times New Roman"/>
          <w:color w:val="000000" w:themeColor="text1"/>
          <w:kern w:val="2"/>
          <w:sz w:val="32"/>
          <w:szCs w:val="32"/>
          <w:lang w:val="en-US" w:eastAsia="zh-CN" w:bidi="ar-SA"/>
        </w:rPr>
      </w:pPr>
    </w:p>
    <w:p>
      <w:pPr>
        <w:keepNext w:val="0"/>
        <w:keepLines w:val="0"/>
        <w:pageBreakBefore w:val="0"/>
        <w:widowControl w:val="0"/>
        <w:kinsoku/>
        <w:wordWrap/>
        <w:overflowPunct w:val="0"/>
        <w:topLinePunct w:val="0"/>
        <w:autoSpaceDE/>
        <w:autoSpaceDN/>
        <w:bidi w:val="0"/>
        <w:spacing w:line="590" w:lineRule="exact"/>
        <w:ind w:firstLine="640" w:firstLineChars="200"/>
        <w:jc w:val="both"/>
        <w:textAlignment w:val="auto"/>
        <w:rPr>
          <w:rFonts w:hint="eastAsia" w:ascii="宋体" w:hAnsi="宋体" w:eastAsia="仿宋_GB2312" w:cs="Times New Roman"/>
          <w:color w:val="000000" w:themeColor="text1"/>
          <w:kern w:val="2"/>
          <w:sz w:val="32"/>
          <w:szCs w:val="32"/>
          <w:lang w:val="en-US" w:eastAsia="zh-CN" w:bidi="ar-SA"/>
        </w:rPr>
      </w:pPr>
    </w:p>
    <w:p>
      <w:pPr>
        <w:keepNext w:val="0"/>
        <w:keepLines w:val="0"/>
        <w:pageBreakBefore w:val="0"/>
        <w:widowControl w:val="0"/>
        <w:kinsoku/>
        <w:wordWrap/>
        <w:overflowPunct w:val="0"/>
        <w:topLinePunct w:val="0"/>
        <w:autoSpaceDE/>
        <w:autoSpaceDN/>
        <w:bidi w:val="0"/>
        <w:spacing w:line="590" w:lineRule="exact"/>
        <w:ind w:firstLine="640" w:firstLineChars="200"/>
        <w:jc w:val="both"/>
        <w:textAlignment w:val="auto"/>
        <w:rPr>
          <w:rFonts w:hint="eastAsia" w:ascii="宋体" w:hAnsi="宋体" w:eastAsia="仿宋_GB2312" w:cs="Times New Roman"/>
          <w:color w:val="000000" w:themeColor="text1"/>
          <w:kern w:val="2"/>
          <w:sz w:val="32"/>
          <w:szCs w:val="32"/>
          <w:lang w:val="en-US" w:eastAsia="zh-CN" w:bidi="ar-SA"/>
        </w:rPr>
      </w:pPr>
    </w:p>
    <w:p>
      <w:pPr>
        <w:keepNext w:val="0"/>
        <w:keepLines w:val="0"/>
        <w:pageBreakBefore w:val="0"/>
        <w:widowControl w:val="0"/>
        <w:kinsoku/>
        <w:wordWrap/>
        <w:overflowPunct w:val="0"/>
        <w:topLinePunct w:val="0"/>
        <w:autoSpaceDE/>
        <w:autoSpaceDN/>
        <w:bidi w:val="0"/>
        <w:spacing w:line="590" w:lineRule="exact"/>
        <w:ind w:firstLine="640" w:firstLineChars="200"/>
        <w:jc w:val="both"/>
        <w:textAlignment w:val="auto"/>
        <w:rPr>
          <w:rFonts w:hint="eastAsia" w:ascii="宋体" w:hAnsi="宋体" w:eastAsia="仿宋_GB2312" w:cs="Times New Roman"/>
          <w:color w:val="000000" w:themeColor="text1"/>
          <w:kern w:val="2"/>
          <w:sz w:val="32"/>
          <w:szCs w:val="32"/>
          <w:lang w:val="en-US" w:eastAsia="zh-CN" w:bidi="ar-SA"/>
        </w:rPr>
      </w:pPr>
    </w:p>
    <w:p>
      <w:pPr>
        <w:keepNext w:val="0"/>
        <w:keepLines w:val="0"/>
        <w:pageBreakBefore w:val="0"/>
        <w:widowControl w:val="0"/>
        <w:kinsoku/>
        <w:wordWrap/>
        <w:overflowPunct w:val="0"/>
        <w:topLinePunct w:val="0"/>
        <w:autoSpaceDE/>
        <w:autoSpaceDN/>
        <w:bidi w:val="0"/>
        <w:spacing w:line="590" w:lineRule="exact"/>
        <w:ind w:firstLine="640" w:firstLineChars="200"/>
        <w:jc w:val="both"/>
        <w:textAlignment w:val="auto"/>
        <w:rPr>
          <w:rFonts w:hint="eastAsia" w:ascii="宋体" w:hAnsi="宋体" w:eastAsia="仿宋_GB2312" w:cs="Times New Roman"/>
          <w:color w:val="000000" w:themeColor="text1"/>
          <w:kern w:val="2"/>
          <w:sz w:val="32"/>
          <w:szCs w:val="32"/>
          <w:lang w:val="en-US" w:eastAsia="zh-CN" w:bidi="ar-SA"/>
        </w:rPr>
      </w:pPr>
    </w:p>
    <w:p>
      <w:pPr>
        <w:keepNext w:val="0"/>
        <w:keepLines w:val="0"/>
        <w:pageBreakBefore w:val="0"/>
        <w:widowControl w:val="0"/>
        <w:kinsoku/>
        <w:wordWrap/>
        <w:overflowPunct w:val="0"/>
        <w:topLinePunct w:val="0"/>
        <w:autoSpaceDE/>
        <w:autoSpaceDN/>
        <w:bidi w:val="0"/>
        <w:spacing w:line="590" w:lineRule="exact"/>
        <w:ind w:firstLine="640" w:firstLineChars="200"/>
        <w:jc w:val="both"/>
        <w:textAlignment w:val="auto"/>
        <w:rPr>
          <w:rFonts w:hint="eastAsia" w:ascii="宋体" w:hAnsi="宋体" w:eastAsia="仿宋_GB2312" w:cs="Times New Roman"/>
          <w:color w:val="000000" w:themeColor="text1"/>
          <w:kern w:val="2"/>
          <w:sz w:val="32"/>
          <w:szCs w:val="32"/>
          <w:lang w:val="en-US" w:eastAsia="zh-CN" w:bidi="ar-SA"/>
        </w:rPr>
      </w:pPr>
    </w:p>
    <w:p>
      <w:pPr>
        <w:keepNext w:val="0"/>
        <w:keepLines w:val="0"/>
        <w:pageBreakBefore w:val="0"/>
        <w:widowControl w:val="0"/>
        <w:kinsoku/>
        <w:wordWrap/>
        <w:overflowPunct w:val="0"/>
        <w:topLinePunct w:val="0"/>
        <w:autoSpaceDE/>
        <w:autoSpaceDN/>
        <w:bidi w:val="0"/>
        <w:spacing w:line="590" w:lineRule="exact"/>
        <w:ind w:firstLine="640" w:firstLineChars="200"/>
        <w:jc w:val="both"/>
        <w:textAlignment w:val="auto"/>
        <w:rPr>
          <w:rFonts w:hint="eastAsia" w:ascii="宋体" w:hAnsi="宋体" w:eastAsia="仿宋_GB2312" w:cs="Times New Roman"/>
          <w:color w:val="000000" w:themeColor="text1"/>
          <w:kern w:val="2"/>
          <w:sz w:val="32"/>
          <w:szCs w:val="32"/>
          <w:lang w:val="en-US" w:eastAsia="zh-CN" w:bidi="ar-SA"/>
        </w:rPr>
      </w:pPr>
    </w:p>
    <w:p>
      <w:pPr>
        <w:keepNext w:val="0"/>
        <w:keepLines w:val="0"/>
        <w:pageBreakBefore w:val="0"/>
        <w:widowControl w:val="0"/>
        <w:kinsoku/>
        <w:wordWrap/>
        <w:overflowPunct w:val="0"/>
        <w:topLinePunct w:val="0"/>
        <w:autoSpaceDE/>
        <w:autoSpaceDN/>
        <w:bidi w:val="0"/>
        <w:spacing w:line="590" w:lineRule="exact"/>
        <w:ind w:firstLine="640" w:firstLineChars="200"/>
        <w:jc w:val="both"/>
        <w:textAlignment w:val="auto"/>
        <w:rPr>
          <w:rFonts w:hint="eastAsia" w:ascii="宋体" w:hAnsi="宋体" w:eastAsia="仿宋_GB2312" w:cs="Times New Roman"/>
          <w:color w:val="000000" w:themeColor="text1"/>
          <w:kern w:val="2"/>
          <w:sz w:val="32"/>
          <w:szCs w:val="32"/>
          <w:lang w:val="en-US" w:eastAsia="zh-CN" w:bidi="ar-SA"/>
        </w:rPr>
      </w:pPr>
    </w:p>
    <w:p>
      <w:pPr>
        <w:keepNext w:val="0"/>
        <w:keepLines w:val="0"/>
        <w:pageBreakBefore w:val="0"/>
        <w:widowControl w:val="0"/>
        <w:kinsoku/>
        <w:wordWrap/>
        <w:overflowPunct w:val="0"/>
        <w:topLinePunct w:val="0"/>
        <w:autoSpaceDE/>
        <w:autoSpaceDN/>
        <w:bidi w:val="0"/>
        <w:spacing w:line="590" w:lineRule="exact"/>
        <w:ind w:firstLine="640" w:firstLineChars="200"/>
        <w:jc w:val="both"/>
        <w:textAlignment w:val="auto"/>
        <w:rPr>
          <w:rFonts w:hint="eastAsia" w:ascii="宋体" w:hAnsi="宋体" w:eastAsia="仿宋_GB2312" w:cs="Times New Roman"/>
          <w:color w:val="000000" w:themeColor="text1"/>
          <w:kern w:val="2"/>
          <w:sz w:val="32"/>
          <w:szCs w:val="32"/>
          <w:lang w:val="en-US" w:eastAsia="zh-CN" w:bidi="ar-SA"/>
        </w:rPr>
      </w:pPr>
    </w:p>
    <w:p>
      <w:pPr>
        <w:keepNext w:val="0"/>
        <w:keepLines w:val="0"/>
        <w:pageBreakBefore w:val="0"/>
        <w:widowControl w:val="0"/>
        <w:kinsoku/>
        <w:wordWrap/>
        <w:overflowPunct w:val="0"/>
        <w:topLinePunct w:val="0"/>
        <w:autoSpaceDE/>
        <w:autoSpaceDN/>
        <w:bidi w:val="0"/>
        <w:spacing w:line="590" w:lineRule="exact"/>
        <w:ind w:firstLine="640" w:firstLineChars="200"/>
        <w:jc w:val="both"/>
        <w:textAlignment w:val="auto"/>
        <w:rPr>
          <w:rFonts w:hint="eastAsia" w:ascii="宋体" w:hAnsi="宋体" w:eastAsia="仿宋_GB2312" w:cs="Times New Roman"/>
          <w:color w:val="000000" w:themeColor="text1"/>
          <w:kern w:val="2"/>
          <w:sz w:val="32"/>
          <w:szCs w:val="32"/>
          <w:lang w:val="en-US" w:eastAsia="zh-CN" w:bidi="ar-SA"/>
        </w:rPr>
      </w:pPr>
    </w:p>
    <w:p>
      <w:pPr>
        <w:keepNext w:val="0"/>
        <w:keepLines w:val="0"/>
        <w:pageBreakBefore w:val="0"/>
        <w:widowControl w:val="0"/>
        <w:kinsoku/>
        <w:wordWrap/>
        <w:overflowPunct w:val="0"/>
        <w:topLinePunct w:val="0"/>
        <w:autoSpaceDE/>
        <w:autoSpaceDN/>
        <w:bidi w:val="0"/>
        <w:spacing w:line="590" w:lineRule="exact"/>
        <w:ind w:firstLine="640" w:firstLineChars="200"/>
        <w:jc w:val="both"/>
        <w:textAlignment w:val="auto"/>
        <w:rPr>
          <w:rFonts w:hint="eastAsia" w:ascii="宋体" w:hAnsi="宋体" w:eastAsia="仿宋_GB2312" w:cs="Times New Roman"/>
          <w:color w:val="000000" w:themeColor="text1"/>
          <w:kern w:val="2"/>
          <w:sz w:val="32"/>
          <w:szCs w:val="32"/>
          <w:lang w:val="en-US" w:eastAsia="zh-CN" w:bidi="ar-SA"/>
        </w:rPr>
      </w:pPr>
    </w:p>
    <w:p>
      <w:pPr>
        <w:keepNext w:val="0"/>
        <w:keepLines w:val="0"/>
        <w:pageBreakBefore w:val="0"/>
        <w:widowControl w:val="0"/>
        <w:kinsoku/>
        <w:wordWrap/>
        <w:overflowPunct w:val="0"/>
        <w:topLinePunct w:val="0"/>
        <w:autoSpaceDE/>
        <w:autoSpaceDN/>
        <w:bidi w:val="0"/>
        <w:spacing w:line="590" w:lineRule="exact"/>
        <w:ind w:firstLine="640" w:firstLineChars="200"/>
        <w:jc w:val="both"/>
        <w:textAlignment w:val="auto"/>
        <w:rPr>
          <w:rFonts w:hint="eastAsia" w:ascii="宋体" w:hAnsi="宋体" w:eastAsia="仿宋_GB2312" w:cs="Times New Roman"/>
          <w:color w:val="000000" w:themeColor="text1"/>
          <w:kern w:val="2"/>
          <w:sz w:val="32"/>
          <w:szCs w:val="32"/>
          <w:lang w:val="en-US" w:eastAsia="zh-CN" w:bidi="ar-SA"/>
        </w:rPr>
      </w:pPr>
    </w:p>
    <w:p>
      <w:pPr>
        <w:keepNext w:val="0"/>
        <w:keepLines w:val="0"/>
        <w:pageBreakBefore w:val="0"/>
        <w:widowControl w:val="0"/>
        <w:kinsoku/>
        <w:wordWrap/>
        <w:overflowPunct w:val="0"/>
        <w:topLinePunct w:val="0"/>
        <w:autoSpaceDE/>
        <w:autoSpaceDN/>
        <w:bidi w:val="0"/>
        <w:spacing w:line="590" w:lineRule="exact"/>
        <w:ind w:firstLine="640" w:firstLineChars="200"/>
        <w:jc w:val="both"/>
        <w:textAlignment w:val="auto"/>
        <w:rPr>
          <w:rFonts w:hint="eastAsia" w:ascii="宋体" w:hAnsi="宋体" w:eastAsia="仿宋_GB2312" w:cs="Times New Roman"/>
          <w:color w:val="000000" w:themeColor="text1"/>
          <w:kern w:val="2"/>
          <w:sz w:val="32"/>
          <w:szCs w:val="32"/>
          <w:lang w:val="en-US" w:eastAsia="zh-CN" w:bidi="ar-SA"/>
        </w:rPr>
      </w:pPr>
    </w:p>
    <w:p>
      <w:pPr>
        <w:keepNext w:val="0"/>
        <w:keepLines w:val="0"/>
        <w:pageBreakBefore w:val="0"/>
        <w:widowControl w:val="0"/>
        <w:kinsoku/>
        <w:wordWrap/>
        <w:overflowPunct w:val="0"/>
        <w:topLinePunct w:val="0"/>
        <w:autoSpaceDE/>
        <w:autoSpaceDN/>
        <w:bidi w:val="0"/>
        <w:spacing w:line="590" w:lineRule="exact"/>
        <w:ind w:firstLine="640" w:firstLineChars="200"/>
        <w:jc w:val="both"/>
        <w:textAlignment w:val="auto"/>
        <w:rPr>
          <w:rFonts w:hint="eastAsia" w:ascii="宋体" w:hAnsi="宋体" w:eastAsia="仿宋_GB2312" w:cs="Times New Roman"/>
          <w:color w:val="000000" w:themeColor="text1"/>
          <w:kern w:val="2"/>
          <w:sz w:val="32"/>
          <w:szCs w:val="32"/>
          <w:lang w:val="en-US" w:eastAsia="zh-CN" w:bidi="ar-SA"/>
        </w:rPr>
      </w:pPr>
    </w:p>
    <w:p>
      <w:pPr>
        <w:keepNext w:val="0"/>
        <w:keepLines w:val="0"/>
        <w:pageBreakBefore w:val="0"/>
        <w:widowControl w:val="0"/>
        <w:kinsoku/>
        <w:wordWrap/>
        <w:overflowPunct w:val="0"/>
        <w:topLinePunct w:val="0"/>
        <w:autoSpaceDE/>
        <w:autoSpaceDN/>
        <w:bidi w:val="0"/>
        <w:spacing w:line="590" w:lineRule="exact"/>
        <w:ind w:firstLine="640" w:firstLineChars="200"/>
        <w:jc w:val="both"/>
        <w:textAlignment w:val="auto"/>
        <w:rPr>
          <w:rFonts w:hint="eastAsia" w:ascii="宋体" w:hAnsi="宋体" w:eastAsia="仿宋_GB2312" w:cs="Times New Roman"/>
          <w:color w:val="000000" w:themeColor="text1"/>
          <w:kern w:val="2"/>
          <w:sz w:val="32"/>
          <w:szCs w:val="32"/>
          <w:lang w:val="en-US" w:eastAsia="zh-CN" w:bidi="ar-SA"/>
        </w:rPr>
      </w:pPr>
    </w:p>
    <w:p>
      <w:pPr>
        <w:keepNext w:val="0"/>
        <w:keepLines w:val="0"/>
        <w:pageBreakBefore w:val="0"/>
        <w:widowControl w:val="0"/>
        <w:kinsoku/>
        <w:wordWrap/>
        <w:overflowPunct w:val="0"/>
        <w:topLinePunct w:val="0"/>
        <w:autoSpaceDE/>
        <w:autoSpaceDN/>
        <w:bidi w:val="0"/>
        <w:spacing w:line="590" w:lineRule="exact"/>
        <w:ind w:left="0" w:leftChars="0"/>
        <w:jc w:val="both"/>
        <w:textAlignment w:val="auto"/>
        <w:rPr>
          <w:rFonts w:hint="eastAsia" w:ascii="宋体" w:hAnsi="宋体" w:eastAsia="仿宋_GB2312" w:cs="Times New Roman"/>
          <w:color w:val="000000" w:themeColor="text1"/>
          <w:kern w:val="2"/>
          <w:sz w:val="32"/>
          <w:szCs w:val="32"/>
          <w:lang w:val="en-US" w:eastAsia="zh-CN" w:bidi="ar-SA"/>
        </w:rPr>
      </w:pPr>
      <w:r>
        <w:rPr>
          <w:rFonts w:hint="eastAsia" w:ascii="宋体" w:hAnsi="宋体" w:eastAsia="仿宋_GB2312" w:cs="Times New Roman"/>
          <w:color w:val="000000" w:themeColor="text1"/>
          <w:kern w:val="2"/>
          <w:sz w:val="32"/>
          <w:szCs w:val="32"/>
          <w:lang w:val="en-US" w:eastAsia="zh-CN" w:bidi="ar-SA"/>
        </w:rPr>
        <w:t>（市场监督管理部门将依法向社会公开行政处罚决定信息）</w:t>
      </w:r>
    </w:p>
    <w:p>
      <w:pPr>
        <w:keepNext w:val="0"/>
        <w:keepLines w:val="0"/>
        <w:pageBreakBefore w:val="0"/>
        <w:widowControl w:val="0"/>
        <w:kinsoku/>
        <w:wordWrap/>
        <w:overflowPunct w:val="0"/>
        <w:topLinePunct w:val="0"/>
        <w:autoSpaceDE/>
        <w:autoSpaceDN/>
        <w:bidi w:val="0"/>
        <w:spacing w:line="590" w:lineRule="exact"/>
        <w:textAlignment w:val="auto"/>
        <w:rPr>
          <w:rFonts w:ascii="宋体" w:hAnsi="宋体"/>
          <w:color w:val="000000" w:themeColor="text1"/>
        </w:rPr>
      </w:pPr>
      <w:r>
        <w:rPr>
          <w:rFonts w:ascii="宋体" w:hAnsi="宋体" w:eastAsia="仿宋_GB2312" w:cs="仿宋_GB2312"/>
          <w:color w:val="000000" w:themeColor="text1"/>
          <w:sz w:val="32"/>
          <w:szCs w:val="32"/>
        </w:rPr>
        <w:pict>
          <v:line id="直接连接符 3" o:spid="_x0000_s2053" o:spt="20" style="position:absolute;left:0pt;margin-left:1.5pt;margin-top:0.75pt;height:0.05pt;width:437.05pt;z-index:251660288;mso-width-relative:page;mso-height-relative:page;" filled="f" stroked="t" coordsize="21600,21600" o:gfxdata="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C/8R6f1QAAAAUBAAAPAAAAAAAAAAEAIAAAACIAAABkcnMvZG93bnJldi54bWxQSwECFAAUAAAA&#10;CACHTuJAdTtaX/EBAADpAwAADgAAAAAAAAABACAAAAAkAQAAZHJzL2Uyb0RvYy54bWxQSwUGAAAA&#10;AAYABgBZAQAAhwUAAAAA&#10;">
            <v:path arrowok="t"/>
            <v:fill on="f" focussize="0,0"/>
            <v:stroke weight="1.25pt" color="#000000" joinstyle="round"/>
            <v:imagedata o:title=""/>
            <o:lock v:ext="edit" aspectratio="f"/>
          </v:line>
        </w:pict>
      </w:r>
      <w:r>
        <w:rPr>
          <w:rFonts w:ascii="宋体" w:hAnsi="宋体" w:eastAsia="仿宋_GB2312" w:cs="仿宋_GB2312"/>
          <w:bCs/>
          <w:color w:val="000000" w:themeColor="text1"/>
          <w:sz w:val="32"/>
          <w:szCs w:val="32"/>
        </w:rPr>
        <w:pict>
          <v:line id="直接连接符 1" o:spid="_x0000_s2052" o:spt="20" style="position:absolute;left:0pt;margin-left:0pt;margin-top:1638.35pt;height:0.1pt;width:453.75pt;z-index:251659264;mso-width-relative:page;mso-height-relative:page;" filled="f" stroked="t" coordsize="21600,21600" o:gfxdata="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L7/OR1wAAAAoBAAAPAAAAAAAAAAEAIAAAACIAAABkcnMvZG93bnJldi54bWxQSwEC&#10;FAAUAAAACACHTuJAquVlOvUBAADnAwAADgAAAAAAAAABACAAAAAmAQAAZHJzL2Uyb0RvYy54bWxQ&#10;SwUGAAAAAAYABgBZAQAAjQUAAAAA&#10;">
            <v:path arrowok="t"/>
            <v:fill on="f" focussize="0,0"/>
            <v:stroke weight="0.737007874015748pt" color="#000000" joinstyle="round" endcap="square"/>
            <v:imagedata o:title=""/>
            <o:lock v:ext="edit" aspectratio="f"/>
          </v:line>
        </w:pict>
      </w:r>
      <w:r>
        <w:rPr>
          <w:rFonts w:hint="eastAsia" w:ascii="宋体" w:hAnsi="宋体" w:eastAsia="仿宋_GB2312" w:cs="仿宋_GB2312"/>
          <w:color w:val="000000" w:themeColor="text1"/>
          <w:sz w:val="32"/>
          <w:szCs w:val="32"/>
        </w:rPr>
        <w:t>本文书一式三份，一份送达，一份归档，一份留存。</w:t>
      </w:r>
    </w:p>
    <w:sectPr>
      <w:footerReference r:id="rId3" w:type="default"/>
      <w:pgSz w:w="11906" w:h="16838"/>
      <w:pgMar w:top="1984" w:right="1531" w:bottom="1814" w:left="1531" w:header="851" w:footer="1417" w:gutter="0"/>
      <w:pgNumType w:fmt="decimal"/>
      <w:cols w:space="0" w:num="1"/>
      <w:rtlGutter w:val="0"/>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pict>
        <v:shape id="_x0000_s1025" o:spid="_x0000_s1025"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weight="0.5pt"/>
          <v:imagedata o:title=""/>
          <o:lock v:ext="edit" aspectratio="f"/>
          <v:textbox inset="0mm,0mm,0mm,0mm" style="mso-fit-shape-to-text:t;">
            <w:txbxContent>
              <w:p>
                <w:pPr>
                  <w:pStyle w:val="4"/>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92F4AF7"/>
    <w:multiLevelType w:val="singleLevel"/>
    <w:tmpl w:val="292F4AF7"/>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9"/>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jM0NDBjZDllOWM3OWQ0MmZhNDM5NTEyY2Q3MTM1NzMifQ=="/>
  </w:docVars>
  <w:rsids>
    <w:rsidRoot w:val="00C936AC"/>
    <w:rsid w:val="000C773B"/>
    <w:rsid w:val="0057573F"/>
    <w:rsid w:val="007411F1"/>
    <w:rsid w:val="00B24475"/>
    <w:rsid w:val="00C9253F"/>
    <w:rsid w:val="00C936AC"/>
    <w:rsid w:val="02FA199F"/>
    <w:rsid w:val="24B27FBC"/>
    <w:rsid w:val="57B759D2"/>
    <w:rsid w:val="584A382D"/>
    <w:rsid w:val="5DA71F7F"/>
    <w:rsid w:val="5E9D31C4"/>
    <w:rsid w:val="6BF54D96"/>
    <w:rsid w:val="7F7C7B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qFormat="1"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0"/>
    <w:pPr>
      <w:ind w:firstLine="200" w:firstLineChars="200"/>
    </w:pPr>
    <w:rPr>
      <w:szCs w:val="22"/>
    </w:rPr>
  </w:style>
  <w:style w:type="paragraph" w:styleId="3">
    <w:name w:val="table of authorities"/>
    <w:basedOn w:val="1"/>
    <w:next w:val="1"/>
    <w:semiHidden/>
    <w:unhideWhenUsed/>
    <w:qFormat/>
    <w:uiPriority w:val="99"/>
    <w:pPr>
      <w:ind w:left="420" w:leftChars="200"/>
    </w:pPr>
  </w:style>
  <w:style w:type="paragraph" w:styleId="4">
    <w:name w:val="footer"/>
    <w:basedOn w:val="1"/>
    <w:link w:val="9"/>
    <w:unhideWhenUsed/>
    <w:qFormat/>
    <w:uiPriority w:val="0"/>
    <w:pPr>
      <w:tabs>
        <w:tab w:val="center" w:pos="4153"/>
        <w:tab w:val="right" w:pos="8306"/>
      </w:tabs>
      <w:snapToGrid w:val="0"/>
      <w:jc w:val="left"/>
    </w:pPr>
    <w:rPr>
      <w:sz w:val="18"/>
      <w:szCs w:val="18"/>
    </w:rPr>
  </w:style>
  <w:style w:type="paragraph" w:styleId="5">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qFormat/>
    <w:uiPriority w:val="99"/>
    <w:rPr>
      <w:sz w:val="18"/>
      <w:szCs w:val="18"/>
    </w:rPr>
  </w:style>
  <w:style w:type="character" w:customStyle="1" w:styleId="9">
    <w:name w:val="页脚 Char"/>
    <w:basedOn w:val="7"/>
    <w:link w:val="4"/>
    <w:semiHidden/>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5"/>
    <customShpInfo spid="_x0000_s2053"/>
    <customShpInfo spid="_x0000_s205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412</Words>
  <Characters>2353</Characters>
  <Lines>19</Lines>
  <Paragraphs>5</Paragraphs>
  <TotalTime>0</TotalTime>
  <ScaleCrop>false</ScaleCrop>
  <LinksUpToDate>false</LinksUpToDate>
  <CharactersWithSpaces>2760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2023-12-17T20:20:00Z</dcterms:created>
  <dc:creator>HuaWei</dc:creator>
  <cp:lastModifiedBy>lhq</cp:lastModifiedBy>
  <dcterms:modified xsi:type="dcterms:W3CDTF">2024-01-05T02:47:15Z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919456BF14A84A57AE65CD40B9ADF884_12</vt:lpwstr>
  </property>
</Properties>
</file>