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〕6-6号</w:t>
      </w:r>
    </w:p>
    <w:p>
      <w:pPr>
        <w:keepNext w:val="0"/>
        <w:keepLines w:val="0"/>
        <w:pageBreakBefore w:val="0"/>
        <w:widowControl w:val="0"/>
        <w:kinsoku/>
        <w:wordWrap/>
        <w:overflowPunct w:val="0"/>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当事人：焦作市通大二手车交易市场有限公司；</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统一社会信用代码：91410800MA44BGW802；</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  所：焦作市中站区丰收路西段造店东300米北侧；</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机构类型：有限责任公司（自然人投资或控股）；</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经营范围：二手车交易服务、二手车市场管理服务、房屋及场地租赁。</w:t>
      </w: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w:t>
      </w:r>
      <w:r>
        <w:rPr>
          <w:rFonts w:hint="eastAsia" w:ascii="宋体" w:hAnsi="宋体" w:eastAsia="仿宋_GB2312"/>
          <w:color w:val="000000" w:themeColor="text1"/>
          <w:sz w:val="32"/>
          <w:szCs w:val="32"/>
        </w:rPr>
        <w:t>、</w:t>
      </w:r>
      <w:r>
        <w:rPr>
          <w:rFonts w:ascii="宋体" w:hAnsi="宋体" w:eastAsia="仿宋_GB2312"/>
          <w:color w:val="000000" w:themeColor="text1"/>
          <w:sz w:val="32"/>
          <w:szCs w:val="32"/>
        </w:rPr>
        <w:t>申辩。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沁阳市瑞轩旧机动车交易服务有限公司（简称“瑞轩”）、温县天赐二手车交易市场有限公司（简称“天赐”）、孟州市路通二手车交易市场有限公司（简称“路通”）、孟州市路安二手车交易市场有限公司（简称“路安”）、修武县源通旧机动车交易市场有限公司（简称“源通”）、河南省鑫丰二手车市场管理有限公司（简称“鑫丰”）、焦作市优信二手车市场有限公司（简称“优信”）、焦作市鸿大二手车交易市场有限公司（简称“鸿大”）、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64"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当事人参与达成并实施了固定或变更商品价格、分割销售市场的垄断协议。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2020年9月至2021年12月期间，在协会的组织下，当事人、恒桥、安驰、东城、启汇、警源、富捷、源通、瑞轩、天赐、路安、路通等12家公司达成协议，即各公司协同执行趋同的二手车交易服务费公示价格，同时约定各公司的月销售额计算基数，通过“高交低补”、控制开票数量等手段达到分割销售市场之目的。为确保协议的顺利实施，协会通过收取保证金、现场检查、税务数据比对等方式监督各公司价格执行和实际开票情况，套用特定公式计算出各公司当月应得销售收入，并通过现金、微信转账、个人银行卡转账等形式对销售收入再分配。2022年上半年，当事人等12家公司协同维持的协议，因鑫丰、鸿大、德聚、盛博、顺风、优信等公司的开业而被迫中断执行。为拉拢新开业公司加入协议，协会多次采取会议、走访以及其他形式与当事人等各公司商讨如何继续协同。2022年8月1日协会组织会议，达成了统一将二手车交易服务费变更至趋同公示价格的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当事人是协会副会长会员单位。在协议实施期间，当事人</w:t>
      </w:r>
      <w:r>
        <w:rPr>
          <w:rFonts w:hint="eastAsia" w:ascii="宋体" w:hAnsi="宋体" w:eastAsia="仿宋_GB2312" w:cs="仿宋"/>
          <w:color w:val="000000" w:themeColor="text1"/>
          <w:sz w:val="32"/>
          <w:szCs w:val="32"/>
        </w:rPr>
        <w:t>按照公示价格收取二手车交易服务费实施了固定或者变更商品价格的行为，并通过向协会交纳保证金和多次以现金、个人银行卡转账等形式上交资金或收取补贴实施了分割销售市场的行为。</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经审计，当事人2021年度销售额为1,346,600.00元</w:t>
      </w:r>
      <w:r>
        <w:rPr>
          <w:rFonts w:hint="eastAsia" w:ascii="宋体" w:hAnsi="宋体" w:eastAsia="仿宋_GB2312" w:cs="仿宋"/>
          <w:color w:val="000000" w:themeColor="text1"/>
          <w:sz w:val="32"/>
          <w:szCs w:val="32"/>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第二组证据：当事人等多家公司公示的二手车交易服务费标准，证明当事人与其他各公司所执行的公示价格趋同。</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第三组证据：当事人交纳会费和保证金的相关财务凭证复印件，协会第二届会员大会签到表及会议纪要，当事人相关情况说明，证明当事人的协会</w:t>
      </w:r>
      <w:r>
        <w:rPr>
          <w:rFonts w:hint="eastAsia" w:ascii="宋体" w:hAnsi="宋体" w:eastAsia="仿宋_GB2312" w:cs="仿宋_GB2312"/>
          <w:color w:val="000000" w:themeColor="text1"/>
          <w:sz w:val="32"/>
          <w:szCs w:val="32"/>
          <w:lang w:eastAsia="zh-CN"/>
        </w:rPr>
        <w:t>副</w:t>
      </w:r>
      <w:r>
        <w:rPr>
          <w:rFonts w:hint="eastAsia" w:ascii="宋体" w:hAnsi="宋体" w:eastAsia="仿宋_GB2312" w:cs="仿宋_GB2312"/>
          <w:color w:val="000000" w:themeColor="text1"/>
          <w:sz w:val="32"/>
          <w:szCs w:val="32"/>
        </w:rPr>
        <w:t>会长单位身份、交纳保证金和分割销售市场的事实。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第四组证据：当事人2020年9月-2022年8月的销售台账，证明当事人实施固定或者变更商品价格的事实。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第五组证据：当事人相关负责人、协会相关负人的询问笔录，证明当事人参与达成并实施固定或者变更商品价格、分割销售市场的事实。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三项：“禁止具有竞争关系的经营者达成下列垄断协议：（一）固定或者变更商品价格；（三）分割销售市场或者原材料采购市场”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w:t>
      </w:r>
      <w:r>
        <w:rPr>
          <w:rFonts w:hint="eastAsia" w:ascii="宋体" w:hAnsi="宋体" w:eastAsia="仿宋_GB2312"/>
          <w:color w:val="000000" w:themeColor="text1"/>
          <w:sz w:val="32"/>
          <w:szCs w:val="32"/>
        </w:rPr>
        <w:t>、市场分割计算公式复杂</w:t>
      </w:r>
      <w:r>
        <w:rPr>
          <w:rFonts w:ascii="宋体" w:hAnsi="宋体" w:eastAsia="仿宋_GB2312"/>
          <w:color w:val="000000" w:themeColor="text1"/>
          <w:sz w:val="32"/>
          <w:szCs w:val="32"/>
        </w:rPr>
        <w:t>，无法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（二）处2021年度销售额1,346,600.00元3%的罚款，计40,398.00元（大写：</w:t>
      </w:r>
      <w:r>
        <w:rPr>
          <w:rFonts w:hint="eastAsia" w:ascii="宋体" w:hAnsi="宋体" w:eastAsia="仿宋_GB2312" w:cs="仿宋_GB2312"/>
          <w:color w:val="000000" w:themeColor="text1"/>
          <w:sz w:val="32"/>
          <w:szCs w:val="32"/>
          <w:lang w:eastAsia="zh-CN"/>
        </w:rPr>
        <w:t>人民币</w:t>
      </w:r>
      <w:r>
        <w:rPr>
          <w:rFonts w:hint="eastAsia" w:ascii="宋体" w:hAnsi="宋体" w:eastAsia="仿宋_GB2312" w:cs="仿宋_GB2312"/>
          <w:color w:val="000000" w:themeColor="text1"/>
          <w:sz w:val="32"/>
          <w:szCs w:val="32"/>
        </w:rPr>
        <w:t>肆万零叁佰玖拾捌元整）。</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2"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3"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AC05E0"/>
    <w:rsid w:val="00095D82"/>
    <w:rsid w:val="000C644B"/>
    <w:rsid w:val="00394E6C"/>
    <w:rsid w:val="004472BE"/>
    <w:rsid w:val="008C7D8C"/>
    <w:rsid w:val="009347FE"/>
    <w:rsid w:val="00AC05E0"/>
    <w:rsid w:val="00AD1479"/>
    <w:rsid w:val="00C06692"/>
    <w:rsid w:val="00E40FEB"/>
    <w:rsid w:val="00F126E4"/>
    <w:rsid w:val="00FA129E"/>
    <w:rsid w:val="00FB04BF"/>
    <w:rsid w:val="03B117AC"/>
    <w:rsid w:val="0C8D20F3"/>
    <w:rsid w:val="127D3310"/>
    <w:rsid w:val="26D628C2"/>
    <w:rsid w:val="32D22559"/>
    <w:rsid w:val="32E75AA2"/>
    <w:rsid w:val="38A224E9"/>
    <w:rsid w:val="3ED336F6"/>
    <w:rsid w:val="41AD0948"/>
    <w:rsid w:val="52416DB8"/>
    <w:rsid w:val="57C5769A"/>
    <w:rsid w:val="59CE09DB"/>
    <w:rsid w:val="64A9188F"/>
    <w:rsid w:val="68710355"/>
    <w:rsid w:val="77243B8A"/>
    <w:rsid w:val="7B979E81"/>
    <w:rsid w:val="FBFB839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styleId="3">
    <w:name w:val="table of authorities"/>
    <w:basedOn w:val="1"/>
    <w:next w:val="1"/>
    <w:qFormat/>
    <w:uiPriority w:val="0"/>
    <w:pPr>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2861</Words>
  <Characters>2987</Characters>
  <Lines>21</Lines>
  <Paragraphs>6</Paragraphs>
  <TotalTime>0</TotalTime>
  <ScaleCrop>false</ScaleCrop>
  <LinksUpToDate>false</LinksUpToDate>
  <CharactersWithSpaces>3058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2022-07-14T10:33:00Z</dcterms:created>
  <dc:creator>admin</dc:creator>
  <cp:lastModifiedBy>lhq</cp:lastModifiedBy>
  <cp:lastPrinted>2023-12-20T03:06:00Z</cp:lastPrinted>
  <dcterms:modified xsi:type="dcterms:W3CDTF">2024-01-05T02:45:48Z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CDFB52903D33439BBBDB9683A015C693</vt:lpwstr>
  </property>
</Properties>
</file>