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黑体" w:hAnsi="黑体" w:eastAsia="黑体" w:cs="黑体"/>
          <w:kern w:val="2"/>
          <w:sz w:val="36"/>
          <w:szCs w:val="36"/>
          <w:lang w:val="en-US" w:eastAsia="zh-CN" w:bidi="ar-SA"/>
        </w:rPr>
      </w:pPr>
      <w:bookmarkStart w:id="0" w:name="_GoBack"/>
      <w:r>
        <w:rPr>
          <w:rFonts w:hint="eastAsia" w:ascii="黑体" w:hAnsi="黑体" w:eastAsia="黑体" w:cs="黑体"/>
          <w:kern w:val="2"/>
          <w:sz w:val="36"/>
          <w:szCs w:val="36"/>
          <w:lang w:val="en-US" w:eastAsia="zh-CN" w:bidi="ar-SA"/>
        </w:rPr>
        <w:t>经营者集中简易案件公示表</w:t>
      </w:r>
    </w:p>
    <w:bookmarkEnd w:id="0"/>
    <w:tbl>
      <w:tblPr>
        <w:tblStyle w:val="5"/>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607"/>
        <w:gridCol w:w="6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940" w:type="dxa"/>
            <w:shd w:val="clear" w:color="auto" w:fill="D9D9D9"/>
            <w:noWrap w:val="0"/>
            <w:vAlign w:val="center"/>
          </w:tcPr>
          <w:p>
            <w:pPr>
              <w:pStyle w:val="3"/>
              <w:adjustRightInd w:val="0"/>
              <w:snapToGrid w:val="0"/>
              <w:spacing w:after="0" w:line="240" w:lineRule="auto"/>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lang w:val="en-GB"/>
              </w:rPr>
              <w:t>案件名称</w:t>
            </w:r>
          </w:p>
        </w:tc>
        <w:tc>
          <w:tcPr>
            <w:tcW w:w="7700" w:type="dxa"/>
            <w:gridSpan w:val="2"/>
            <w:noWrap w:val="0"/>
            <w:vAlign w:val="center"/>
          </w:tcPr>
          <w:p>
            <w:pPr>
              <w:adjustRightInd w:val="0"/>
              <w:snapToGrid w:val="0"/>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广州华梓房地产开发有限公司收购广州市润臻置业有限公司股权案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jc w:val="center"/>
        </w:trPr>
        <w:tc>
          <w:tcPr>
            <w:tcW w:w="1940" w:type="dxa"/>
            <w:shd w:val="clear" w:color="auto" w:fill="D9D9D9"/>
            <w:noWrap w:val="0"/>
            <w:vAlign w:val="center"/>
          </w:tcPr>
          <w:p>
            <w:pPr>
              <w:pStyle w:val="3"/>
              <w:adjustRightInd w:val="0"/>
              <w:snapToGrid w:val="0"/>
              <w:spacing w:after="0" w:line="240" w:lineRule="auto"/>
              <w:rPr>
                <w:rFonts w:hint="default" w:ascii="Times New Roman" w:hAnsi="Times New Roman" w:cs="Times New Roman"/>
                <w:bCs/>
                <w:color w:val="000000"/>
                <w:sz w:val="21"/>
                <w:szCs w:val="21"/>
                <w:highlight w:val="none"/>
                <w:lang w:eastAsia="zh-CN"/>
              </w:rPr>
            </w:pPr>
            <w:r>
              <w:rPr>
                <w:rFonts w:hint="default" w:ascii="Times New Roman" w:hAnsi="Times New Roman" w:cs="Times New Roman"/>
                <w:bCs/>
                <w:color w:val="000000"/>
                <w:sz w:val="21"/>
                <w:szCs w:val="21"/>
                <w:highlight w:val="none"/>
                <w:lang w:val="en-GB" w:eastAsia="zh-CN"/>
              </w:rPr>
              <w:t>交易概况（限200字内）</w:t>
            </w:r>
          </w:p>
        </w:tc>
        <w:tc>
          <w:tcPr>
            <w:tcW w:w="7700" w:type="dxa"/>
            <w:gridSpan w:val="2"/>
            <w:noWrap w:val="0"/>
            <w:vAlign w:val="center"/>
          </w:tcPr>
          <w:p>
            <w:pPr>
              <w:widowControl w:val="0"/>
              <w:adjustRightInd w:val="0"/>
              <w:snapToGrid w:val="0"/>
              <w:jc w:val="both"/>
              <w:rPr>
                <w:rFonts w:hint="default" w:ascii="Times New Roman" w:hAnsi="Times New Roman" w:cs="Times New Roman"/>
                <w:sz w:val="21"/>
                <w:szCs w:val="21"/>
                <w:highlight w:val="none"/>
              </w:rPr>
            </w:pPr>
            <w:r>
              <w:rPr>
                <w:rFonts w:hint="default" w:ascii="Times New Roman" w:hAnsi="Times New Roman" w:cs="Times New Roman"/>
                <w:bCs/>
                <w:color w:val="000000"/>
                <w:sz w:val="21"/>
                <w:szCs w:val="21"/>
                <w:highlight w:val="none"/>
              </w:rPr>
              <w:t>广州华梓房地产开发有限公司（“</w:t>
            </w:r>
            <w:r>
              <w:rPr>
                <w:rFonts w:hint="default" w:ascii="Times New Roman" w:hAnsi="Times New Roman" w:cs="Times New Roman"/>
                <w:b/>
                <w:color w:val="000000"/>
                <w:sz w:val="21"/>
                <w:szCs w:val="21"/>
                <w:highlight w:val="none"/>
              </w:rPr>
              <w:t>广州华梓</w:t>
            </w:r>
            <w:r>
              <w:rPr>
                <w:rFonts w:hint="default" w:ascii="Times New Roman" w:hAnsi="Times New Roman" w:cs="Times New Roman"/>
                <w:bCs/>
                <w:color w:val="000000"/>
                <w:sz w:val="21"/>
                <w:szCs w:val="21"/>
                <w:highlight w:val="none"/>
              </w:rPr>
              <w:t>”）、广州市番禺区香江实业有限公司（“</w:t>
            </w:r>
            <w:r>
              <w:rPr>
                <w:rFonts w:hint="default" w:ascii="Times New Roman" w:hAnsi="Times New Roman" w:cs="Times New Roman"/>
                <w:b/>
                <w:color w:val="000000"/>
                <w:sz w:val="21"/>
                <w:szCs w:val="21"/>
                <w:highlight w:val="none"/>
              </w:rPr>
              <w:t>香江实业</w:t>
            </w:r>
            <w:r>
              <w:rPr>
                <w:rFonts w:hint="default" w:ascii="Times New Roman" w:hAnsi="Times New Roman" w:cs="Times New Roman"/>
                <w:bCs/>
                <w:color w:val="000000"/>
                <w:sz w:val="21"/>
                <w:szCs w:val="21"/>
                <w:highlight w:val="none"/>
              </w:rPr>
              <w:t>”）、广东省润投咨询有限公司（“</w:t>
            </w:r>
            <w:r>
              <w:rPr>
                <w:rFonts w:hint="default" w:ascii="Times New Roman" w:hAnsi="Times New Roman" w:cs="Times New Roman"/>
                <w:b/>
                <w:color w:val="000000"/>
                <w:sz w:val="21"/>
                <w:szCs w:val="21"/>
                <w:highlight w:val="none"/>
              </w:rPr>
              <w:t>润投咨询</w:t>
            </w:r>
            <w:r>
              <w:rPr>
                <w:rFonts w:hint="default" w:ascii="Times New Roman" w:hAnsi="Times New Roman" w:cs="Times New Roman"/>
                <w:bCs/>
                <w:color w:val="000000"/>
                <w:sz w:val="21"/>
                <w:szCs w:val="21"/>
                <w:highlight w:val="none"/>
              </w:rPr>
              <w:t>”）与广州市润臻置业有限公司（“</w:t>
            </w:r>
            <w:r>
              <w:rPr>
                <w:rFonts w:hint="default" w:ascii="Times New Roman" w:hAnsi="Times New Roman" w:cs="Times New Roman"/>
                <w:b/>
                <w:color w:val="000000"/>
                <w:sz w:val="21"/>
                <w:szCs w:val="21"/>
                <w:highlight w:val="none"/>
              </w:rPr>
              <w:t>润臻置业</w:t>
            </w:r>
            <w:r>
              <w:rPr>
                <w:rFonts w:hint="default" w:ascii="Times New Roman" w:hAnsi="Times New Roman" w:cs="Times New Roman"/>
                <w:bCs/>
                <w:color w:val="000000"/>
                <w:sz w:val="21"/>
                <w:szCs w:val="21"/>
                <w:highlight w:val="none"/>
              </w:rPr>
              <w:t>”）签署协议，以增资扩股的方式引入广州华梓作为股东。润臻置业</w:t>
            </w:r>
            <w:r>
              <w:rPr>
                <w:rFonts w:hint="default" w:ascii="Times New Roman" w:hAnsi="Times New Roman" w:cs="Times New Roman"/>
                <w:color w:val="000000"/>
                <w:kern w:val="0"/>
                <w:sz w:val="21"/>
                <w:szCs w:val="21"/>
                <w:highlight w:val="none"/>
                <w:lang w:bidi="ar"/>
              </w:rPr>
              <w:t>在广州市从事商品住宅的开发和销售、写字楼的开发和销售业务。</w:t>
            </w:r>
            <w:r>
              <w:rPr>
                <w:rFonts w:hint="default" w:ascii="Times New Roman" w:hAnsi="Times New Roman" w:cs="Times New Roman"/>
                <w:bCs/>
                <w:color w:val="000000"/>
                <w:sz w:val="21"/>
                <w:szCs w:val="21"/>
                <w:highlight w:val="none"/>
              </w:rPr>
              <w:t>交易前，润投咨询和香江实业分别持有润臻置业50%股权，共同控制润臻置业；交易后，广州华梓、润投咨询和香江实业分别持有润臻置业15%、42.5%和42.5%股权，三方将共同控制润臻置业。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940" w:type="dxa"/>
            <w:vMerge w:val="restart"/>
            <w:shd w:val="clear" w:color="auto" w:fill="D9D9D9"/>
            <w:noWrap w:val="0"/>
            <w:vAlign w:val="center"/>
          </w:tcPr>
          <w:p>
            <w:pPr>
              <w:pStyle w:val="3"/>
              <w:adjustRightInd w:val="0"/>
              <w:snapToGrid w:val="0"/>
              <w:spacing w:after="0" w:line="240" w:lineRule="auto"/>
              <w:rPr>
                <w:rFonts w:hint="default" w:ascii="Times New Roman" w:hAnsi="Times New Roman" w:cs="Times New Roman"/>
                <w:bCs/>
                <w:color w:val="000000"/>
                <w:sz w:val="21"/>
                <w:szCs w:val="21"/>
                <w:highlight w:val="none"/>
                <w:lang w:eastAsia="zh-CN"/>
              </w:rPr>
            </w:pPr>
            <w:r>
              <w:rPr>
                <w:rFonts w:hint="default" w:ascii="Times New Roman" w:hAnsi="Times New Roman" w:cs="Times New Roman"/>
                <w:bCs/>
                <w:color w:val="000000"/>
                <w:sz w:val="21"/>
                <w:szCs w:val="21"/>
                <w:highlight w:val="none"/>
                <w:lang w:val="en-GB" w:eastAsia="zh-CN"/>
              </w:rPr>
              <w:t>参与集中的经营者简介（每个限</w:t>
            </w:r>
            <w:r>
              <w:rPr>
                <w:rFonts w:hint="default" w:ascii="Times New Roman" w:hAnsi="Times New Roman" w:cs="Times New Roman"/>
                <w:bCs/>
                <w:color w:val="000000"/>
                <w:sz w:val="21"/>
                <w:szCs w:val="21"/>
                <w:highlight w:val="none"/>
                <w:lang w:eastAsia="zh-CN"/>
              </w:rPr>
              <w:t>100字以内</w:t>
            </w:r>
            <w:r>
              <w:rPr>
                <w:rFonts w:hint="default" w:ascii="Times New Roman" w:hAnsi="Times New Roman" w:cs="Times New Roman"/>
                <w:bCs/>
                <w:color w:val="000000"/>
                <w:sz w:val="21"/>
                <w:szCs w:val="21"/>
                <w:highlight w:val="none"/>
                <w:lang w:val="en-GB" w:eastAsia="zh-CN"/>
              </w:rPr>
              <w:t>）</w:t>
            </w:r>
          </w:p>
        </w:tc>
        <w:tc>
          <w:tcPr>
            <w:tcW w:w="1607" w:type="dxa"/>
            <w:noWrap w:val="0"/>
            <w:vAlign w:val="center"/>
          </w:tcPr>
          <w:p>
            <w:pPr>
              <w:pStyle w:val="3"/>
              <w:adjustRightInd w:val="0"/>
              <w:snapToGrid w:val="0"/>
              <w:spacing w:after="0" w:line="240" w:lineRule="auto"/>
              <w:rPr>
                <w:rFonts w:hint="default" w:ascii="Times New Roman" w:hAnsi="Times New Roman" w:cs="Times New Roman"/>
                <w:bCs/>
                <w:color w:val="000000"/>
                <w:sz w:val="21"/>
                <w:szCs w:val="21"/>
                <w:highlight w:val="none"/>
                <w:lang w:eastAsia="zh-CN"/>
              </w:rPr>
            </w:pPr>
            <w:r>
              <w:rPr>
                <w:rFonts w:hint="default" w:ascii="Times New Roman" w:hAnsi="Times New Roman" w:cs="Times New Roman"/>
                <w:bCs/>
                <w:color w:val="000000"/>
                <w:sz w:val="21"/>
                <w:szCs w:val="21"/>
                <w:highlight w:val="none"/>
                <w:lang w:eastAsia="zh-CN"/>
              </w:rPr>
              <w:t>1.广州华梓</w:t>
            </w:r>
          </w:p>
        </w:tc>
        <w:tc>
          <w:tcPr>
            <w:tcW w:w="6093" w:type="dxa"/>
            <w:noWrap w:val="0"/>
            <w:vAlign w:val="center"/>
          </w:tcPr>
          <w:p>
            <w:pPr>
              <w:pStyle w:val="3"/>
              <w:adjustRightInd w:val="0"/>
              <w:snapToGrid w:val="0"/>
              <w:spacing w:after="0" w:line="240" w:lineRule="auto"/>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lang w:eastAsia="zh-CN"/>
              </w:rPr>
              <w:t>广州华梓于2023年5月23日成立于广州市天河区，主要在中国境内从事房地产投资、房地产开发与经营业务，其最终控制人为珠海华发集团有限公司（“</w:t>
            </w:r>
            <w:r>
              <w:rPr>
                <w:rFonts w:hint="default" w:ascii="Times New Roman" w:hAnsi="Times New Roman" w:cs="Times New Roman"/>
                <w:b/>
                <w:bCs/>
                <w:sz w:val="21"/>
                <w:szCs w:val="21"/>
                <w:highlight w:val="none"/>
                <w:lang w:eastAsia="zh-CN"/>
              </w:rPr>
              <w:t>华发集团</w:t>
            </w:r>
            <w:r>
              <w:rPr>
                <w:rFonts w:hint="default" w:ascii="Times New Roman" w:hAnsi="Times New Roman" w:cs="Times New Roman"/>
                <w:sz w:val="21"/>
                <w:szCs w:val="21"/>
                <w:highlight w:val="none"/>
                <w:lang w:eastAsia="zh-CN"/>
              </w:rPr>
              <w:t>”）。华发集团业务领域为城市运营、房产开发、金融产业等。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940" w:type="dxa"/>
            <w:vMerge w:val="continue"/>
            <w:shd w:val="clear" w:color="auto" w:fill="D9D9D9"/>
            <w:noWrap w:val="0"/>
            <w:vAlign w:val="center"/>
          </w:tcPr>
          <w:p>
            <w:pPr>
              <w:pStyle w:val="3"/>
              <w:adjustRightInd w:val="0"/>
              <w:snapToGrid w:val="0"/>
              <w:spacing w:after="0" w:line="240" w:lineRule="auto"/>
              <w:rPr>
                <w:rFonts w:hint="default" w:ascii="Times New Roman" w:hAnsi="Times New Roman" w:cs="Times New Roman"/>
                <w:bCs/>
                <w:color w:val="000000"/>
                <w:sz w:val="21"/>
                <w:szCs w:val="21"/>
                <w:highlight w:val="none"/>
                <w:lang w:eastAsia="zh-CN"/>
              </w:rPr>
            </w:pPr>
          </w:p>
        </w:tc>
        <w:tc>
          <w:tcPr>
            <w:tcW w:w="1607" w:type="dxa"/>
            <w:noWrap w:val="0"/>
            <w:vAlign w:val="center"/>
          </w:tcPr>
          <w:p>
            <w:pPr>
              <w:pStyle w:val="3"/>
              <w:adjustRightInd w:val="0"/>
              <w:snapToGrid w:val="0"/>
              <w:spacing w:after="0" w:line="240" w:lineRule="auto"/>
              <w:rPr>
                <w:rFonts w:hint="default" w:ascii="Times New Roman" w:hAnsi="Times New Roman" w:cs="Times New Roman"/>
                <w:bCs/>
                <w:color w:val="000000"/>
                <w:sz w:val="21"/>
                <w:szCs w:val="21"/>
                <w:highlight w:val="none"/>
                <w:lang w:eastAsia="zh-CN"/>
              </w:rPr>
            </w:pPr>
            <w:r>
              <w:rPr>
                <w:rFonts w:hint="default" w:ascii="Times New Roman" w:hAnsi="Times New Roman" w:cs="Times New Roman"/>
                <w:bCs/>
                <w:color w:val="000000"/>
                <w:sz w:val="21"/>
                <w:szCs w:val="21"/>
                <w:highlight w:val="none"/>
                <w:lang w:eastAsia="zh-CN"/>
              </w:rPr>
              <w:t>2.香江实业</w:t>
            </w:r>
          </w:p>
        </w:tc>
        <w:tc>
          <w:tcPr>
            <w:tcW w:w="6093" w:type="dxa"/>
            <w:noWrap w:val="0"/>
            <w:vAlign w:val="center"/>
          </w:tcPr>
          <w:p>
            <w:pPr>
              <w:adjustRightInd w:val="0"/>
              <w:snapToGrid w:val="0"/>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香江实业于1992年10月22日成立于广州市番禺区，主要从事广州地区的住宅房地产开发业务。</w:t>
            </w:r>
          </w:p>
          <w:p>
            <w:pPr>
              <w:adjustRightInd w:val="0"/>
              <w:snapToGrid w:val="0"/>
              <w:rPr>
                <w:rFonts w:hint="default" w:ascii="Times New Roman" w:hAnsi="Times New Roman" w:cs="Times New Roman"/>
                <w:kern w:val="0"/>
                <w:sz w:val="21"/>
                <w:szCs w:val="21"/>
                <w:highlight w:val="none"/>
              </w:rPr>
            </w:pPr>
            <w:r>
              <w:rPr>
                <w:rFonts w:hint="default" w:ascii="Times New Roman" w:hAnsi="Times New Roman" w:cs="Times New Roman"/>
                <w:kern w:val="0"/>
                <w:sz w:val="21"/>
                <w:szCs w:val="21"/>
                <w:highlight w:val="none"/>
              </w:rPr>
              <w:t>香江实业的最终控制人为苏志刚，其控制的长隆集团是一家集主题公园、度假酒店、文化演艺、餐饮休闲等于一体的文化旅游集团。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1940" w:type="dxa"/>
            <w:vMerge w:val="continue"/>
            <w:shd w:val="clear" w:color="auto" w:fill="D9D9D9"/>
            <w:noWrap w:val="0"/>
            <w:vAlign w:val="center"/>
          </w:tcPr>
          <w:p>
            <w:pPr>
              <w:pStyle w:val="3"/>
              <w:adjustRightInd w:val="0"/>
              <w:snapToGrid w:val="0"/>
              <w:spacing w:after="0" w:line="240" w:lineRule="auto"/>
              <w:rPr>
                <w:rFonts w:hint="default" w:ascii="Times New Roman" w:hAnsi="Times New Roman" w:cs="Times New Roman"/>
                <w:bCs/>
                <w:color w:val="000000"/>
                <w:sz w:val="21"/>
                <w:szCs w:val="21"/>
                <w:highlight w:val="none"/>
                <w:lang w:eastAsia="zh-CN"/>
              </w:rPr>
            </w:pPr>
          </w:p>
        </w:tc>
        <w:tc>
          <w:tcPr>
            <w:tcW w:w="1607" w:type="dxa"/>
            <w:noWrap w:val="0"/>
            <w:vAlign w:val="center"/>
          </w:tcPr>
          <w:p>
            <w:pPr>
              <w:pStyle w:val="3"/>
              <w:adjustRightInd w:val="0"/>
              <w:snapToGrid w:val="0"/>
              <w:spacing w:after="0" w:line="240" w:lineRule="auto"/>
              <w:rPr>
                <w:rFonts w:hint="default" w:ascii="Times New Roman" w:hAnsi="Times New Roman" w:cs="Times New Roman"/>
                <w:bCs/>
                <w:color w:val="000000"/>
                <w:sz w:val="21"/>
                <w:szCs w:val="21"/>
                <w:highlight w:val="none"/>
                <w:lang w:eastAsia="zh-CN"/>
              </w:rPr>
            </w:pPr>
            <w:r>
              <w:rPr>
                <w:rFonts w:hint="default" w:ascii="Times New Roman" w:hAnsi="Times New Roman" w:cs="Times New Roman"/>
                <w:bCs/>
                <w:color w:val="000000"/>
                <w:sz w:val="21"/>
                <w:szCs w:val="21"/>
                <w:highlight w:val="none"/>
                <w:lang w:eastAsia="zh-CN"/>
              </w:rPr>
              <w:t>3.润投咨询</w:t>
            </w:r>
          </w:p>
        </w:tc>
        <w:tc>
          <w:tcPr>
            <w:tcW w:w="6093" w:type="dxa"/>
            <w:noWrap w:val="0"/>
            <w:vAlign w:val="center"/>
          </w:tcPr>
          <w:p>
            <w:pPr>
              <w:adjustRightInd w:val="0"/>
              <w:snapToGrid w:val="0"/>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润投咨询于2021年6月7日成立于广州市南沙区，为华润置地下属境内持股平台，主要持有境内的房地产资产。</w:t>
            </w:r>
          </w:p>
          <w:p>
            <w:pPr>
              <w:adjustRightInd w:val="0"/>
              <w:snapToGrid w:val="0"/>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润投咨询的最终控制人为中国华润有限公司，主要业务为消费品、健康医疗、城市建设和运营、能源服务等。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4" w:hRule="atLeast"/>
          <w:jc w:val="center"/>
        </w:trPr>
        <w:tc>
          <w:tcPr>
            <w:tcW w:w="1940" w:type="dxa"/>
            <w:vMerge w:val="continue"/>
            <w:shd w:val="clear" w:color="auto" w:fill="D9D9D9"/>
            <w:noWrap w:val="0"/>
            <w:vAlign w:val="center"/>
          </w:tcPr>
          <w:p>
            <w:pPr>
              <w:pStyle w:val="3"/>
              <w:adjustRightInd w:val="0"/>
              <w:snapToGrid w:val="0"/>
              <w:spacing w:after="0" w:line="240" w:lineRule="auto"/>
              <w:rPr>
                <w:rFonts w:hint="default" w:ascii="Times New Roman" w:hAnsi="Times New Roman" w:cs="Times New Roman"/>
                <w:bCs/>
                <w:color w:val="000000"/>
                <w:sz w:val="21"/>
                <w:szCs w:val="21"/>
                <w:highlight w:val="none"/>
                <w:lang w:eastAsia="zh-CN"/>
              </w:rPr>
            </w:pPr>
          </w:p>
        </w:tc>
        <w:tc>
          <w:tcPr>
            <w:tcW w:w="1607" w:type="dxa"/>
            <w:noWrap w:val="0"/>
            <w:vAlign w:val="center"/>
          </w:tcPr>
          <w:p>
            <w:pPr>
              <w:pStyle w:val="3"/>
              <w:adjustRightInd w:val="0"/>
              <w:spacing w:after="0" w:line="240" w:lineRule="auto"/>
              <w:rPr>
                <w:rFonts w:hint="default" w:ascii="Times New Roman" w:hAnsi="Times New Roman" w:cs="Times New Roman"/>
                <w:bCs/>
                <w:color w:val="000000"/>
                <w:sz w:val="21"/>
                <w:szCs w:val="21"/>
                <w:highlight w:val="none"/>
                <w:lang w:eastAsia="zh-CN"/>
              </w:rPr>
            </w:pPr>
            <w:r>
              <w:rPr>
                <w:rFonts w:hint="default" w:ascii="Times New Roman" w:hAnsi="Times New Roman" w:cs="Times New Roman"/>
                <w:bCs/>
                <w:color w:val="000000"/>
                <w:sz w:val="21"/>
                <w:szCs w:val="21"/>
                <w:highlight w:val="none"/>
                <w:lang w:eastAsia="zh-CN"/>
              </w:rPr>
              <w:t>4.润臻置业</w:t>
            </w:r>
          </w:p>
        </w:tc>
        <w:tc>
          <w:tcPr>
            <w:tcW w:w="6093" w:type="dxa"/>
            <w:noWrap w:val="0"/>
            <w:vAlign w:val="center"/>
          </w:tcPr>
          <w:p>
            <w:pPr>
              <w:adjustRightInd w:val="0"/>
              <w:rPr>
                <w:rFonts w:hint="default" w:ascii="Times New Roman" w:hAnsi="Times New Roman" w:cs="Times New Roman"/>
                <w:bCs/>
                <w:color w:val="000000"/>
                <w:sz w:val="21"/>
                <w:szCs w:val="21"/>
                <w:highlight w:val="none"/>
              </w:rPr>
            </w:pPr>
            <w:r>
              <w:rPr>
                <w:rFonts w:hint="default" w:ascii="Times New Roman" w:hAnsi="Times New Roman" w:cs="Times New Roman"/>
                <w:bCs/>
                <w:color w:val="000000"/>
                <w:sz w:val="21"/>
                <w:szCs w:val="21"/>
                <w:highlight w:val="none"/>
              </w:rPr>
              <w:t>润臻置业于2023年6月2日成立于广州市番禺区，主要业务为利用项目地块从事商品住宅的开发和销售及写字楼的开发和销售业务。</w:t>
            </w:r>
          </w:p>
          <w:p>
            <w:pPr>
              <w:pStyle w:val="4"/>
              <w:spacing w:after="0" w:line="240" w:lineRule="auto"/>
              <w:ind w:firstLine="0" w:firstLineChars="0"/>
              <w:rPr>
                <w:rFonts w:hint="default" w:ascii="Times New Roman" w:hAnsi="Times New Roman" w:cs="Times New Roman"/>
                <w:sz w:val="21"/>
                <w:szCs w:val="21"/>
                <w:highlight w:val="none"/>
                <w:lang w:eastAsia="zh-CN"/>
              </w:rPr>
            </w:pPr>
            <w:r>
              <w:rPr>
                <w:rFonts w:hint="default" w:ascii="Times New Roman" w:hAnsi="Times New Roman" w:cs="Times New Roman"/>
                <w:bCs/>
                <w:color w:val="000000"/>
                <w:kern w:val="2"/>
                <w:sz w:val="21"/>
                <w:szCs w:val="21"/>
                <w:highlight w:val="none"/>
                <w:lang w:eastAsia="zh-CN"/>
              </w:rPr>
              <w:t>润臻置业的最终控制人为中国华润集团有限公司和苏志刚。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940" w:type="dxa"/>
            <w:vMerge w:val="restart"/>
            <w:shd w:val="clear" w:color="auto" w:fill="D9D9D9"/>
            <w:noWrap w:val="0"/>
            <w:vAlign w:val="center"/>
          </w:tcPr>
          <w:p>
            <w:pPr>
              <w:pStyle w:val="3"/>
              <w:adjustRightInd w:val="0"/>
              <w:snapToGrid w:val="0"/>
              <w:spacing w:after="0" w:line="240" w:lineRule="auto"/>
              <w:rPr>
                <w:rFonts w:hint="default" w:ascii="Times New Roman" w:hAnsi="Times New Roman" w:cs="Times New Roman"/>
                <w:bCs/>
                <w:color w:val="000000"/>
                <w:sz w:val="21"/>
                <w:szCs w:val="21"/>
                <w:highlight w:val="none"/>
                <w:lang w:eastAsia="zh-CN"/>
              </w:rPr>
            </w:pPr>
            <w:r>
              <w:rPr>
                <w:rFonts w:hint="default" w:ascii="Times New Roman" w:hAnsi="Times New Roman" w:cs="Times New Roman"/>
                <w:bCs/>
                <w:color w:val="000000"/>
                <w:sz w:val="21"/>
                <w:szCs w:val="21"/>
                <w:highlight w:val="none"/>
                <w:lang w:val="en-GB" w:eastAsia="zh-CN"/>
              </w:rPr>
              <w:t>简易案件理由（可以单选，也可以多选）</w:t>
            </w:r>
          </w:p>
        </w:tc>
        <w:tc>
          <w:tcPr>
            <w:tcW w:w="7700" w:type="dxa"/>
            <w:gridSpan w:val="2"/>
            <w:noWrap w:val="0"/>
            <w:vAlign w:val="center"/>
          </w:tcPr>
          <w:p>
            <w:pPr>
              <w:pStyle w:val="3"/>
              <w:adjustRightInd w:val="0"/>
              <w:snapToGrid w:val="0"/>
              <w:spacing w:after="0" w:line="240" w:lineRule="auto"/>
              <w:rPr>
                <w:rFonts w:hint="default" w:ascii="Times New Roman" w:hAnsi="Times New Roman" w:cs="Times New Roman"/>
                <w:bCs/>
                <w:color w:val="000000"/>
                <w:sz w:val="21"/>
                <w:szCs w:val="21"/>
                <w:highlight w:val="none"/>
                <w:lang w:eastAsia="zh-CN"/>
              </w:rPr>
            </w:pPr>
            <w:r>
              <w:rPr>
                <w:rFonts w:hint="default" w:ascii="Times New Roman" w:hAnsi="Times New Roman" w:cs="Times New Roman"/>
                <w:bCs/>
                <w:color w:val="000000"/>
                <w:sz w:val="21"/>
                <w:szCs w:val="21"/>
                <w:highlight w:val="none"/>
                <w:lang w:val="en-GB" w:eastAsia="zh-CN"/>
              </w:rPr>
              <w:sym w:font="Wingdings" w:char="00FE"/>
            </w:r>
            <w:r>
              <w:rPr>
                <w:rFonts w:hint="default" w:ascii="Times New Roman" w:hAnsi="Times New Roman" w:cs="Times New Roman"/>
                <w:bCs/>
                <w:color w:val="000000"/>
                <w:sz w:val="21"/>
                <w:szCs w:val="21"/>
                <w:highlight w:val="none"/>
                <w:lang w:val="en-GB" w:eastAsia="zh-CN"/>
              </w:rPr>
              <w:t xml:space="preserve"> 1、在同一相关市场，所有参与集中的经营者所占市场份额之和小于</w:t>
            </w:r>
            <w:r>
              <w:rPr>
                <w:rFonts w:hint="default" w:ascii="Times New Roman" w:hAnsi="Times New Roman" w:cs="Times New Roman"/>
                <w:bCs/>
                <w:color w:val="000000"/>
                <w:sz w:val="21"/>
                <w:szCs w:val="21"/>
                <w:highlight w:val="none"/>
                <w:lang w:eastAsia="zh-CN"/>
              </w:rPr>
              <w:t>15%</w:t>
            </w:r>
            <w:r>
              <w:rPr>
                <w:rFonts w:hint="default" w:ascii="Times New Roman" w:hAnsi="Times New Roman" w:cs="Times New Roman"/>
                <w:bCs/>
                <w:color w:val="000000"/>
                <w:sz w:val="21"/>
                <w:szCs w:val="21"/>
                <w:highlight w:val="none"/>
                <w:lang w:val="en-GB"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940" w:type="dxa"/>
            <w:vMerge w:val="continue"/>
            <w:shd w:val="clear" w:color="auto" w:fill="D9D9D9"/>
            <w:noWrap w:val="0"/>
            <w:vAlign w:val="center"/>
          </w:tcPr>
          <w:p>
            <w:pPr>
              <w:pStyle w:val="3"/>
              <w:adjustRightInd w:val="0"/>
              <w:snapToGrid w:val="0"/>
              <w:spacing w:after="0" w:line="240" w:lineRule="auto"/>
              <w:rPr>
                <w:rFonts w:hint="default" w:ascii="Times New Roman" w:hAnsi="Times New Roman" w:cs="Times New Roman"/>
                <w:bCs/>
                <w:color w:val="000000"/>
                <w:sz w:val="21"/>
                <w:szCs w:val="21"/>
                <w:highlight w:val="none"/>
                <w:lang w:eastAsia="zh-CN"/>
              </w:rPr>
            </w:pPr>
          </w:p>
        </w:tc>
        <w:tc>
          <w:tcPr>
            <w:tcW w:w="7700" w:type="dxa"/>
            <w:gridSpan w:val="2"/>
            <w:noWrap w:val="0"/>
            <w:vAlign w:val="center"/>
          </w:tcPr>
          <w:p>
            <w:pPr>
              <w:pStyle w:val="3"/>
              <w:adjustRightInd w:val="0"/>
              <w:snapToGrid w:val="0"/>
              <w:spacing w:after="0" w:line="240" w:lineRule="auto"/>
              <w:rPr>
                <w:rFonts w:hint="default" w:ascii="Times New Roman" w:hAnsi="Times New Roman" w:cs="Times New Roman"/>
                <w:bCs/>
                <w:color w:val="000000"/>
                <w:sz w:val="21"/>
                <w:szCs w:val="21"/>
                <w:highlight w:val="none"/>
                <w:lang w:eastAsia="zh-CN"/>
              </w:rPr>
            </w:pPr>
            <w:r>
              <w:rPr>
                <w:rFonts w:hint="default" w:ascii="Times New Roman" w:hAnsi="Times New Roman" w:cs="Times New Roman"/>
                <w:bCs/>
                <w:color w:val="000000"/>
                <w:sz w:val="21"/>
                <w:szCs w:val="21"/>
                <w:highlight w:val="none"/>
                <w:lang w:val="en-GB" w:eastAsia="zh-CN"/>
              </w:rPr>
              <w:sym w:font="Wingdings" w:char="00FE"/>
            </w:r>
            <w:r>
              <w:rPr>
                <w:rFonts w:hint="default" w:ascii="Times New Roman" w:hAnsi="Times New Roman" w:cs="Times New Roman"/>
                <w:bCs/>
                <w:color w:val="000000"/>
                <w:sz w:val="21"/>
                <w:szCs w:val="21"/>
                <w:highlight w:val="none"/>
                <w:lang w:val="en-GB" w:eastAsia="zh-CN"/>
              </w:rPr>
              <w:t xml:space="preserve"> 2、存在上下游关系的参与集中的经营者，在上下游市场所占的市场份额均小于</w:t>
            </w:r>
            <w:r>
              <w:rPr>
                <w:rFonts w:hint="default" w:ascii="Times New Roman" w:hAnsi="Times New Roman" w:cs="Times New Roman"/>
                <w:bCs/>
                <w:color w:val="000000"/>
                <w:sz w:val="21"/>
                <w:szCs w:val="21"/>
                <w:highlight w:val="none"/>
                <w:lang w:eastAsia="zh-CN"/>
              </w:rPr>
              <w:t>25%</w:t>
            </w:r>
            <w:r>
              <w:rPr>
                <w:rFonts w:hint="default" w:ascii="Times New Roman" w:hAnsi="Times New Roman" w:cs="Times New Roman"/>
                <w:bCs/>
                <w:color w:val="000000"/>
                <w:sz w:val="21"/>
                <w:szCs w:val="21"/>
                <w:highlight w:val="none"/>
                <w:lang w:val="en-GB"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940" w:type="dxa"/>
            <w:vMerge w:val="continue"/>
            <w:shd w:val="clear" w:color="auto" w:fill="D9D9D9"/>
            <w:noWrap w:val="0"/>
            <w:vAlign w:val="center"/>
          </w:tcPr>
          <w:p>
            <w:pPr>
              <w:pStyle w:val="3"/>
              <w:adjustRightInd w:val="0"/>
              <w:snapToGrid w:val="0"/>
              <w:spacing w:after="0" w:line="240" w:lineRule="auto"/>
              <w:rPr>
                <w:rFonts w:hint="default" w:ascii="Times New Roman" w:hAnsi="Times New Roman" w:cs="Times New Roman"/>
                <w:bCs/>
                <w:color w:val="000000"/>
                <w:sz w:val="21"/>
                <w:szCs w:val="21"/>
                <w:highlight w:val="none"/>
                <w:lang w:eastAsia="zh-CN"/>
              </w:rPr>
            </w:pPr>
          </w:p>
        </w:tc>
        <w:tc>
          <w:tcPr>
            <w:tcW w:w="7700" w:type="dxa"/>
            <w:gridSpan w:val="2"/>
            <w:noWrap w:val="0"/>
            <w:vAlign w:val="center"/>
          </w:tcPr>
          <w:p>
            <w:pPr>
              <w:pStyle w:val="3"/>
              <w:adjustRightInd w:val="0"/>
              <w:snapToGrid w:val="0"/>
              <w:spacing w:after="0" w:line="240" w:lineRule="auto"/>
              <w:rPr>
                <w:rFonts w:hint="default" w:ascii="Times New Roman" w:hAnsi="Times New Roman" w:cs="Times New Roman"/>
                <w:bCs/>
                <w:color w:val="000000"/>
                <w:sz w:val="21"/>
                <w:szCs w:val="21"/>
                <w:highlight w:val="none"/>
                <w:lang w:eastAsia="zh-CN"/>
              </w:rPr>
            </w:pPr>
            <w:r>
              <w:rPr>
                <w:rFonts w:hint="default" w:ascii="Times New Roman" w:hAnsi="Times New Roman" w:cs="Times New Roman"/>
                <w:bCs/>
                <w:color w:val="000000"/>
                <w:sz w:val="21"/>
                <w:szCs w:val="21"/>
                <w:highlight w:val="none"/>
                <w:lang w:val="en-GB" w:eastAsia="zh-CN"/>
              </w:rPr>
              <w:sym w:font="Wingdings" w:char="00A8"/>
            </w:r>
            <w:r>
              <w:rPr>
                <w:rFonts w:hint="default" w:ascii="Times New Roman" w:hAnsi="Times New Roman" w:cs="Times New Roman"/>
                <w:bCs/>
                <w:color w:val="000000"/>
                <w:sz w:val="21"/>
                <w:szCs w:val="21"/>
                <w:highlight w:val="none"/>
                <w:lang w:val="en-GB" w:eastAsia="zh-CN"/>
              </w:rPr>
              <w:t xml:space="preserve">  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940" w:type="dxa"/>
            <w:vMerge w:val="continue"/>
            <w:shd w:val="clear" w:color="auto" w:fill="D9D9D9"/>
            <w:noWrap w:val="0"/>
            <w:vAlign w:val="center"/>
          </w:tcPr>
          <w:p>
            <w:pPr>
              <w:pStyle w:val="3"/>
              <w:adjustRightInd w:val="0"/>
              <w:snapToGrid w:val="0"/>
              <w:spacing w:after="0" w:line="240" w:lineRule="auto"/>
              <w:rPr>
                <w:rFonts w:hint="default" w:ascii="Times New Roman" w:hAnsi="Times New Roman" w:cs="Times New Roman"/>
                <w:bCs/>
                <w:color w:val="000000"/>
                <w:sz w:val="21"/>
                <w:szCs w:val="21"/>
                <w:highlight w:val="none"/>
                <w:lang w:eastAsia="zh-CN"/>
              </w:rPr>
            </w:pPr>
          </w:p>
        </w:tc>
        <w:tc>
          <w:tcPr>
            <w:tcW w:w="7700" w:type="dxa"/>
            <w:gridSpan w:val="2"/>
            <w:noWrap w:val="0"/>
            <w:vAlign w:val="center"/>
          </w:tcPr>
          <w:p>
            <w:pPr>
              <w:pStyle w:val="3"/>
              <w:adjustRightInd w:val="0"/>
              <w:snapToGrid w:val="0"/>
              <w:spacing w:after="0" w:line="240" w:lineRule="auto"/>
              <w:rPr>
                <w:rFonts w:hint="default" w:ascii="Times New Roman" w:hAnsi="Times New Roman" w:cs="Times New Roman"/>
                <w:bCs/>
                <w:color w:val="000000"/>
                <w:sz w:val="21"/>
                <w:szCs w:val="21"/>
                <w:highlight w:val="none"/>
                <w:lang w:eastAsia="zh-CN"/>
              </w:rPr>
            </w:pPr>
            <w:r>
              <w:rPr>
                <w:rFonts w:hint="default" w:ascii="Times New Roman" w:hAnsi="Times New Roman" w:cs="Times New Roman"/>
                <w:bCs/>
                <w:color w:val="000000"/>
                <w:sz w:val="21"/>
                <w:szCs w:val="21"/>
                <w:highlight w:val="none"/>
                <w:lang w:val="en-GB" w:eastAsia="zh-CN"/>
              </w:rPr>
              <w:sym w:font="Wingdings" w:char="00A8"/>
            </w:r>
            <w:r>
              <w:rPr>
                <w:rFonts w:hint="default" w:ascii="Times New Roman" w:hAnsi="Times New Roman" w:cs="Times New Roman"/>
                <w:bCs/>
                <w:color w:val="000000"/>
                <w:sz w:val="21"/>
                <w:szCs w:val="21"/>
                <w:highlight w:val="none"/>
                <w:lang w:val="en-GB" w:eastAsia="zh-CN"/>
              </w:rPr>
              <w:t xml:space="preserve"> 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940" w:type="dxa"/>
            <w:vMerge w:val="continue"/>
            <w:shd w:val="clear" w:color="auto" w:fill="D9D9D9"/>
            <w:noWrap w:val="0"/>
            <w:vAlign w:val="center"/>
          </w:tcPr>
          <w:p>
            <w:pPr>
              <w:pStyle w:val="3"/>
              <w:adjustRightInd w:val="0"/>
              <w:snapToGrid w:val="0"/>
              <w:spacing w:after="0" w:line="240" w:lineRule="auto"/>
              <w:rPr>
                <w:rFonts w:hint="default" w:ascii="Times New Roman" w:hAnsi="Times New Roman" w:cs="Times New Roman"/>
                <w:bCs/>
                <w:color w:val="000000"/>
                <w:sz w:val="21"/>
                <w:szCs w:val="21"/>
                <w:highlight w:val="none"/>
                <w:lang w:eastAsia="zh-CN"/>
              </w:rPr>
            </w:pPr>
          </w:p>
        </w:tc>
        <w:tc>
          <w:tcPr>
            <w:tcW w:w="7700" w:type="dxa"/>
            <w:gridSpan w:val="2"/>
            <w:noWrap w:val="0"/>
            <w:vAlign w:val="center"/>
          </w:tcPr>
          <w:p>
            <w:pPr>
              <w:pStyle w:val="3"/>
              <w:adjustRightInd w:val="0"/>
              <w:snapToGrid w:val="0"/>
              <w:spacing w:after="0" w:line="240" w:lineRule="auto"/>
              <w:rPr>
                <w:rFonts w:hint="default" w:ascii="Times New Roman" w:hAnsi="Times New Roman" w:cs="Times New Roman"/>
                <w:bCs/>
                <w:color w:val="000000"/>
                <w:sz w:val="21"/>
                <w:szCs w:val="21"/>
                <w:highlight w:val="none"/>
                <w:lang w:eastAsia="zh-CN"/>
              </w:rPr>
            </w:pPr>
            <w:r>
              <w:rPr>
                <w:rFonts w:hint="default" w:ascii="Times New Roman" w:hAnsi="Times New Roman" w:cs="Times New Roman"/>
                <w:bCs/>
                <w:color w:val="000000"/>
                <w:sz w:val="21"/>
                <w:szCs w:val="21"/>
                <w:highlight w:val="none"/>
                <w:lang w:val="en-GB" w:eastAsia="zh-CN"/>
              </w:rPr>
              <w:sym w:font="Wingdings" w:char="00A8"/>
            </w:r>
            <w:r>
              <w:rPr>
                <w:rFonts w:hint="default" w:ascii="Times New Roman" w:hAnsi="Times New Roman" w:cs="Times New Roman"/>
                <w:bCs/>
                <w:color w:val="000000"/>
                <w:sz w:val="21"/>
                <w:szCs w:val="21"/>
                <w:highlight w:val="none"/>
                <w:lang w:val="en-GB" w:eastAsia="zh-CN"/>
              </w:rPr>
              <w:t xml:space="preserve"> 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40" w:type="dxa"/>
            <w:vMerge w:val="continue"/>
            <w:shd w:val="clear" w:color="auto" w:fill="D9D9D9"/>
            <w:noWrap w:val="0"/>
            <w:vAlign w:val="center"/>
          </w:tcPr>
          <w:p>
            <w:pPr>
              <w:pStyle w:val="3"/>
              <w:adjustRightInd w:val="0"/>
              <w:snapToGrid w:val="0"/>
              <w:spacing w:after="0" w:line="240" w:lineRule="auto"/>
              <w:rPr>
                <w:rFonts w:hint="default" w:ascii="Times New Roman" w:hAnsi="Times New Roman" w:cs="Times New Roman"/>
                <w:bCs/>
                <w:color w:val="000000"/>
                <w:sz w:val="21"/>
                <w:szCs w:val="21"/>
                <w:highlight w:val="none"/>
                <w:lang w:eastAsia="zh-CN"/>
              </w:rPr>
            </w:pPr>
          </w:p>
        </w:tc>
        <w:tc>
          <w:tcPr>
            <w:tcW w:w="7700" w:type="dxa"/>
            <w:gridSpan w:val="2"/>
            <w:noWrap w:val="0"/>
            <w:vAlign w:val="center"/>
          </w:tcPr>
          <w:p>
            <w:pPr>
              <w:pStyle w:val="3"/>
              <w:adjustRightInd w:val="0"/>
              <w:snapToGrid w:val="0"/>
              <w:spacing w:after="0" w:line="240" w:lineRule="auto"/>
              <w:rPr>
                <w:rFonts w:hint="default" w:ascii="Times New Roman" w:hAnsi="Times New Roman" w:cs="Times New Roman"/>
                <w:bCs/>
                <w:color w:val="000000"/>
                <w:sz w:val="21"/>
                <w:szCs w:val="21"/>
                <w:highlight w:val="none"/>
                <w:lang w:eastAsia="zh-CN"/>
              </w:rPr>
            </w:pPr>
            <w:r>
              <w:rPr>
                <w:rFonts w:hint="default" w:ascii="Times New Roman" w:hAnsi="Times New Roman" w:cs="Times New Roman"/>
                <w:bCs/>
                <w:color w:val="000000"/>
                <w:sz w:val="21"/>
                <w:szCs w:val="21"/>
                <w:highlight w:val="none"/>
                <w:lang w:val="en-GB" w:eastAsia="zh-CN"/>
              </w:rPr>
              <w:sym w:font="Wingdings" w:char="00A8"/>
            </w:r>
            <w:r>
              <w:rPr>
                <w:rFonts w:hint="default" w:ascii="Times New Roman" w:hAnsi="Times New Roman" w:cs="Times New Roman"/>
                <w:bCs/>
                <w:color w:val="000000"/>
                <w:sz w:val="21"/>
                <w:szCs w:val="21"/>
                <w:highlight w:val="none"/>
                <w:lang w:val="en-GB" w:eastAsia="zh-CN"/>
              </w:rPr>
              <w:t xml:space="preserve"> 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1940" w:type="dxa"/>
            <w:shd w:val="clear" w:color="auto" w:fill="D9D9D9"/>
            <w:noWrap w:val="0"/>
            <w:vAlign w:val="center"/>
          </w:tcPr>
          <w:p>
            <w:pPr>
              <w:pStyle w:val="3"/>
              <w:adjustRightInd w:val="0"/>
              <w:snapToGrid w:val="0"/>
              <w:spacing w:after="0" w:line="240" w:lineRule="auto"/>
              <w:rPr>
                <w:rFonts w:hint="default" w:ascii="Times New Roman" w:hAnsi="Times New Roman" w:cs="Times New Roman"/>
                <w:bCs/>
                <w:color w:val="000000"/>
                <w:sz w:val="21"/>
                <w:szCs w:val="21"/>
                <w:highlight w:val="none"/>
                <w:lang w:eastAsia="zh-CN"/>
              </w:rPr>
            </w:pPr>
            <w:r>
              <w:rPr>
                <w:rFonts w:hint="default" w:ascii="Times New Roman" w:hAnsi="Times New Roman" w:cs="Times New Roman"/>
                <w:bCs/>
                <w:color w:val="000000"/>
                <w:sz w:val="21"/>
                <w:szCs w:val="21"/>
                <w:highlight w:val="none"/>
                <w:lang w:eastAsia="zh-CN"/>
              </w:rPr>
              <w:t>备注</w:t>
            </w:r>
          </w:p>
        </w:tc>
        <w:tc>
          <w:tcPr>
            <w:tcW w:w="7700" w:type="dxa"/>
            <w:gridSpan w:val="2"/>
            <w:noWrap w:val="0"/>
            <w:vAlign w:val="center"/>
          </w:tcPr>
          <w:p>
            <w:pPr>
              <w:pStyle w:val="3"/>
              <w:adjustRightInd w:val="0"/>
              <w:snapToGrid w:val="0"/>
              <w:spacing w:after="0" w:line="240" w:lineRule="auto"/>
              <w:rPr>
                <w:rFonts w:hint="default" w:ascii="Times New Roman" w:hAnsi="Times New Roman" w:cs="Times New Roman"/>
                <w:b/>
                <w:color w:val="000000"/>
                <w:sz w:val="21"/>
                <w:szCs w:val="21"/>
                <w:highlight w:val="none"/>
                <w:lang w:val="en-GB" w:eastAsia="zh-CN"/>
              </w:rPr>
            </w:pPr>
            <w:r>
              <w:rPr>
                <w:rFonts w:hint="default" w:ascii="Times New Roman" w:hAnsi="Times New Roman" w:cs="Times New Roman"/>
                <w:b/>
                <w:color w:val="000000"/>
                <w:sz w:val="21"/>
                <w:szCs w:val="21"/>
                <w:highlight w:val="none"/>
                <w:lang w:val="en-GB" w:eastAsia="zh-CN"/>
              </w:rPr>
              <w:t>横向重叠：</w:t>
            </w:r>
          </w:p>
          <w:tbl>
            <w:tblPr>
              <w:tblStyle w:val="5"/>
              <w:tblW w:w="7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1"/>
              <w:gridCol w:w="2044"/>
              <w:gridCol w:w="3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09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相关商品市场</w:t>
                  </w:r>
                </w:p>
              </w:tc>
              <w:tc>
                <w:tcPr>
                  <w:tcW w:w="204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相关地域市场</w:t>
                  </w:r>
                </w:p>
              </w:tc>
              <w:tc>
                <w:tcPr>
                  <w:tcW w:w="336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2022年市场份额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209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商品住宅的开发和销售市场</w:t>
                  </w:r>
                </w:p>
              </w:tc>
              <w:tc>
                <w:tcPr>
                  <w:tcW w:w="204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广州市</w:t>
                  </w:r>
                </w:p>
              </w:tc>
              <w:tc>
                <w:tcPr>
                  <w:tcW w:w="336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广州华梓：0-5%</w:t>
                  </w:r>
                </w:p>
                <w:p>
                  <w:pPr>
                    <w:widowControl/>
                    <w:adjustRightInd w:val="0"/>
                    <w:snapToGrid w:val="0"/>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香江实业：0-5%</w:t>
                  </w:r>
                </w:p>
                <w:p>
                  <w:pPr>
                    <w:widowControl/>
                    <w:adjustRightInd w:val="0"/>
                    <w:snapToGrid w:val="0"/>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润投咨询：0-5%</w:t>
                  </w:r>
                </w:p>
                <w:p>
                  <w:pPr>
                    <w:widowControl/>
                    <w:adjustRightInd w:val="0"/>
                    <w:snapToGrid w:val="0"/>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润臻置业：0-5%</w:t>
                  </w:r>
                </w:p>
                <w:p>
                  <w:pPr>
                    <w:widowControl/>
                    <w:adjustRightInd w:val="0"/>
                    <w:snapToGrid w:val="0"/>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合计份额：0-5%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209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写字楼的开发和销售市场</w:t>
                  </w:r>
                </w:p>
              </w:tc>
              <w:tc>
                <w:tcPr>
                  <w:tcW w:w="204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广州市</w:t>
                  </w:r>
                </w:p>
              </w:tc>
              <w:tc>
                <w:tcPr>
                  <w:tcW w:w="336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润投咨询：0-5%</w:t>
                  </w:r>
                </w:p>
                <w:p>
                  <w:pPr>
                    <w:widowControl/>
                    <w:adjustRightInd w:val="0"/>
                    <w:snapToGrid w:val="0"/>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润臻置业：0-5%</w:t>
                  </w:r>
                </w:p>
                <w:p>
                  <w:pPr>
                    <w:widowControl/>
                    <w:adjustRightInd w:val="0"/>
                    <w:snapToGrid w:val="0"/>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合计份额：0-5%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209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房屋建筑工程施工服务市场</w:t>
                  </w:r>
                </w:p>
              </w:tc>
              <w:tc>
                <w:tcPr>
                  <w:tcW w:w="204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Times New Roman" w:hAnsi="Times New Roman" w:eastAsia="宋体" w:cs="Times New Roman"/>
                      <w:color w:val="000000"/>
                      <w:sz w:val="21"/>
                      <w:szCs w:val="21"/>
                      <w:highlight w:val="none"/>
                      <w:lang w:val="en-US" w:eastAsia="zh-CN" w:bidi="ar-AE"/>
                    </w:rPr>
                  </w:pPr>
                  <w:r>
                    <w:rPr>
                      <w:rFonts w:hint="eastAsia" w:cs="Times New Roman"/>
                      <w:color w:val="000000"/>
                      <w:sz w:val="21"/>
                      <w:szCs w:val="21"/>
                      <w:highlight w:val="none"/>
                      <w:lang w:val="en-US" w:eastAsia="zh-CN" w:bidi="ar-AE"/>
                    </w:rPr>
                    <w:t>中国境内</w:t>
                  </w:r>
                </w:p>
              </w:tc>
              <w:tc>
                <w:tcPr>
                  <w:tcW w:w="336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广州华梓：0-5%</w:t>
                  </w:r>
                </w:p>
                <w:p>
                  <w:pPr>
                    <w:widowControl/>
                    <w:adjustRightInd w:val="0"/>
                    <w:snapToGrid w:val="0"/>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润投咨询：0-5%</w:t>
                  </w:r>
                </w:p>
                <w:p>
                  <w:pPr>
                    <w:widowControl/>
                    <w:adjustRightInd w:val="0"/>
                    <w:snapToGrid w:val="0"/>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合计份额：0-5%</w:t>
                  </w:r>
                </w:p>
              </w:tc>
            </w:tr>
          </w:tbl>
          <w:p>
            <w:pPr>
              <w:pStyle w:val="3"/>
              <w:adjustRightInd w:val="0"/>
              <w:snapToGrid w:val="0"/>
              <w:spacing w:after="0" w:line="240" w:lineRule="auto"/>
              <w:rPr>
                <w:rFonts w:hint="default" w:ascii="Times New Roman" w:hAnsi="Times New Roman" w:cs="Times New Roman"/>
                <w:bCs/>
                <w:color w:val="000000"/>
                <w:sz w:val="21"/>
                <w:szCs w:val="21"/>
                <w:highlight w:val="none"/>
                <w:lang w:val="en-GB" w:eastAsia="zh-CN"/>
              </w:rPr>
            </w:pPr>
          </w:p>
          <w:p>
            <w:pPr>
              <w:pStyle w:val="3"/>
              <w:adjustRightInd w:val="0"/>
              <w:snapToGrid w:val="0"/>
              <w:spacing w:after="0" w:line="240" w:lineRule="auto"/>
              <w:rPr>
                <w:rFonts w:hint="default" w:ascii="Times New Roman" w:hAnsi="Times New Roman" w:cs="Times New Roman"/>
                <w:b/>
                <w:color w:val="000000"/>
                <w:sz w:val="21"/>
                <w:szCs w:val="21"/>
                <w:highlight w:val="none"/>
                <w:lang w:val="en-GB" w:eastAsia="zh-CN"/>
              </w:rPr>
            </w:pPr>
            <w:r>
              <w:rPr>
                <w:rFonts w:hint="default" w:ascii="Times New Roman" w:hAnsi="Times New Roman" w:cs="Times New Roman"/>
                <w:b/>
                <w:color w:val="000000"/>
                <w:sz w:val="21"/>
                <w:szCs w:val="21"/>
                <w:highlight w:val="none"/>
                <w:lang w:val="en-GB" w:eastAsia="zh-CN"/>
              </w:rPr>
              <w:t>纵向关联：</w:t>
            </w:r>
          </w:p>
          <w:tbl>
            <w:tblPr>
              <w:tblStyle w:val="5"/>
              <w:tblW w:w="7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1"/>
              <w:gridCol w:w="2044"/>
              <w:gridCol w:w="3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09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相关商品市场</w:t>
                  </w:r>
                </w:p>
              </w:tc>
              <w:tc>
                <w:tcPr>
                  <w:tcW w:w="204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相关地域市场</w:t>
                  </w:r>
                </w:p>
              </w:tc>
              <w:tc>
                <w:tcPr>
                  <w:tcW w:w="336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2022年市场份额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209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上游：房屋建筑工程施工服务市场</w:t>
                  </w:r>
                </w:p>
              </w:tc>
              <w:tc>
                <w:tcPr>
                  <w:tcW w:w="204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中国境内</w:t>
                  </w:r>
                </w:p>
              </w:tc>
              <w:tc>
                <w:tcPr>
                  <w:tcW w:w="336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rPr>
                      <w:rFonts w:hint="eastAsia" w:ascii="Times New Roman" w:hAnsi="Times New Roman" w:eastAsia="宋体" w:cs="Times New Roman"/>
                      <w:color w:val="000000"/>
                      <w:sz w:val="21"/>
                      <w:szCs w:val="21"/>
                      <w:highlight w:val="none"/>
                      <w:lang w:eastAsia="zh-CN" w:bidi="ar-AE"/>
                    </w:rPr>
                  </w:pPr>
                  <w:r>
                    <w:rPr>
                      <w:rFonts w:hint="eastAsia" w:cs="Times New Roman"/>
                      <w:color w:val="000000"/>
                      <w:sz w:val="21"/>
                      <w:szCs w:val="21"/>
                      <w:highlight w:val="none"/>
                      <w:lang w:val="en-US" w:eastAsia="zh-CN" w:bidi="ar-AE"/>
                    </w:rPr>
                    <w:t>如上所述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209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下游：商品住宅的开发和销售市场、写字楼的开发和销售市场</w:t>
                  </w:r>
                </w:p>
              </w:tc>
              <w:tc>
                <w:tcPr>
                  <w:tcW w:w="204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广州市</w:t>
                  </w:r>
                </w:p>
              </w:tc>
              <w:tc>
                <w:tcPr>
                  <w:tcW w:w="336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rPr>
                      <w:rFonts w:hint="default" w:ascii="Times New Roman" w:hAnsi="Times New Roman" w:cs="Times New Roman"/>
                      <w:color w:val="000000"/>
                      <w:sz w:val="21"/>
                      <w:szCs w:val="21"/>
                      <w:highlight w:val="none"/>
                      <w:lang w:bidi="ar-AE"/>
                    </w:rPr>
                  </w:pPr>
                  <w:r>
                    <w:rPr>
                      <w:rFonts w:hint="default" w:ascii="Times New Roman" w:hAnsi="Times New Roman" w:cs="Times New Roman"/>
                      <w:color w:val="000000"/>
                      <w:sz w:val="21"/>
                      <w:szCs w:val="21"/>
                      <w:highlight w:val="none"/>
                      <w:lang w:bidi="ar-AE"/>
                    </w:rPr>
                    <w:t>如上所述</w:t>
                  </w:r>
                </w:p>
              </w:tc>
            </w:tr>
          </w:tbl>
          <w:p>
            <w:pPr>
              <w:pStyle w:val="3"/>
              <w:adjustRightInd w:val="0"/>
              <w:snapToGrid w:val="0"/>
              <w:spacing w:after="0" w:line="240" w:lineRule="auto"/>
              <w:rPr>
                <w:rFonts w:hint="default" w:ascii="Times New Roman" w:hAnsi="Times New Roman" w:cs="Times New Roman"/>
                <w:bCs/>
                <w:color w:val="000000"/>
                <w:sz w:val="21"/>
                <w:szCs w:val="21"/>
                <w:highlight w:val="none"/>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4NTY3Zjg3MDRkZTUxYmY0ODYwMzExMGJjZmYwNjYifQ=="/>
  </w:docVars>
  <w:rsids>
    <w:rsidRoot w:val="1FA97730"/>
    <w:rsid w:val="1FA9773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99"/>
  </w:style>
  <w:style w:type="paragraph" w:styleId="3">
    <w:name w:val="Body Text"/>
    <w:basedOn w:val="1"/>
    <w:unhideWhenUsed/>
    <w:qFormat/>
    <w:uiPriority w:val="99"/>
    <w:pPr>
      <w:spacing w:after="120"/>
    </w:pPr>
  </w:style>
  <w:style w:type="paragraph" w:styleId="4">
    <w:name w:val="Body Text First Indent"/>
    <w:basedOn w:val="3"/>
    <w:qFormat/>
    <w:uiPriority w:val="0"/>
    <w:pPr>
      <w:ind w:firstLine="420" w:firstLineChars="1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其他省直机关单位</Company>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2023-10-12T08:49:00Z</dcterms:created>
  <dc:creator>胡翌婧</dc:creator>
  <cp:lastModifiedBy>胡翌婧</cp:lastModifiedBy>
  <dcterms:modified xsi:type="dcterms:W3CDTF">2023-10-12T08:49:37Z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987EBCF4C1004BC98258087A26F9E317_11</vt:lpwstr>
  </property>
</Properties>
</file>