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bCs/>
          <w:sz w:val="36"/>
          <w:szCs w:val="36"/>
          <w:lang w:val="en-US" w:eastAsia="zh-CN"/>
        </w:rPr>
      </w:pPr>
      <w:r>
        <w:rPr>
          <w:rFonts w:ascii="黑体" w:hAnsi="黑体" w:eastAsia="黑体" w:cs="黑体"/>
          <w:bCs/>
          <w:sz w:val="36"/>
          <w:szCs w:val="36"/>
        </w:rPr>
        <w:t>经营者集中简易案件公示表</w:t>
      </w:r>
    </w:p>
    <w:tbl>
      <w:tblPr>
        <w:tblStyle w:val="4"/>
        <w:tblW w:w="96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40"/>
        <w:gridCol w:w="1607"/>
        <w:gridCol w:w="60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6" w:hRule="atLeast"/>
          <w:jc w:val="center"/>
        </w:trPr>
        <w:tc>
          <w:tcPr>
            <w:tcW w:w="1940" w:type="dxa"/>
            <w:shd w:val="clear" w:color="auto" w:fill="D9D9D9"/>
            <w:noWrap w:val="0"/>
            <w:vAlign w:val="center"/>
          </w:tcPr>
          <w:p>
            <w:pPr>
              <w:pStyle w:val="3"/>
              <w:keepNext w:val="0"/>
              <w:keepLines w:val="0"/>
              <w:pageBreakBefore w:val="0"/>
              <w:kinsoku/>
              <w:wordWrap/>
              <w:overflowPunct/>
              <w:topLinePunct w:val="0"/>
              <w:autoSpaceDE/>
              <w:autoSpaceDN/>
              <w:bidi w:val="0"/>
              <w:adjustRightInd w:val="0"/>
              <w:snapToGrid w:val="0"/>
              <w:spacing w:after="0" w:line="240" w:lineRule="auto"/>
              <w:jc w:val="both"/>
              <w:textAlignment w:val="auto"/>
              <w:rPr>
                <w:rFonts w:hint="eastAsia" w:ascii="宋体" w:hAnsi="宋体" w:eastAsia="宋体" w:cs="宋体"/>
                <w:sz w:val="21"/>
                <w:szCs w:val="21"/>
                <w:lang w:val="en-US"/>
              </w:rPr>
            </w:pPr>
            <w:bookmarkStart w:id="0" w:name="_GoBack"/>
            <w:r>
              <w:rPr>
                <w:rFonts w:hint="eastAsia" w:ascii="宋体" w:hAnsi="宋体" w:eastAsia="宋体" w:cs="宋体"/>
                <w:b w:val="0"/>
                <w:bCs/>
                <w:color w:val="000000"/>
                <w:sz w:val="21"/>
                <w:szCs w:val="21"/>
                <w:lang w:val="en-GB"/>
              </w:rPr>
              <w:t>案件名称</w:t>
            </w:r>
          </w:p>
        </w:tc>
        <w:tc>
          <w:tcPr>
            <w:tcW w:w="7700" w:type="dxa"/>
            <w:gridSpan w:val="2"/>
            <w:noWrap w:val="0"/>
            <w:vAlign w:val="center"/>
          </w:tcPr>
          <w:p>
            <w:pPr>
              <w:keepNext w:val="0"/>
              <w:keepLines w:val="0"/>
              <w:pageBreakBefore w:val="0"/>
              <w:kinsoku/>
              <w:wordWrap/>
              <w:overflowPunct/>
              <w:topLinePunct w:val="0"/>
              <w:autoSpaceDE/>
              <w:autoSpaceDN/>
              <w:bidi w:val="0"/>
              <w:adjustRightInd w:val="0"/>
              <w:snapToGrid w:val="0"/>
              <w:spacing w:after="0" w:line="240" w:lineRule="auto"/>
              <w:jc w:val="both"/>
              <w:textAlignment w:val="auto"/>
              <w:rPr>
                <w:rFonts w:hint="eastAsia" w:ascii="宋体" w:hAnsi="宋体" w:eastAsia="宋体" w:cs="宋体"/>
                <w:sz w:val="21"/>
                <w:szCs w:val="21"/>
                <w:lang w:val="en-US"/>
              </w:rPr>
            </w:pPr>
            <w:r>
              <w:rPr>
                <w:rFonts w:hint="eastAsia" w:ascii="宋体" w:hAnsi="宋体" w:eastAsia="宋体" w:cs="宋体"/>
                <w:b w:val="0"/>
                <w:bCs/>
                <w:color w:val="000000"/>
                <w:sz w:val="21"/>
                <w:szCs w:val="21"/>
                <w:lang w:val="en-US" w:eastAsia="zh-CN"/>
              </w:rPr>
              <w:t>广州智都投资控股集团有限公司收购广东粤进电力发展有限公司股权案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1" w:hRule="atLeast"/>
          <w:jc w:val="center"/>
        </w:trPr>
        <w:tc>
          <w:tcPr>
            <w:tcW w:w="1940" w:type="dxa"/>
            <w:shd w:val="clear" w:color="auto" w:fill="D9D9D9"/>
            <w:noWrap w:val="0"/>
            <w:vAlign w:val="center"/>
          </w:tcPr>
          <w:p>
            <w:pPr>
              <w:pStyle w:val="3"/>
              <w:keepNext w:val="0"/>
              <w:keepLines w:val="0"/>
              <w:pageBreakBefore w:val="0"/>
              <w:kinsoku/>
              <w:wordWrap/>
              <w:overflowPunct/>
              <w:topLinePunct w:val="0"/>
              <w:autoSpaceDE/>
              <w:autoSpaceDN/>
              <w:bidi w:val="0"/>
              <w:adjustRightInd w:val="0"/>
              <w:snapToGrid w:val="0"/>
              <w:spacing w:after="0" w:line="240" w:lineRule="auto"/>
              <w:jc w:val="both"/>
              <w:textAlignment w:val="auto"/>
              <w:rPr>
                <w:rFonts w:hint="eastAsia" w:ascii="宋体" w:hAnsi="宋体" w:eastAsia="宋体" w:cs="宋体"/>
                <w:sz w:val="21"/>
                <w:szCs w:val="21"/>
                <w:lang w:val="en-US"/>
              </w:rPr>
            </w:pPr>
            <w:r>
              <w:rPr>
                <w:rFonts w:hint="eastAsia" w:ascii="宋体" w:hAnsi="宋体" w:eastAsia="宋体" w:cs="宋体"/>
                <w:b w:val="0"/>
                <w:bCs/>
                <w:color w:val="000000"/>
                <w:sz w:val="21"/>
                <w:szCs w:val="21"/>
                <w:lang w:val="en-GB" w:eastAsia="zh-CN"/>
              </w:rPr>
              <w:t>交易概况（限200字内）</w:t>
            </w:r>
          </w:p>
        </w:tc>
        <w:tc>
          <w:tcPr>
            <w:tcW w:w="7700"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jc w:val="both"/>
              <w:textAlignment w:val="auto"/>
              <w:rPr>
                <w:rFonts w:hint="eastAsia" w:ascii="宋体" w:hAnsi="宋体" w:eastAsia="宋体" w:cs="宋体"/>
                <w:sz w:val="21"/>
                <w:szCs w:val="21"/>
                <w:lang w:val="en-US"/>
              </w:rPr>
            </w:pPr>
            <w:r>
              <w:rPr>
                <w:rFonts w:hint="eastAsia" w:ascii="宋体" w:hAnsi="宋体" w:eastAsia="宋体" w:cs="宋体"/>
                <w:b w:val="0"/>
                <w:bCs/>
                <w:color w:val="000000"/>
                <w:sz w:val="21"/>
                <w:szCs w:val="21"/>
                <w:lang w:val="en-US" w:eastAsia="zh-CN"/>
              </w:rPr>
              <w:t>广州智都投资控股集团有限公司（“智都集团”）与中山市电力实业发展有限公司（“中山实业”）</w:t>
            </w:r>
            <w:r>
              <w:rPr>
                <w:rFonts w:hint="eastAsia" w:ascii="宋体" w:hAnsi="宋体" w:eastAsia="宋体" w:cs="宋体"/>
                <w:kern w:val="0"/>
                <w:sz w:val="21"/>
                <w:szCs w:val="21"/>
                <w:lang w:eastAsia="zh-CN"/>
              </w:rPr>
              <w:t>签署协议，</w:t>
            </w:r>
            <w:r>
              <w:rPr>
                <w:rFonts w:hint="eastAsia" w:ascii="宋体" w:hAnsi="宋体" w:eastAsia="宋体" w:cs="宋体"/>
                <w:b w:val="0"/>
                <w:bCs/>
                <w:color w:val="000000"/>
                <w:sz w:val="21"/>
                <w:szCs w:val="21"/>
                <w:lang w:val="en-US" w:eastAsia="zh-CN"/>
              </w:rPr>
              <w:t>智都集团收购广东粤进电力发展有限公司（“粤进公司”）51%股权。粤进公司主要从事电力工程施工业务。</w:t>
            </w:r>
            <w:r>
              <w:rPr>
                <w:rFonts w:hint="eastAsia" w:ascii="宋体" w:hAnsi="宋体" w:eastAsia="宋体" w:cs="宋体"/>
                <w:kern w:val="0"/>
                <w:sz w:val="21"/>
                <w:szCs w:val="21"/>
                <w:lang w:eastAsia="zh-CN"/>
              </w:rPr>
              <w:t>交易前，</w:t>
            </w:r>
            <w:r>
              <w:rPr>
                <w:rFonts w:hint="eastAsia" w:ascii="宋体" w:hAnsi="宋体" w:eastAsia="宋体" w:cs="宋体"/>
                <w:b w:val="0"/>
                <w:bCs/>
                <w:color w:val="000000"/>
                <w:sz w:val="21"/>
                <w:szCs w:val="21"/>
                <w:lang w:val="en-US" w:eastAsia="zh-CN"/>
              </w:rPr>
              <w:t>中山实业</w:t>
            </w:r>
            <w:r>
              <w:rPr>
                <w:rFonts w:hint="eastAsia" w:ascii="宋体" w:hAnsi="宋体" w:eastAsia="宋体" w:cs="宋体"/>
                <w:kern w:val="0"/>
                <w:sz w:val="21"/>
                <w:szCs w:val="21"/>
                <w:lang w:val="en-US" w:eastAsia="zh-CN"/>
              </w:rPr>
              <w:t>持有</w:t>
            </w:r>
            <w:r>
              <w:rPr>
                <w:rFonts w:hint="eastAsia" w:ascii="宋体" w:hAnsi="宋体" w:eastAsia="宋体" w:cs="宋体"/>
                <w:b w:val="0"/>
                <w:bCs/>
                <w:color w:val="000000"/>
                <w:sz w:val="21"/>
                <w:szCs w:val="21"/>
                <w:lang w:val="en-US" w:eastAsia="zh-CN"/>
              </w:rPr>
              <w:t>粤进公司100</w:t>
            </w:r>
            <w:r>
              <w:rPr>
                <w:rFonts w:hint="eastAsia" w:ascii="宋体" w:hAnsi="宋体" w:eastAsia="宋体" w:cs="宋体"/>
                <w:kern w:val="0"/>
                <w:sz w:val="21"/>
                <w:szCs w:val="21"/>
                <w:lang w:eastAsia="zh-CN"/>
              </w:rPr>
              <w:t>%的</w:t>
            </w:r>
            <w:r>
              <w:rPr>
                <w:rFonts w:hint="eastAsia" w:ascii="宋体" w:hAnsi="宋体" w:eastAsia="宋体" w:cs="宋体"/>
                <w:kern w:val="0"/>
                <w:sz w:val="21"/>
                <w:szCs w:val="21"/>
                <w:lang w:val="en-US" w:eastAsia="zh-CN"/>
              </w:rPr>
              <w:t>股权</w:t>
            </w:r>
            <w:r>
              <w:rPr>
                <w:rFonts w:hint="eastAsia" w:ascii="宋体" w:hAnsi="宋体" w:eastAsia="宋体" w:cs="宋体"/>
                <w:kern w:val="0"/>
                <w:sz w:val="21"/>
                <w:szCs w:val="21"/>
                <w:lang w:eastAsia="zh-CN"/>
              </w:rPr>
              <w:t>，单独控制</w:t>
            </w:r>
            <w:r>
              <w:rPr>
                <w:rFonts w:hint="eastAsia" w:ascii="宋体" w:hAnsi="宋体" w:eastAsia="宋体" w:cs="宋体"/>
                <w:b w:val="0"/>
                <w:bCs/>
                <w:color w:val="000000"/>
                <w:sz w:val="21"/>
                <w:szCs w:val="21"/>
                <w:lang w:val="en-US" w:eastAsia="zh-CN"/>
              </w:rPr>
              <w:t>粤进公司</w:t>
            </w:r>
            <w:r>
              <w:rPr>
                <w:rFonts w:hint="eastAsia" w:ascii="宋体" w:hAnsi="宋体" w:eastAsia="宋体" w:cs="宋体"/>
                <w:kern w:val="0"/>
                <w:sz w:val="21"/>
                <w:szCs w:val="21"/>
                <w:lang w:eastAsia="zh-CN"/>
              </w:rPr>
              <w:t>。交易后，</w:t>
            </w:r>
            <w:r>
              <w:rPr>
                <w:rFonts w:hint="eastAsia" w:ascii="宋体" w:hAnsi="宋体" w:eastAsia="宋体" w:cs="宋体"/>
                <w:b w:val="0"/>
                <w:bCs/>
                <w:color w:val="000000"/>
                <w:sz w:val="21"/>
                <w:szCs w:val="21"/>
                <w:lang w:val="en-US" w:eastAsia="zh-CN"/>
              </w:rPr>
              <w:t>智都集团</w:t>
            </w:r>
            <w:r>
              <w:rPr>
                <w:rFonts w:hint="eastAsia" w:ascii="宋体" w:hAnsi="宋体" w:eastAsia="宋体" w:cs="宋体"/>
                <w:kern w:val="0"/>
                <w:sz w:val="21"/>
                <w:szCs w:val="21"/>
                <w:lang w:eastAsia="zh-CN"/>
              </w:rPr>
              <w:t>将持有</w:t>
            </w:r>
            <w:r>
              <w:rPr>
                <w:rFonts w:hint="eastAsia" w:ascii="宋体" w:hAnsi="宋体" w:eastAsia="宋体" w:cs="宋体"/>
                <w:b w:val="0"/>
                <w:bCs/>
                <w:color w:val="000000"/>
                <w:sz w:val="21"/>
                <w:szCs w:val="21"/>
                <w:lang w:val="en-US" w:eastAsia="zh-CN"/>
              </w:rPr>
              <w:t>粤进公司</w:t>
            </w:r>
            <w:r>
              <w:rPr>
                <w:rFonts w:hint="eastAsia" w:ascii="宋体" w:hAnsi="宋体" w:eastAsia="宋体" w:cs="宋体"/>
                <w:kern w:val="0"/>
                <w:sz w:val="21"/>
                <w:szCs w:val="21"/>
                <w:lang w:val="en-US" w:eastAsia="zh-CN"/>
              </w:rPr>
              <w:t>51</w:t>
            </w:r>
            <w:r>
              <w:rPr>
                <w:rFonts w:hint="eastAsia" w:ascii="宋体" w:hAnsi="宋体" w:eastAsia="宋体" w:cs="宋体"/>
                <w:kern w:val="0"/>
                <w:sz w:val="21"/>
                <w:szCs w:val="21"/>
                <w:lang w:eastAsia="zh-CN"/>
              </w:rPr>
              <w:t>%的</w:t>
            </w:r>
            <w:r>
              <w:rPr>
                <w:rFonts w:hint="eastAsia" w:ascii="宋体" w:hAnsi="宋体" w:eastAsia="宋体" w:cs="宋体"/>
                <w:kern w:val="0"/>
                <w:sz w:val="21"/>
                <w:szCs w:val="21"/>
                <w:lang w:val="en-US" w:eastAsia="zh-CN"/>
              </w:rPr>
              <w:t>股权</w:t>
            </w:r>
            <w:r>
              <w:rPr>
                <w:rFonts w:hint="eastAsia" w:ascii="宋体" w:hAnsi="宋体" w:eastAsia="宋体" w:cs="宋体"/>
                <w:kern w:val="0"/>
                <w:sz w:val="21"/>
                <w:szCs w:val="21"/>
                <w:lang w:eastAsia="zh-CN"/>
              </w:rPr>
              <w:t>，</w:t>
            </w:r>
            <w:r>
              <w:rPr>
                <w:rFonts w:hint="eastAsia" w:ascii="宋体" w:hAnsi="宋体" w:eastAsia="宋体" w:cs="宋体"/>
                <w:b w:val="0"/>
                <w:bCs/>
                <w:color w:val="000000"/>
                <w:sz w:val="21"/>
                <w:szCs w:val="21"/>
                <w:lang w:val="en-US" w:eastAsia="zh-CN"/>
              </w:rPr>
              <w:t>智都集团、中山实业共同控制粤进公司</w:t>
            </w:r>
            <w:r>
              <w:rPr>
                <w:rFonts w:hint="eastAsia" w:ascii="宋体" w:hAnsi="宋体" w:eastAsia="宋体" w:cs="宋体"/>
                <w:kern w:val="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jc w:val="center"/>
        </w:trPr>
        <w:tc>
          <w:tcPr>
            <w:tcW w:w="1940" w:type="dxa"/>
            <w:vMerge w:val="restart"/>
            <w:shd w:val="clear" w:color="auto" w:fill="D9D9D9"/>
            <w:noWrap w:val="0"/>
            <w:vAlign w:val="center"/>
          </w:tcPr>
          <w:p>
            <w:pPr>
              <w:pStyle w:val="3"/>
              <w:keepNext w:val="0"/>
              <w:keepLines w:val="0"/>
              <w:pageBreakBefore w:val="0"/>
              <w:kinsoku/>
              <w:wordWrap/>
              <w:overflowPunct/>
              <w:topLinePunct w:val="0"/>
              <w:autoSpaceDE/>
              <w:autoSpaceDN/>
              <w:bidi w:val="0"/>
              <w:adjustRightInd w:val="0"/>
              <w:snapToGrid w:val="0"/>
              <w:spacing w:after="0" w:line="240" w:lineRule="auto"/>
              <w:jc w:val="both"/>
              <w:textAlignment w:val="auto"/>
              <w:rPr>
                <w:rFonts w:hint="eastAsia" w:ascii="宋体" w:hAnsi="宋体" w:eastAsia="宋体" w:cs="宋体"/>
                <w:sz w:val="21"/>
                <w:szCs w:val="21"/>
                <w:lang w:val="en-US"/>
              </w:rPr>
            </w:pPr>
            <w:r>
              <w:rPr>
                <w:rFonts w:hint="eastAsia" w:ascii="宋体" w:hAnsi="宋体" w:eastAsia="宋体" w:cs="宋体"/>
                <w:b w:val="0"/>
                <w:bCs/>
                <w:color w:val="000000"/>
                <w:sz w:val="21"/>
                <w:szCs w:val="21"/>
                <w:lang w:val="en-GB" w:eastAsia="zh-CN"/>
              </w:rPr>
              <w:t>参与集中的经营者简介</w:t>
            </w:r>
          </w:p>
        </w:tc>
        <w:tc>
          <w:tcPr>
            <w:tcW w:w="1607" w:type="dxa"/>
            <w:noWrap w:val="0"/>
            <w:vAlign w:val="center"/>
          </w:tcPr>
          <w:p>
            <w:pPr>
              <w:pStyle w:val="3"/>
              <w:keepNext w:val="0"/>
              <w:keepLines w:val="0"/>
              <w:pageBreakBefore w:val="0"/>
              <w:kinsoku/>
              <w:wordWrap/>
              <w:overflowPunct/>
              <w:topLinePunct w:val="0"/>
              <w:autoSpaceDE/>
              <w:autoSpaceDN/>
              <w:bidi w:val="0"/>
              <w:adjustRightInd w:val="0"/>
              <w:snapToGrid w:val="0"/>
              <w:spacing w:after="0" w:line="240" w:lineRule="auto"/>
              <w:jc w:val="both"/>
              <w:textAlignment w:val="auto"/>
              <w:rPr>
                <w:rFonts w:hint="eastAsia" w:ascii="宋体" w:hAnsi="宋体" w:eastAsia="宋体" w:cs="宋体"/>
                <w:sz w:val="21"/>
                <w:szCs w:val="21"/>
                <w:lang w:eastAsia="zh-CN"/>
              </w:rPr>
            </w:pPr>
            <w:r>
              <w:rPr>
                <w:rFonts w:hint="eastAsia" w:ascii="宋体" w:hAnsi="宋体" w:eastAsia="宋体" w:cs="宋体"/>
                <w:b w:val="0"/>
                <w:bCs/>
                <w:color w:val="000000"/>
                <w:sz w:val="21"/>
                <w:szCs w:val="21"/>
                <w:lang w:val="en-US" w:eastAsia="zh-CN"/>
              </w:rPr>
              <w:t>1.</w:t>
            </w:r>
            <w:r>
              <w:rPr>
                <w:rFonts w:hint="eastAsia" w:ascii="宋体" w:hAnsi="宋体" w:eastAsia="宋体" w:cs="宋体"/>
                <w:b w:val="0"/>
                <w:bCs/>
                <w:color w:val="000000"/>
                <w:sz w:val="21"/>
                <w:szCs w:val="21"/>
                <w:lang w:val="en-US" w:eastAsia="zh-CN" w:bidi="ar-AE"/>
              </w:rPr>
              <w:t>智都</w:t>
            </w:r>
            <w:r>
              <w:rPr>
                <w:rFonts w:hint="eastAsia" w:ascii="宋体" w:hAnsi="宋体" w:eastAsia="宋体" w:cs="宋体"/>
                <w:b w:val="0"/>
                <w:bCs/>
                <w:color w:val="000000"/>
                <w:sz w:val="21"/>
                <w:szCs w:val="21"/>
                <w:lang w:val="en-US" w:eastAsia="zh-CN"/>
              </w:rPr>
              <w:t>集团</w:t>
            </w:r>
          </w:p>
        </w:tc>
        <w:tc>
          <w:tcPr>
            <w:tcW w:w="6093" w:type="dxa"/>
            <w:noWrap w:val="0"/>
            <w:vAlign w:val="center"/>
          </w:tcPr>
          <w:p>
            <w:pPr>
              <w:keepNext w:val="0"/>
              <w:keepLines w:val="0"/>
              <w:pageBreakBefore w:val="0"/>
              <w:kinsoku/>
              <w:wordWrap/>
              <w:overflowPunct/>
              <w:topLinePunct w:val="0"/>
              <w:autoSpaceDE/>
              <w:autoSpaceDN/>
              <w:bidi w:val="0"/>
              <w:adjustRightInd w:val="0"/>
              <w:snapToGrid w:val="0"/>
              <w:spacing w:after="0" w:line="240" w:lineRule="auto"/>
              <w:textAlignment w:val="auto"/>
              <w:rPr>
                <w:rFonts w:hint="eastAsia" w:ascii="宋体" w:hAnsi="宋体" w:eastAsia="宋体" w:cs="宋体"/>
                <w:b w:val="0"/>
                <w:bCs/>
                <w:color w:val="000000"/>
                <w:sz w:val="21"/>
                <w:szCs w:val="21"/>
                <w:lang w:val="en-US" w:eastAsia="zh-CN" w:bidi="ar-AE"/>
              </w:rPr>
            </w:pPr>
            <w:r>
              <w:rPr>
                <w:rFonts w:hint="eastAsia" w:ascii="宋体" w:hAnsi="宋体" w:eastAsia="宋体" w:cs="宋体"/>
                <w:b w:val="0"/>
                <w:bCs/>
                <w:color w:val="000000"/>
                <w:sz w:val="21"/>
                <w:szCs w:val="21"/>
                <w:lang w:val="en-US" w:eastAsia="zh-CN" w:bidi="ar-AE"/>
              </w:rPr>
              <w:t>智都</w:t>
            </w:r>
            <w:r>
              <w:rPr>
                <w:rFonts w:hint="eastAsia" w:ascii="宋体" w:hAnsi="宋体" w:eastAsia="宋体" w:cs="宋体"/>
                <w:b w:val="0"/>
                <w:bCs/>
                <w:color w:val="000000"/>
                <w:sz w:val="21"/>
                <w:szCs w:val="21"/>
                <w:lang w:val="en-US" w:eastAsia="zh-CN"/>
              </w:rPr>
              <w:t>集团</w:t>
            </w:r>
            <w:r>
              <w:rPr>
                <w:rFonts w:hint="eastAsia" w:ascii="宋体" w:hAnsi="宋体" w:eastAsia="宋体" w:cs="宋体"/>
                <w:b w:val="0"/>
                <w:bCs/>
                <w:color w:val="000000"/>
                <w:sz w:val="21"/>
                <w:szCs w:val="21"/>
                <w:lang w:val="en-US" w:eastAsia="zh-CN" w:bidi="ar-AE"/>
              </w:rPr>
              <w:t>于1994年6月11日成立于中国广东省广州市，主要业务为供应链管理服务、股权投资、图书销售、物业出租、房地产开发等。</w:t>
            </w:r>
          </w:p>
          <w:p>
            <w:pPr>
              <w:pStyle w:val="3"/>
              <w:keepNext w:val="0"/>
              <w:keepLines w:val="0"/>
              <w:pageBreakBefore w:val="0"/>
              <w:numPr>
                <w:ilvl w:val="0"/>
                <w:numId w:val="0"/>
              </w:numPr>
              <w:kinsoku/>
              <w:wordWrap/>
              <w:overflowPunct/>
              <w:topLinePunct w:val="0"/>
              <w:autoSpaceDE/>
              <w:autoSpaceDN/>
              <w:bidi w:val="0"/>
              <w:adjustRightInd w:val="0"/>
              <w:snapToGrid w:val="0"/>
              <w:spacing w:after="0" w:line="240" w:lineRule="auto"/>
              <w:ind w:left="0" w:leftChars="0" w:firstLine="0" w:firstLineChars="0"/>
              <w:textAlignment w:val="auto"/>
              <w:rPr>
                <w:rFonts w:hint="eastAsia" w:ascii="宋体" w:hAnsi="宋体" w:eastAsia="宋体" w:cs="宋体"/>
                <w:sz w:val="21"/>
                <w:szCs w:val="21"/>
              </w:rPr>
            </w:pPr>
            <w:r>
              <w:rPr>
                <w:rFonts w:hint="eastAsia" w:ascii="宋体" w:hAnsi="宋体" w:eastAsia="宋体" w:cs="宋体"/>
                <w:b w:val="0"/>
                <w:bCs/>
                <w:color w:val="000000"/>
                <w:sz w:val="21"/>
                <w:szCs w:val="21"/>
                <w:lang w:val="en-US" w:eastAsia="zh-CN" w:bidi="ar-AE"/>
              </w:rPr>
              <w:t>智都</w:t>
            </w:r>
            <w:r>
              <w:rPr>
                <w:rFonts w:hint="eastAsia" w:ascii="宋体" w:hAnsi="宋体" w:eastAsia="宋体" w:cs="宋体"/>
                <w:b w:val="0"/>
                <w:bCs/>
                <w:color w:val="000000"/>
                <w:sz w:val="21"/>
                <w:szCs w:val="21"/>
                <w:lang w:val="en-US" w:eastAsia="zh-CN"/>
              </w:rPr>
              <w:t>集团</w:t>
            </w:r>
            <w:r>
              <w:rPr>
                <w:rFonts w:hint="eastAsia" w:ascii="宋体" w:hAnsi="宋体" w:eastAsia="宋体" w:cs="宋体"/>
                <w:b w:val="0"/>
                <w:bCs/>
                <w:color w:val="000000"/>
                <w:sz w:val="21"/>
                <w:szCs w:val="21"/>
                <w:lang w:val="en-US" w:eastAsia="zh-CN" w:bidi="ar-AE"/>
              </w:rPr>
              <w:t>是广州市花都区人民政府国有资产监督管理局下属企业。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4" w:hRule="atLeast"/>
          <w:jc w:val="center"/>
        </w:trPr>
        <w:tc>
          <w:tcPr>
            <w:tcW w:w="1940" w:type="dxa"/>
            <w:vMerge w:val="continue"/>
            <w:shd w:val="clear" w:color="auto" w:fill="D9D9D9"/>
            <w:noWrap w:val="0"/>
            <w:vAlign w:val="center"/>
          </w:tcPr>
          <w:p>
            <w:pPr>
              <w:pStyle w:val="3"/>
              <w:keepNext w:val="0"/>
              <w:keepLines w:val="0"/>
              <w:pageBreakBefore w:val="0"/>
              <w:kinsoku/>
              <w:wordWrap/>
              <w:overflowPunct/>
              <w:topLinePunct w:val="0"/>
              <w:autoSpaceDE/>
              <w:autoSpaceDN/>
              <w:bidi w:val="0"/>
              <w:adjustRightInd w:val="0"/>
              <w:snapToGrid w:val="0"/>
              <w:spacing w:after="0" w:line="240" w:lineRule="auto"/>
              <w:jc w:val="both"/>
              <w:textAlignment w:val="auto"/>
              <w:rPr>
                <w:rFonts w:hint="eastAsia" w:ascii="宋体" w:hAnsi="宋体" w:eastAsia="宋体" w:cs="宋体"/>
                <w:sz w:val="21"/>
                <w:szCs w:val="21"/>
                <w:lang w:val="en-US"/>
              </w:rPr>
            </w:pPr>
          </w:p>
        </w:tc>
        <w:tc>
          <w:tcPr>
            <w:tcW w:w="1607" w:type="dxa"/>
            <w:noWrap w:val="0"/>
            <w:vAlign w:val="center"/>
          </w:tcPr>
          <w:p>
            <w:pPr>
              <w:pStyle w:val="3"/>
              <w:keepNext w:val="0"/>
              <w:keepLines w:val="0"/>
              <w:pageBreakBefore w:val="0"/>
              <w:kinsoku/>
              <w:wordWrap/>
              <w:overflowPunct/>
              <w:topLinePunct w:val="0"/>
              <w:autoSpaceDE/>
              <w:autoSpaceDN/>
              <w:bidi w:val="0"/>
              <w:adjustRightInd w:val="0"/>
              <w:snapToGrid w:val="0"/>
              <w:spacing w:after="0" w:line="240" w:lineRule="auto"/>
              <w:jc w:val="both"/>
              <w:textAlignment w:val="auto"/>
              <w:rPr>
                <w:rFonts w:hint="eastAsia" w:ascii="宋体" w:hAnsi="宋体" w:eastAsia="宋体" w:cs="宋体"/>
                <w:b w:val="0"/>
                <w:bCs/>
                <w:color w:val="000000"/>
                <w:sz w:val="21"/>
                <w:szCs w:val="21"/>
                <w:lang w:val="en-GB" w:eastAsia="zh-CN"/>
              </w:rPr>
            </w:pPr>
            <w:r>
              <w:rPr>
                <w:rFonts w:hint="eastAsia" w:ascii="宋体" w:hAnsi="宋体" w:eastAsia="宋体" w:cs="宋体"/>
                <w:b w:val="0"/>
                <w:bCs/>
                <w:color w:val="000000"/>
                <w:sz w:val="21"/>
                <w:szCs w:val="21"/>
                <w:lang w:val="en-US" w:eastAsia="zh-CN"/>
              </w:rPr>
              <w:t>2.中山实业</w:t>
            </w:r>
          </w:p>
          <w:p>
            <w:pPr>
              <w:pStyle w:val="3"/>
              <w:keepNext w:val="0"/>
              <w:keepLines w:val="0"/>
              <w:pageBreakBefore w:val="0"/>
              <w:kinsoku/>
              <w:wordWrap/>
              <w:overflowPunct/>
              <w:topLinePunct w:val="0"/>
              <w:autoSpaceDE/>
              <w:autoSpaceDN/>
              <w:bidi w:val="0"/>
              <w:adjustRightInd w:val="0"/>
              <w:snapToGrid w:val="0"/>
              <w:spacing w:after="0" w:line="240" w:lineRule="auto"/>
              <w:jc w:val="both"/>
              <w:textAlignment w:val="auto"/>
              <w:rPr>
                <w:rFonts w:hint="eastAsia" w:ascii="宋体" w:hAnsi="宋体" w:eastAsia="宋体" w:cs="宋体"/>
                <w:sz w:val="21"/>
                <w:szCs w:val="21"/>
                <w:lang w:eastAsia="zh-CN"/>
              </w:rPr>
            </w:pPr>
          </w:p>
        </w:tc>
        <w:tc>
          <w:tcPr>
            <w:tcW w:w="6093" w:type="dxa"/>
            <w:noWrap w:val="0"/>
            <w:vAlign w:val="center"/>
          </w:tcPr>
          <w:p>
            <w:pPr>
              <w:keepNext w:val="0"/>
              <w:keepLines w:val="0"/>
              <w:pageBreakBefore w:val="0"/>
              <w:kinsoku/>
              <w:wordWrap/>
              <w:overflowPunct/>
              <w:topLinePunct w:val="0"/>
              <w:autoSpaceDE/>
              <w:autoSpaceDN/>
              <w:bidi w:val="0"/>
              <w:adjustRightInd w:val="0"/>
              <w:snapToGrid w:val="0"/>
              <w:spacing w:after="0" w:line="240" w:lineRule="auto"/>
              <w:textAlignment w:val="auto"/>
              <w:rPr>
                <w:rFonts w:hint="eastAsia" w:ascii="宋体" w:hAnsi="宋体" w:eastAsia="宋体" w:cs="宋体"/>
                <w:sz w:val="21"/>
                <w:szCs w:val="21"/>
              </w:rPr>
            </w:pPr>
            <w:r>
              <w:rPr>
                <w:rFonts w:hint="eastAsia" w:ascii="宋体" w:hAnsi="宋体" w:eastAsia="宋体" w:cs="宋体"/>
                <w:b w:val="0"/>
                <w:bCs/>
                <w:color w:val="000000"/>
                <w:sz w:val="21"/>
                <w:szCs w:val="21"/>
                <w:lang w:val="en-US" w:eastAsia="zh-CN" w:bidi="ar-AE"/>
              </w:rPr>
              <w:t>中山实业</w:t>
            </w:r>
            <w:r>
              <w:rPr>
                <w:rFonts w:hint="eastAsia" w:ascii="宋体" w:hAnsi="宋体" w:eastAsia="宋体" w:cs="宋体"/>
                <w:sz w:val="21"/>
                <w:szCs w:val="21"/>
              </w:rPr>
              <w:t>于</w:t>
            </w:r>
            <w:r>
              <w:rPr>
                <w:rFonts w:hint="eastAsia" w:ascii="宋体" w:hAnsi="宋体" w:eastAsia="宋体" w:cs="宋体"/>
                <w:sz w:val="21"/>
                <w:szCs w:val="21"/>
                <w:lang w:val="en-US" w:eastAsia="zh-CN"/>
              </w:rPr>
              <w:t>1993</w:t>
            </w:r>
            <w:r>
              <w:rPr>
                <w:rFonts w:hint="eastAsia" w:ascii="宋体" w:hAnsi="宋体" w:eastAsia="宋体" w:cs="宋体"/>
                <w:sz w:val="21"/>
                <w:szCs w:val="21"/>
              </w:rPr>
              <w:t>年</w:t>
            </w:r>
            <w:r>
              <w:rPr>
                <w:rFonts w:hint="eastAsia" w:ascii="宋体" w:hAnsi="宋体" w:eastAsia="宋体" w:cs="宋体"/>
                <w:sz w:val="21"/>
                <w:szCs w:val="21"/>
                <w:lang w:val="en-US" w:eastAsia="zh-CN"/>
              </w:rPr>
              <w:t>6</w:t>
            </w:r>
            <w:r>
              <w:rPr>
                <w:rFonts w:hint="eastAsia" w:ascii="宋体" w:hAnsi="宋体" w:eastAsia="宋体" w:cs="宋体"/>
                <w:sz w:val="21"/>
                <w:szCs w:val="21"/>
              </w:rPr>
              <w:t>月</w:t>
            </w:r>
            <w:r>
              <w:rPr>
                <w:rFonts w:hint="eastAsia" w:ascii="宋体" w:hAnsi="宋体" w:eastAsia="宋体" w:cs="宋体"/>
                <w:sz w:val="21"/>
                <w:szCs w:val="21"/>
                <w:lang w:val="en-US" w:eastAsia="zh-CN"/>
              </w:rPr>
              <w:t>29</w:t>
            </w:r>
            <w:r>
              <w:rPr>
                <w:rFonts w:hint="eastAsia" w:ascii="宋体" w:hAnsi="宋体" w:eastAsia="宋体" w:cs="宋体"/>
                <w:sz w:val="21"/>
                <w:szCs w:val="21"/>
              </w:rPr>
              <w:t>日</w:t>
            </w:r>
            <w:r>
              <w:rPr>
                <w:rFonts w:hint="eastAsia" w:ascii="宋体" w:hAnsi="宋体" w:eastAsia="宋体" w:cs="宋体"/>
                <w:sz w:val="21"/>
                <w:szCs w:val="21"/>
                <w:lang w:eastAsia="zh-CN"/>
              </w:rPr>
              <w:t>成立于</w:t>
            </w:r>
            <w:r>
              <w:rPr>
                <w:rFonts w:hint="eastAsia" w:ascii="宋体" w:hAnsi="宋体" w:eastAsia="宋体" w:cs="宋体"/>
                <w:b w:val="0"/>
                <w:bCs/>
                <w:color w:val="000000"/>
                <w:sz w:val="21"/>
                <w:szCs w:val="21"/>
                <w:lang w:val="en-US" w:eastAsia="zh-CN" w:bidi="ar-AE"/>
              </w:rPr>
              <w:t>中国广东省中山市</w:t>
            </w:r>
            <w:r>
              <w:rPr>
                <w:rFonts w:hint="eastAsia" w:ascii="宋体" w:hAnsi="宋体" w:eastAsia="宋体" w:cs="宋体"/>
                <w:sz w:val="21"/>
                <w:szCs w:val="21"/>
              </w:rPr>
              <w:t>，</w:t>
            </w:r>
            <w:r>
              <w:rPr>
                <w:rFonts w:hint="eastAsia" w:ascii="宋体" w:hAnsi="宋体" w:eastAsia="宋体" w:cs="宋体"/>
                <w:sz w:val="21"/>
                <w:szCs w:val="21"/>
                <w:lang w:val="en-US" w:eastAsia="zh-CN"/>
              </w:rPr>
              <w:t>主要业务为股权投资管理，</w:t>
            </w:r>
            <w:r>
              <w:rPr>
                <w:rFonts w:hint="eastAsia" w:ascii="宋体" w:hAnsi="宋体" w:eastAsia="宋体" w:cs="宋体"/>
                <w:sz w:val="21"/>
                <w:szCs w:val="21"/>
              </w:rPr>
              <w:t>下属控股企业主要从事电力工程施工、设计、综合能源服务等</w:t>
            </w:r>
            <w:r>
              <w:rPr>
                <w:rFonts w:hint="eastAsia" w:ascii="宋体" w:hAnsi="宋体" w:eastAsia="宋体" w:cs="宋体"/>
                <w:sz w:val="21"/>
                <w:szCs w:val="21"/>
                <w:lang w:val="en-US" w:eastAsia="zh-CN"/>
              </w:rPr>
              <w:t>业务</w:t>
            </w:r>
            <w:r>
              <w:rPr>
                <w:rFonts w:hint="eastAsia" w:ascii="宋体" w:hAnsi="宋体" w:eastAsia="宋体" w:cs="宋体"/>
                <w:sz w:val="21"/>
                <w:szCs w:val="21"/>
              </w:rPr>
              <w:t>。</w:t>
            </w:r>
          </w:p>
          <w:p>
            <w:pPr>
              <w:keepNext w:val="0"/>
              <w:keepLines w:val="0"/>
              <w:pageBreakBefore w:val="0"/>
              <w:kinsoku/>
              <w:wordWrap/>
              <w:overflowPunct/>
              <w:topLinePunct w:val="0"/>
              <w:autoSpaceDE/>
              <w:autoSpaceDN/>
              <w:bidi w:val="0"/>
              <w:adjustRightInd w:val="0"/>
              <w:snapToGrid w:val="0"/>
              <w:spacing w:after="0" w:line="240" w:lineRule="auto"/>
              <w:jc w:val="both"/>
              <w:textAlignment w:val="auto"/>
              <w:rPr>
                <w:rFonts w:hint="eastAsia" w:ascii="宋体" w:hAnsi="宋体" w:eastAsia="宋体" w:cs="宋体"/>
                <w:sz w:val="21"/>
                <w:szCs w:val="21"/>
                <w:lang w:val="en-US" w:eastAsia="zh-CN"/>
              </w:rPr>
            </w:pPr>
            <w:r>
              <w:rPr>
                <w:rFonts w:hint="eastAsia" w:ascii="宋体" w:hAnsi="宋体" w:eastAsia="宋体" w:cs="宋体"/>
                <w:b w:val="0"/>
                <w:bCs/>
                <w:color w:val="000000"/>
                <w:sz w:val="21"/>
                <w:szCs w:val="21"/>
                <w:lang w:val="en-US" w:eastAsia="zh-CN" w:bidi="ar-AE"/>
              </w:rPr>
              <w:t>中山实业</w:t>
            </w:r>
            <w:r>
              <w:rPr>
                <w:rFonts w:hint="eastAsia" w:ascii="宋体" w:hAnsi="宋体" w:eastAsia="宋体" w:cs="宋体"/>
                <w:sz w:val="21"/>
                <w:szCs w:val="21"/>
                <w:lang w:eastAsia="zh-CN"/>
              </w:rPr>
              <w:t>最终控制人为中国南方电网有限责任公司，主要从事南方五省区电力供应、区域电网管理、电力交易与调度业务。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jc w:val="center"/>
        </w:trPr>
        <w:tc>
          <w:tcPr>
            <w:tcW w:w="1940" w:type="dxa"/>
            <w:vMerge w:val="restart"/>
            <w:shd w:val="clear" w:color="auto" w:fill="D9D9D9"/>
            <w:noWrap w:val="0"/>
            <w:vAlign w:val="center"/>
          </w:tcPr>
          <w:p>
            <w:pPr>
              <w:pStyle w:val="3"/>
              <w:keepNext w:val="0"/>
              <w:keepLines w:val="0"/>
              <w:pageBreakBefore w:val="0"/>
              <w:kinsoku/>
              <w:wordWrap/>
              <w:overflowPunct/>
              <w:topLinePunct w:val="0"/>
              <w:autoSpaceDE/>
              <w:autoSpaceDN/>
              <w:bidi w:val="0"/>
              <w:adjustRightInd w:val="0"/>
              <w:snapToGrid w:val="0"/>
              <w:spacing w:after="0" w:line="240" w:lineRule="auto"/>
              <w:jc w:val="both"/>
              <w:textAlignment w:val="auto"/>
              <w:rPr>
                <w:rFonts w:hint="eastAsia" w:ascii="宋体" w:hAnsi="宋体" w:eastAsia="宋体" w:cs="宋体"/>
                <w:sz w:val="21"/>
                <w:szCs w:val="21"/>
                <w:lang w:val="en-US"/>
              </w:rPr>
            </w:pPr>
            <w:r>
              <w:rPr>
                <w:rFonts w:hint="eastAsia" w:ascii="宋体" w:hAnsi="宋体" w:eastAsia="宋体" w:cs="宋体"/>
                <w:b w:val="0"/>
                <w:bCs/>
                <w:color w:val="000000"/>
                <w:sz w:val="21"/>
                <w:szCs w:val="21"/>
                <w:lang w:val="en-GB" w:eastAsia="zh-CN"/>
              </w:rPr>
              <w:t>简易案件理由（可以单选，也可以多选）</w:t>
            </w:r>
          </w:p>
        </w:tc>
        <w:tc>
          <w:tcPr>
            <w:tcW w:w="7700" w:type="dxa"/>
            <w:gridSpan w:val="2"/>
            <w:noWrap w:val="0"/>
            <w:vAlign w:val="center"/>
          </w:tcPr>
          <w:p>
            <w:pPr>
              <w:pStyle w:val="3"/>
              <w:keepNext w:val="0"/>
              <w:keepLines w:val="0"/>
              <w:pageBreakBefore w:val="0"/>
              <w:kinsoku/>
              <w:wordWrap/>
              <w:overflowPunct/>
              <w:topLinePunct w:val="0"/>
              <w:autoSpaceDE/>
              <w:autoSpaceDN/>
              <w:bidi w:val="0"/>
              <w:adjustRightInd w:val="0"/>
              <w:snapToGrid w:val="0"/>
              <w:spacing w:after="0" w:line="240" w:lineRule="auto"/>
              <w:jc w:val="both"/>
              <w:textAlignment w:val="auto"/>
              <w:rPr>
                <w:rFonts w:hint="eastAsia" w:ascii="宋体" w:hAnsi="宋体" w:eastAsia="宋体" w:cs="宋体"/>
                <w:sz w:val="21"/>
                <w:szCs w:val="21"/>
                <w:lang w:val="en-US"/>
              </w:rPr>
            </w:pPr>
            <w:r>
              <w:rPr>
                <w:rFonts w:hint="eastAsia" w:ascii="宋体" w:hAnsi="宋体" w:eastAsia="宋体" w:cs="宋体"/>
                <w:b w:val="0"/>
                <w:bCs/>
                <w:color w:val="000000"/>
                <w:sz w:val="21"/>
                <w:szCs w:val="21"/>
                <w:lang w:val="en-GB" w:eastAsia="zh-CN"/>
              </w:rPr>
              <w:sym w:font="Wingdings" w:char="00A8"/>
            </w:r>
            <w:r>
              <w:rPr>
                <w:rFonts w:hint="eastAsia" w:ascii="宋体" w:hAnsi="宋体" w:eastAsia="宋体" w:cs="宋体"/>
                <w:b w:val="0"/>
                <w:bCs/>
                <w:color w:val="000000"/>
                <w:sz w:val="21"/>
                <w:szCs w:val="21"/>
                <w:lang w:val="en-GB" w:eastAsia="zh-CN"/>
              </w:rPr>
              <w:t xml:space="preserve"> 1、在同一相关市场，所有参与集中的经营者所占市场份额之和小于</w:t>
            </w:r>
            <w:r>
              <w:rPr>
                <w:rFonts w:hint="eastAsia" w:ascii="宋体" w:hAnsi="宋体" w:eastAsia="宋体" w:cs="宋体"/>
                <w:b w:val="0"/>
                <w:bCs/>
                <w:color w:val="000000"/>
                <w:sz w:val="21"/>
                <w:szCs w:val="21"/>
                <w:lang w:eastAsia="zh-CN"/>
              </w:rPr>
              <w:t>15%</w:t>
            </w:r>
            <w:r>
              <w:rPr>
                <w:rFonts w:hint="eastAsia" w:ascii="宋体" w:hAnsi="宋体" w:eastAsia="宋体" w:cs="宋体"/>
                <w:b w:val="0"/>
                <w:bCs/>
                <w:color w:val="000000"/>
                <w:sz w:val="21"/>
                <w:szCs w:val="21"/>
                <w:lang w:val="en-GB"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1940" w:type="dxa"/>
            <w:vMerge w:val="continue"/>
            <w:shd w:val="clear" w:color="auto" w:fill="D9D9D9"/>
            <w:noWrap w:val="0"/>
            <w:vAlign w:val="center"/>
          </w:tcPr>
          <w:p>
            <w:pPr>
              <w:pStyle w:val="3"/>
              <w:keepNext w:val="0"/>
              <w:keepLines w:val="0"/>
              <w:pageBreakBefore w:val="0"/>
              <w:kinsoku/>
              <w:wordWrap/>
              <w:overflowPunct/>
              <w:topLinePunct w:val="0"/>
              <w:autoSpaceDE/>
              <w:autoSpaceDN/>
              <w:bidi w:val="0"/>
              <w:adjustRightInd w:val="0"/>
              <w:snapToGrid w:val="0"/>
              <w:spacing w:after="0" w:line="240" w:lineRule="auto"/>
              <w:jc w:val="both"/>
              <w:textAlignment w:val="auto"/>
              <w:rPr>
                <w:rFonts w:hint="eastAsia" w:ascii="宋体" w:hAnsi="宋体" w:eastAsia="宋体" w:cs="宋体"/>
                <w:sz w:val="21"/>
                <w:szCs w:val="21"/>
                <w:lang w:val="en-US"/>
              </w:rPr>
            </w:pPr>
          </w:p>
        </w:tc>
        <w:tc>
          <w:tcPr>
            <w:tcW w:w="7700" w:type="dxa"/>
            <w:gridSpan w:val="2"/>
            <w:noWrap w:val="0"/>
            <w:vAlign w:val="center"/>
          </w:tcPr>
          <w:p>
            <w:pPr>
              <w:pStyle w:val="3"/>
              <w:keepNext w:val="0"/>
              <w:keepLines w:val="0"/>
              <w:pageBreakBefore w:val="0"/>
              <w:kinsoku/>
              <w:wordWrap/>
              <w:overflowPunct/>
              <w:topLinePunct w:val="0"/>
              <w:autoSpaceDE/>
              <w:autoSpaceDN/>
              <w:bidi w:val="0"/>
              <w:adjustRightInd w:val="0"/>
              <w:snapToGrid w:val="0"/>
              <w:spacing w:after="0" w:line="240" w:lineRule="auto"/>
              <w:jc w:val="both"/>
              <w:textAlignment w:val="auto"/>
              <w:rPr>
                <w:rFonts w:hint="eastAsia" w:ascii="宋体" w:hAnsi="宋体" w:eastAsia="宋体" w:cs="宋体"/>
                <w:sz w:val="21"/>
                <w:szCs w:val="21"/>
                <w:lang w:val="en-US"/>
              </w:rPr>
            </w:pPr>
            <w:r>
              <w:rPr>
                <w:rFonts w:hint="eastAsia" w:ascii="宋体" w:hAnsi="宋体" w:eastAsia="宋体" w:cs="宋体"/>
                <w:b w:val="0"/>
                <w:bCs/>
                <w:color w:val="000000"/>
                <w:sz w:val="21"/>
                <w:szCs w:val="21"/>
                <w:lang w:val="en-GB" w:eastAsia="zh-CN"/>
              </w:rPr>
              <w:sym w:font="Wingdings" w:char="00A8"/>
            </w:r>
            <w:r>
              <w:rPr>
                <w:rFonts w:hint="eastAsia" w:ascii="宋体" w:hAnsi="宋体" w:eastAsia="宋体" w:cs="宋体"/>
                <w:b w:val="0"/>
                <w:bCs/>
                <w:color w:val="000000"/>
                <w:sz w:val="21"/>
                <w:szCs w:val="21"/>
                <w:lang w:val="en-GB" w:eastAsia="zh-CN"/>
              </w:rPr>
              <w:t xml:space="preserve"> 2、存在上下游关系的参与集中的经营者，在上下游市场所占的市场份额均小于</w:t>
            </w:r>
            <w:r>
              <w:rPr>
                <w:rFonts w:hint="eastAsia" w:ascii="宋体" w:hAnsi="宋体" w:eastAsia="宋体" w:cs="宋体"/>
                <w:b w:val="0"/>
                <w:bCs/>
                <w:color w:val="000000"/>
                <w:sz w:val="21"/>
                <w:szCs w:val="21"/>
                <w:lang w:eastAsia="zh-CN"/>
              </w:rPr>
              <w:t>25%</w:t>
            </w:r>
            <w:r>
              <w:rPr>
                <w:rFonts w:hint="eastAsia" w:ascii="宋体" w:hAnsi="宋体" w:eastAsia="宋体" w:cs="宋体"/>
                <w:b w:val="0"/>
                <w:bCs/>
                <w:color w:val="000000"/>
                <w:sz w:val="21"/>
                <w:szCs w:val="21"/>
                <w:lang w:val="en-GB"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940" w:type="dxa"/>
            <w:vMerge w:val="continue"/>
            <w:shd w:val="clear" w:color="auto" w:fill="D9D9D9"/>
            <w:noWrap w:val="0"/>
            <w:vAlign w:val="center"/>
          </w:tcPr>
          <w:p>
            <w:pPr>
              <w:pStyle w:val="3"/>
              <w:keepNext w:val="0"/>
              <w:keepLines w:val="0"/>
              <w:pageBreakBefore w:val="0"/>
              <w:kinsoku/>
              <w:wordWrap/>
              <w:overflowPunct/>
              <w:topLinePunct w:val="0"/>
              <w:autoSpaceDE/>
              <w:autoSpaceDN/>
              <w:bidi w:val="0"/>
              <w:adjustRightInd w:val="0"/>
              <w:snapToGrid w:val="0"/>
              <w:spacing w:after="0" w:line="240" w:lineRule="auto"/>
              <w:jc w:val="both"/>
              <w:textAlignment w:val="auto"/>
              <w:rPr>
                <w:rFonts w:hint="eastAsia" w:ascii="宋体" w:hAnsi="宋体" w:eastAsia="宋体" w:cs="宋体"/>
                <w:sz w:val="21"/>
                <w:szCs w:val="21"/>
                <w:lang w:val="en-US"/>
              </w:rPr>
            </w:pPr>
          </w:p>
        </w:tc>
        <w:tc>
          <w:tcPr>
            <w:tcW w:w="7700" w:type="dxa"/>
            <w:gridSpan w:val="2"/>
            <w:noWrap w:val="0"/>
            <w:vAlign w:val="center"/>
          </w:tcPr>
          <w:p>
            <w:pPr>
              <w:pStyle w:val="3"/>
              <w:keepNext w:val="0"/>
              <w:keepLines w:val="0"/>
              <w:pageBreakBefore w:val="0"/>
              <w:kinsoku/>
              <w:wordWrap/>
              <w:overflowPunct/>
              <w:topLinePunct w:val="0"/>
              <w:autoSpaceDE/>
              <w:autoSpaceDN/>
              <w:bidi w:val="0"/>
              <w:adjustRightInd w:val="0"/>
              <w:snapToGrid w:val="0"/>
              <w:spacing w:after="0" w:line="240" w:lineRule="auto"/>
              <w:jc w:val="both"/>
              <w:textAlignment w:val="auto"/>
              <w:rPr>
                <w:rFonts w:hint="eastAsia" w:ascii="宋体" w:hAnsi="宋体" w:eastAsia="宋体" w:cs="宋体"/>
                <w:sz w:val="21"/>
                <w:szCs w:val="21"/>
                <w:lang w:val="en-US"/>
              </w:rPr>
            </w:pPr>
            <w:r>
              <w:rPr>
                <w:rFonts w:hint="eastAsia" w:ascii="宋体" w:hAnsi="宋体" w:eastAsia="宋体" w:cs="宋体"/>
                <w:b w:val="0"/>
                <w:bCs/>
                <w:color w:val="000000"/>
                <w:sz w:val="21"/>
                <w:szCs w:val="21"/>
                <w:lang w:val="en-GB" w:eastAsia="zh-CN"/>
              </w:rPr>
              <w:sym w:font="Wingdings" w:char="00FE"/>
            </w:r>
            <w:r>
              <w:rPr>
                <w:rFonts w:hint="eastAsia" w:ascii="宋体" w:hAnsi="宋体" w:eastAsia="宋体" w:cs="宋体"/>
                <w:b w:val="0"/>
                <w:bCs/>
                <w:color w:val="000000"/>
                <w:sz w:val="21"/>
                <w:szCs w:val="21"/>
                <w:lang w:val="en-GB" w:eastAsia="zh-CN"/>
              </w:rPr>
              <w:t xml:space="preserve">  3、不在同一相关市场、也不存在上下游关系的参与集中的经营者，在与交易有关的每个市场所占的份额均小于25%。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jc w:val="center"/>
        </w:trPr>
        <w:tc>
          <w:tcPr>
            <w:tcW w:w="1940" w:type="dxa"/>
            <w:vMerge w:val="continue"/>
            <w:shd w:val="clear" w:color="auto" w:fill="D9D9D9"/>
            <w:noWrap w:val="0"/>
            <w:vAlign w:val="center"/>
          </w:tcPr>
          <w:p>
            <w:pPr>
              <w:pStyle w:val="3"/>
              <w:keepNext w:val="0"/>
              <w:keepLines w:val="0"/>
              <w:pageBreakBefore w:val="0"/>
              <w:kinsoku/>
              <w:wordWrap/>
              <w:overflowPunct/>
              <w:topLinePunct w:val="0"/>
              <w:autoSpaceDE/>
              <w:autoSpaceDN/>
              <w:bidi w:val="0"/>
              <w:adjustRightInd w:val="0"/>
              <w:snapToGrid w:val="0"/>
              <w:spacing w:after="0" w:line="240" w:lineRule="auto"/>
              <w:jc w:val="both"/>
              <w:textAlignment w:val="auto"/>
              <w:rPr>
                <w:rFonts w:hint="eastAsia" w:ascii="宋体" w:hAnsi="宋体" w:eastAsia="宋体" w:cs="宋体"/>
                <w:sz w:val="21"/>
                <w:szCs w:val="21"/>
                <w:lang w:val="en-US"/>
              </w:rPr>
            </w:pPr>
          </w:p>
        </w:tc>
        <w:tc>
          <w:tcPr>
            <w:tcW w:w="7700" w:type="dxa"/>
            <w:gridSpan w:val="2"/>
            <w:noWrap w:val="0"/>
            <w:vAlign w:val="center"/>
          </w:tcPr>
          <w:p>
            <w:pPr>
              <w:pStyle w:val="3"/>
              <w:keepNext w:val="0"/>
              <w:keepLines w:val="0"/>
              <w:pageBreakBefore w:val="0"/>
              <w:kinsoku/>
              <w:wordWrap/>
              <w:overflowPunct/>
              <w:topLinePunct w:val="0"/>
              <w:autoSpaceDE/>
              <w:autoSpaceDN/>
              <w:bidi w:val="0"/>
              <w:adjustRightInd w:val="0"/>
              <w:snapToGrid w:val="0"/>
              <w:spacing w:after="0" w:line="240" w:lineRule="auto"/>
              <w:jc w:val="both"/>
              <w:textAlignment w:val="auto"/>
              <w:rPr>
                <w:rFonts w:hint="eastAsia" w:ascii="宋体" w:hAnsi="宋体" w:eastAsia="宋体" w:cs="宋体"/>
                <w:sz w:val="21"/>
                <w:szCs w:val="21"/>
                <w:lang w:val="en-US"/>
              </w:rPr>
            </w:pPr>
            <w:r>
              <w:rPr>
                <w:rFonts w:hint="eastAsia" w:ascii="宋体" w:hAnsi="宋体" w:eastAsia="宋体" w:cs="宋体"/>
                <w:b w:val="0"/>
                <w:bCs/>
                <w:color w:val="000000"/>
                <w:sz w:val="21"/>
                <w:szCs w:val="21"/>
                <w:lang w:val="en-GB" w:eastAsia="zh-CN"/>
              </w:rPr>
              <w:sym w:font="Wingdings" w:char="00A8"/>
            </w:r>
            <w:r>
              <w:rPr>
                <w:rFonts w:hint="eastAsia" w:ascii="宋体" w:hAnsi="宋体" w:eastAsia="宋体" w:cs="宋体"/>
                <w:b w:val="0"/>
                <w:bCs/>
                <w:color w:val="000000"/>
                <w:sz w:val="21"/>
                <w:szCs w:val="21"/>
                <w:lang w:val="en-GB" w:eastAsia="zh-CN"/>
              </w:rPr>
              <w:t xml:space="preserve"> 4、参与集中的经营者在中国境外设立合营企业，合营企业不在中国境内从事经济活动。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1940" w:type="dxa"/>
            <w:vMerge w:val="continue"/>
            <w:shd w:val="clear" w:color="auto" w:fill="D9D9D9"/>
            <w:noWrap w:val="0"/>
            <w:vAlign w:val="center"/>
          </w:tcPr>
          <w:p>
            <w:pPr>
              <w:pStyle w:val="3"/>
              <w:keepNext w:val="0"/>
              <w:keepLines w:val="0"/>
              <w:pageBreakBefore w:val="0"/>
              <w:kinsoku/>
              <w:wordWrap/>
              <w:overflowPunct/>
              <w:topLinePunct w:val="0"/>
              <w:autoSpaceDE/>
              <w:autoSpaceDN/>
              <w:bidi w:val="0"/>
              <w:adjustRightInd w:val="0"/>
              <w:snapToGrid w:val="0"/>
              <w:spacing w:after="0" w:line="240" w:lineRule="auto"/>
              <w:jc w:val="both"/>
              <w:textAlignment w:val="auto"/>
              <w:rPr>
                <w:rFonts w:hint="eastAsia" w:ascii="宋体" w:hAnsi="宋体" w:eastAsia="宋体" w:cs="宋体"/>
                <w:sz w:val="21"/>
                <w:szCs w:val="21"/>
                <w:lang w:val="en-US"/>
              </w:rPr>
            </w:pPr>
          </w:p>
        </w:tc>
        <w:tc>
          <w:tcPr>
            <w:tcW w:w="7700" w:type="dxa"/>
            <w:gridSpan w:val="2"/>
            <w:noWrap w:val="0"/>
            <w:vAlign w:val="center"/>
          </w:tcPr>
          <w:p>
            <w:pPr>
              <w:pStyle w:val="3"/>
              <w:keepNext w:val="0"/>
              <w:keepLines w:val="0"/>
              <w:pageBreakBefore w:val="0"/>
              <w:kinsoku/>
              <w:wordWrap/>
              <w:overflowPunct/>
              <w:topLinePunct w:val="0"/>
              <w:autoSpaceDE/>
              <w:autoSpaceDN/>
              <w:bidi w:val="0"/>
              <w:adjustRightInd w:val="0"/>
              <w:snapToGrid w:val="0"/>
              <w:spacing w:after="0" w:line="240" w:lineRule="auto"/>
              <w:jc w:val="both"/>
              <w:textAlignment w:val="auto"/>
              <w:rPr>
                <w:rFonts w:hint="eastAsia" w:ascii="宋体" w:hAnsi="宋体" w:eastAsia="宋体" w:cs="宋体"/>
                <w:sz w:val="21"/>
                <w:szCs w:val="21"/>
                <w:lang w:val="en-US"/>
              </w:rPr>
            </w:pPr>
            <w:r>
              <w:rPr>
                <w:rFonts w:hint="eastAsia" w:ascii="宋体" w:hAnsi="宋体" w:eastAsia="宋体" w:cs="宋体"/>
                <w:b w:val="0"/>
                <w:bCs/>
                <w:color w:val="000000"/>
                <w:sz w:val="21"/>
                <w:szCs w:val="21"/>
                <w:lang w:val="en-GB" w:eastAsia="zh-CN"/>
              </w:rPr>
              <w:sym w:font="Wingdings" w:char="00A8"/>
            </w:r>
            <w:r>
              <w:rPr>
                <w:rFonts w:hint="eastAsia" w:ascii="宋体" w:hAnsi="宋体" w:eastAsia="宋体" w:cs="宋体"/>
                <w:b w:val="0"/>
                <w:bCs/>
                <w:color w:val="000000"/>
                <w:sz w:val="21"/>
                <w:szCs w:val="21"/>
                <w:lang w:val="en-GB" w:eastAsia="zh-CN"/>
              </w:rPr>
              <w:t xml:space="preserve"> 5、参与集中的经营者收购境外企业股权或资产的，该境外企业不在中国境内从事经济活动。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940" w:type="dxa"/>
            <w:vMerge w:val="continue"/>
            <w:shd w:val="clear" w:color="auto" w:fill="D9D9D9"/>
            <w:noWrap w:val="0"/>
            <w:vAlign w:val="center"/>
          </w:tcPr>
          <w:p>
            <w:pPr>
              <w:pStyle w:val="3"/>
              <w:keepNext w:val="0"/>
              <w:keepLines w:val="0"/>
              <w:pageBreakBefore w:val="0"/>
              <w:kinsoku/>
              <w:wordWrap/>
              <w:overflowPunct/>
              <w:topLinePunct w:val="0"/>
              <w:autoSpaceDE/>
              <w:autoSpaceDN/>
              <w:bidi w:val="0"/>
              <w:adjustRightInd w:val="0"/>
              <w:snapToGrid w:val="0"/>
              <w:spacing w:after="0" w:line="240" w:lineRule="auto"/>
              <w:jc w:val="both"/>
              <w:textAlignment w:val="auto"/>
              <w:rPr>
                <w:rFonts w:hint="eastAsia" w:ascii="宋体" w:hAnsi="宋体" w:eastAsia="宋体" w:cs="宋体"/>
                <w:sz w:val="21"/>
                <w:szCs w:val="21"/>
                <w:lang w:val="en-US"/>
              </w:rPr>
            </w:pPr>
          </w:p>
        </w:tc>
        <w:tc>
          <w:tcPr>
            <w:tcW w:w="7700" w:type="dxa"/>
            <w:gridSpan w:val="2"/>
            <w:noWrap w:val="0"/>
            <w:vAlign w:val="center"/>
          </w:tcPr>
          <w:p>
            <w:pPr>
              <w:pStyle w:val="3"/>
              <w:keepNext w:val="0"/>
              <w:keepLines w:val="0"/>
              <w:pageBreakBefore w:val="0"/>
              <w:kinsoku/>
              <w:wordWrap/>
              <w:overflowPunct/>
              <w:topLinePunct w:val="0"/>
              <w:autoSpaceDE/>
              <w:autoSpaceDN/>
              <w:bidi w:val="0"/>
              <w:adjustRightInd w:val="0"/>
              <w:snapToGrid w:val="0"/>
              <w:spacing w:after="0" w:line="240" w:lineRule="auto"/>
              <w:jc w:val="both"/>
              <w:textAlignment w:val="auto"/>
              <w:rPr>
                <w:rFonts w:hint="eastAsia" w:ascii="宋体" w:hAnsi="宋体" w:eastAsia="宋体" w:cs="宋体"/>
                <w:sz w:val="21"/>
                <w:szCs w:val="21"/>
                <w:lang w:val="en-US"/>
              </w:rPr>
            </w:pPr>
            <w:r>
              <w:rPr>
                <w:rFonts w:hint="eastAsia" w:ascii="宋体" w:hAnsi="宋体" w:eastAsia="宋体" w:cs="宋体"/>
                <w:b w:val="0"/>
                <w:bCs/>
                <w:color w:val="000000"/>
                <w:sz w:val="21"/>
                <w:szCs w:val="21"/>
                <w:lang w:val="en-GB" w:eastAsia="zh-CN"/>
              </w:rPr>
              <w:sym w:font="Wingdings" w:char="00A8"/>
            </w:r>
            <w:r>
              <w:rPr>
                <w:rFonts w:hint="eastAsia" w:ascii="宋体" w:hAnsi="宋体" w:eastAsia="宋体" w:cs="宋体"/>
                <w:b w:val="0"/>
                <w:bCs/>
                <w:color w:val="000000"/>
                <w:sz w:val="21"/>
                <w:szCs w:val="21"/>
                <w:lang w:val="en-GB" w:eastAsia="zh-CN"/>
              </w:rPr>
              <w:t xml:space="preserve"> 6、由两个以上的经营者共同控制的合营企业，通过集中被其中一个或一个以上经营者控制。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0" w:hRule="atLeast"/>
          <w:jc w:val="center"/>
        </w:trPr>
        <w:tc>
          <w:tcPr>
            <w:tcW w:w="1940" w:type="dxa"/>
            <w:shd w:val="clear" w:color="auto" w:fill="D9D9D9"/>
            <w:noWrap w:val="0"/>
            <w:vAlign w:val="center"/>
          </w:tcPr>
          <w:p>
            <w:pPr>
              <w:pStyle w:val="3"/>
              <w:keepNext w:val="0"/>
              <w:keepLines w:val="0"/>
              <w:pageBreakBefore w:val="0"/>
              <w:kinsoku/>
              <w:wordWrap/>
              <w:overflowPunct/>
              <w:topLinePunct w:val="0"/>
              <w:autoSpaceDE/>
              <w:autoSpaceDN/>
              <w:bidi w:val="0"/>
              <w:adjustRightInd w:val="0"/>
              <w:snapToGrid w:val="0"/>
              <w:spacing w:after="0" w:line="240" w:lineRule="auto"/>
              <w:jc w:val="both"/>
              <w:textAlignment w:val="auto"/>
              <w:rPr>
                <w:rFonts w:hint="eastAsia" w:ascii="宋体" w:hAnsi="宋体" w:eastAsia="宋体" w:cs="宋体"/>
                <w:sz w:val="21"/>
                <w:szCs w:val="21"/>
                <w:lang w:val="en-US"/>
              </w:rPr>
            </w:pPr>
            <w:r>
              <w:rPr>
                <w:rFonts w:hint="eastAsia" w:ascii="宋体" w:hAnsi="宋体" w:eastAsia="宋体" w:cs="宋体"/>
                <w:b w:val="0"/>
                <w:bCs/>
                <w:color w:val="000000"/>
                <w:sz w:val="21"/>
                <w:szCs w:val="21"/>
                <w:lang w:val="en-US" w:eastAsia="zh-CN"/>
              </w:rPr>
              <w:t>备注</w:t>
            </w:r>
          </w:p>
        </w:tc>
        <w:tc>
          <w:tcPr>
            <w:tcW w:w="7700" w:type="dxa"/>
            <w:gridSpan w:val="2"/>
            <w:noWrap w:val="0"/>
            <w:vAlign w:val="center"/>
          </w:tcPr>
          <w:p>
            <w:pPr>
              <w:pStyle w:val="3"/>
              <w:keepNext w:val="0"/>
              <w:keepLines w:val="0"/>
              <w:pageBreakBefore w:val="0"/>
              <w:kinsoku/>
              <w:wordWrap/>
              <w:overflowPunct/>
              <w:topLinePunct w:val="0"/>
              <w:autoSpaceDE/>
              <w:autoSpaceDN/>
              <w:bidi w:val="0"/>
              <w:adjustRightInd w:val="0"/>
              <w:snapToGrid w:val="0"/>
              <w:spacing w:after="0" w:line="240" w:lineRule="auto"/>
              <w:jc w:val="both"/>
              <w:textAlignment w:val="auto"/>
              <w:rPr>
                <w:rFonts w:hint="eastAsia" w:ascii="宋体" w:hAnsi="宋体" w:eastAsia="宋体" w:cs="宋体"/>
                <w:b/>
                <w:bCs w:val="0"/>
                <w:color w:val="000000"/>
                <w:sz w:val="21"/>
                <w:szCs w:val="21"/>
                <w:lang w:val="en-GB" w:eastAsia="zh-CN"/>
              </w:rPr>
            </w:pPr>
            <w:r>
              <w:rPr>
                <w:rFonts w:hint="eastAsia" w:ascii="宋体" w:hAnsi="宋体" w:eastAsia="宋体" w:cs="宋体"/>
                <w:b/>
                <w:bCs w:val="0"/>
                <w:color w:val="000000"/>
                <w:sz w:val="21"/>
                <w:szCs w:val="21"/>
                <w:lang w:val="en-US" w:eastAsia="zh-CN"/>
              </w:rPr>
              <w:t>混合集中</w:t>
            </w:r>
            <w:r>
              <w:rPr>
                <w:rFonts w:hint="eastAsia" w:ascii="宋体" w:hAnsi="宋体" w:eastAsia="宋体" w:cs="宋体"/>
                <w:b/>
                <w:bCs w:val="0"/>
                <w:color w:val="000000"/>
                <w:sz w:val="21"/>
                <w:szCs w:val="21"/>
                <w:lang w:val="en-GB" w:eastAsia="zh-CN"/>
              </w:rPr>
              <w:t>：</w:t>
            </w:r>
          </w:p>
          <w:p>
            <w:pPr>
              <w:pStyle w:val="3"/>
              <w:keepNext w:val="0"/>
              <w:keepLines w:val="0"/>
              <w:pageBreakBefore w:val="0"/>
              <w:kinsoku/>
              <w:wordWrap/>
              <w:overflowPunct/>
              <w:topLinePunct w:val="0"/>
              <w:autoSpaceDE/>
              <w:autoSpaceDN/>
              <w:bidi w:val="0"/>
              <w:adjustRightInd w:val="0"/>
              <w:snapToGrid w:val="0"/>
              <w:spacing w:after="0" w:line="240" w:lineRule="auto"/>
              <w:jc w:val="both"/>
              <w:textAlignment w:val="auto"/>
              <w:rPr>
                <w:rFonts w:hint="eastAsia" w:ascii="宋体" w:hAnsi="宋体" w:eastAsia="宋体" w:cs="宋体"/>
                <w:b w:val="0"/>
                <w:bCs/>
                <w:color w:val="000000"/>
                <w:sz w:val="21"/>
                <w:szCs w:val="21"/>
                <w:lang w:val="en-US" w:eastAsia="zh-CN"/>
              </w:rPr>
            </w:pPr>
            <w:r>
              <w:rPr>
                <w:rFonts w:hint="eastAsia" w:ascii="宋体" w:hAnsi="宋体" w:eastAsia="宋体" w:cs="宋体"/>
                <w:b w:val="0"/>
                <w:bCs/>
                <w:color w:val="000000"/>
                <w:sz w:val="21"/>
                <w:szCs w:val="21"/>
                <w:lang w:val="en-US" w:eastAsia="zh-CN"/>
              </w:rPr>
              <w:t>2022年</w:t>
            </w:r>
            <w:r>
              <w:rPr>
                <w:rFonts w:hint="eastAsia" w:ascii="宋体" w:hAnsi="宋体" w:eastAsia="宋体" w:cs="宋体"/>
                <w:b w:val="0"/>
                <w:bCs/>
                <w:color w:val="000000"/>
                <w:sz w:val="21"/>
                <w:szCs w:val="21"/>
                <w:lang w:val="en-GB" w:eastAsia="zh-CN"/>
              </w:rPr>
              <w:t>中国境内</w:t>
            </w:r>
            <w:r>
              <w:rPr>
                <w:rFonts w:hint="eastAsia" w:ascii="宋体" w:hAnsi="宋体" w:eastAsia="宋体" w:cs="宋体"/>
                <w:b w:val="0"/>
                <w:bCs/>
                <w:color w:val="000000"/>
                <w:sz w:val="21"/>
                <w:szCs w:val="21"/>
                <w:lang w:val="en-US" w:eastAsia="zh-CN"/>
              </w:rPr>
              <w:t>输配电工程施工市场:</w:t>
            </w:r>
          </w:p>
          <w:p>
            <w:pPr>
              <w:pStyle w:val="3"/>
              <w:keepNext w:val="0"/>
              <w:keepLines w:val="0"/>
              <w:pageBreakBefore w:val="0"/>
              <w:kinsoku/>
              <w:wordWrap/>
              <w:overflowPunct/>
              <w:topLinePunct w:val="0"/>
              <w:autoSpaceDE/>
              <w:autoSpaceDN/>
              <w:bidi w:val="0"/>
              <w:adjustRightInd w:val="0"/>
              <w:snapToGrid w:val="0"/>
              <w:spacing w:after="0" w:line="240" w:lineRule="auto"/>
              <w:jc w:val="both"/>
              <w:textAlignment w:val="auto"/>
              <w:rPr>
                <w:rFonts w:hint="eastAsia" w:ascii="宋体" w:hAnsi="宋体" w:eastAsia="宋体" w:cs="宋体"/>
                <w:sz w:val="21"/>
                <w:szCs w:val="21"/>
                <w:lang w:val="en-US" w:eastAsia="zh-CN"/>
              </w:rPr>
            </w:pPr>
            <w:r>
              <w:rPr>
                <w:rFonts w:hint="eastAsia" w:ascii="宋体" w:hAnsi="宋体" w:eastAsia="宋体" w:cs="宋体"/>
                <w:b w:val="0"/>
                <w:bCs/>
                <w:color w:val="000000"/>
                <w:sz w:val="21"/>
                <w:szCs w:val="21"/>
                <w:lang w:val="en-US" w:eastAsia="zh-CN"/>
              </w:rPr>
              <w:t>中山实业</w:t>
            </w:r>
            <w:r>
              <w:rPr>
                <w:rFonts w:hint="eastAsia" w:ascii="宋体" w:hAnsi="宋体" w:eastAsia="宋体" w:cs="宋体"/>
                <w:bCs/>
                <w:color w:val="000000"/>
                <w:sz w:val="21"/>
                <w:szCs w:val="21"/>
                <w:lang w:val="en-US" w:eastAsia="zh-CN"/>
              </w:rPr>
              <w:t>（</w:t>
            </w:r>
            <w:r>
              <w:rPr>
                <w:rFonts w:hint="eastAsia" w:ascii="宋体" w:hAnsi="宋体" w:cs="宋体"/>
                <w:bCs/>
                <w:color w:val="000000"/>
                <w:sz w:val="21"/>
                <w:szCs w:val="21"/>
                <w:lang w:val="en-US" w:eastAsia="zh-CN"/>
              </w:rPr>
              <w:t>含粤进公司</w:t>
            </w:r>
            <w:r>
              <w:rPr>
                <w:rFonts w:hint="eastAsia" w:ascii="宋体" w:hAnsi="宋体" w:eastAsia="宋体" w:cs="宋体"/>
                <w:bCs/>
                <w:color w:val="000000"/>
                <w:sz w:val="21"/>
                <w:szCs w:val="21"/>
                <w:lang w:val="en-US" w:eastAsia="zh-CN"/>
              </w:rPr>
              <w:t>）</w:t>
            </w:r>
            <w:r>
              <w:rPr>
                <w:rFonts w:hint="eastAsia" w:ascii="宋体" w:hAnsi="宋体" w:eastAsia="宋体" w:cs="宋体"/>
                <w:b w:val="0"/>
                <w:bCs/>
                <w:color w:val="000000"/>
                <w:sz w:val="21"/>
                <w:szCs w:val="21"/>
                <w:lang w:val="en-US" w:eastAsia="zh-CN"/>
              </w:rPr>
              <w:t>：0-5%</w:t>
            </w:r>
          </w:p>
        </w:tc>
      </w:tr>
      <w:bookmarkEnd w:id="0"/>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Y4NTY3Zjg3MDRkZTUxYmY0ODYwMzExMGJjZmYwNjYifQ=="/>
  </w:docVars>
  <w:rsids>
    <w:rsidRoot w:val="18EE38FF"/>
    <w:rsid w:val="18EE38F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Normal Indent"/>
    <w:basedOn w:val="1"/>
    <w:next w:val="1"/>
    <w:qFormat/>
    <w:uiPriority w:val="99"/>
  </w:style>
  <w:style w:type="paragraph" w:styleId="3">
    <w:name w:val="Body Text"/>
    <w:basedOn w:val="1"/>
    <w:unhideWhenUsed/>
    <w:qFormat/>
    <w:uiPriority w:val="99"/>
    <w:pPr>
      <w:spacing w:after="12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其他省直机关单位</Company>
  <Pages>1</Pages>
  <Words>0</Words>
  <Characters>0</Characters>
  <Lines>0</Lines>
  <Paragraphs>0</Paragraphs>
  <TotalTime>0</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2023-10-12T08:46:00Z</dcterms:created>
  <dc:creator>胡翌婧</dc:creator>
  <cp:lastModifiedBy>胡翌婧</cp:lastModifiedBy>
  <dcterms:modified xsi:type="dcterms:W3CDTF">2023-10-12T08:48:33Z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E5B9B98BE7D344BBAE5DF89B48E14068_11</vt:lpwstr>
  </property>
</Properties>
</file>