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黑体" w:cs="Times New Roman"/>
          <w:b/>
          <w:color w:val="000000"/>
          <w:sz w:val="22"/>
          <w:szCs w:val="22"/>
          <w:lang w:val="en-US" w:eastAsia="zh-CN"/>
        </w:rPr>
      </w:pPr>
      <w:r>
        <w:rPr>
          <w:rFonts w:ascii="黑体" w:hAnsi="黑体" w:eastAsia="黑体" w:cs="黑体"/>
          <w:bCs/>
          <w:sz w:val="36"/>
          <w:szCs w:val="36"/>
        </w:rPr>
        <w:t>经营者集中简易案件公示表</w:t>
      </w:r>
    </w:p>
    <w:tbl>
      <w:tblPr>
        <w:tblStyle w:val="4"/>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1607"/>
        <w:gridCol w:w="6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1940" w:type="dxa"/>
            <w:shd w:val="clear" w:color="auto" w:fill="D9D9D9"/>
            <w:noWrap w:val="0"/>
            <w:vAlign w:val="center"/>
          </w:tcPr>
          <w:p>
            <w:pPr>
              <w:pStyle w:val="3"/>
              <w:adjustRightInd w:val="0"/>
              <w:snapToGrid w:val="0"/>
              <w:spacing w:after="0"/>
              <w:rPr>
                <w:rFonts w:hint="eastAsia" w:ascii="宋体" w:hAnsi="宋体" w:eastAsia="宋体" w:cs="宋体"/>
                <w:bCs/>
                <w:color w:val="000000"/>
                <w:sz w:val="21"/>
                <w:szCs w:val="21"/>
                <w:lang w:val="en-US"/>
              </w:rPr>
            </w:pPr>
            <w:bookmarkStart w:id="0" w:name="_GoBack"/>
            <w:r>
              <w:rPr>
                <w:rFonts w:hint="eastAsia" w:ascii="宋体" w:hAnsi="宋体" w:eastAsia="宋体" w:cs="宋体"/>
                <w:bCs/>
                <w:color w:val="000000"/>
                <w:sz w:val="21"/>
                <w:szCs w:val="21"/>
              </w:rPr>
              <w:t>案件名称</w:t>
            </w:r>
          </w:p>
        </w:tc>
        <w:tc>
          <w:tcPr>
            <w:tcW w:w="7700" w:type="dxa"/>
            <w:gridSpan w:val="2"/>
            <w:noWrap w:val="0"/>
            <w:vAlign w:val="center"/>
          </w:tcPr>
          <w:p>
            <w:pPr>
              <w:adjustRightInd w:val="0"/>
              <w:snapToGrid w:val="0"/>
              <w:spacing w:after="0"/>
              <w:rPr>
                <w:rFonts w:hint="eastAsia" w:ascii="宋体" w:hAnsi="宋体" w:eastAsia="宋体" w:cs="宋体"/>
                <w:bCs/>
                <w:color w:val="000000"/>
                <w:sz w:val="21"/>
                <w:szCs w:val="21"/>
                <w:lang w:val="en-US"/>
              </w:rPr>
            </w:pPr>
            <w:r>
              <w:rPr>
                <w:rFonts w:hint="eastAsia" w:ascii="宋体" w:hAnsi="宋体" w:eastAsia="宋体" w:cs="宋体"/>
                <w:bCs/>
                <w:color w:val="000000"/>
                <w:sz w:val="21"/>
                <w:szCs w:val="21"/>
                <w:lang w:val="en-US"/>
              </w:rPr>
              <w:t>惠州仲恺城市发展集团有限公司收购惠州市电力发展有限公司股权案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jc w:val="center"/>
        </w:trPr>
        <w:tc>
          <w:tcPr>
            <w:tcW w:w="1940" w:type="dxa"/>
            <w:shd w:val="clear" w:color="auto" w:fill="D9D9D9"/>
            <w:noWrap w:val="0"/>
            <w:vAlign w:val="center"/>
          </w:tcPr>
          <w:p>
            <w:pPr>
              <w:pStyle w:val="3"/>
              <w:adjustRightInd w:val="0"/>
              <w:snapToGrid w:val="0"/>
              <w:spacing w:after="0"/>
              <w:rPr>
                <w:rFonts w:hint="eastAsia" w:ascii="宋体" w:hAnsi="宋体" w:eastAsia="宋体" w:cs="宋体"/>
                <w:bCs/>
                <w:color w:val="000000"/>
                <w:sz w:val="21"/>
                <w:szCs w:val="21"/>
                <w:lang w:val="en-US" w:eastAsia="zh-CN"/>
              </w:rPr>
            </w:pPr>
            <w:r>
              <w:rPr>
                <w:rFonts w:hint="eastAsia" w:ascii="宋体" w:hAnsi="宋体" w:eastAsia="宋体" w:cs="宋体"/>
                <w:bCs/>
                <w:color w:val="000000"/>
                <w:sz w:val="21"/>
                <w:szCs w:val="21"/>
                <w:lang w:eastAsia="zh-CN"/>
              </w:rPr>
              <w:t>交易概况（限200字内）</w:t>
            </w:r>
          </w:p>
        </w:tc>
        <w:tc>
          <w:tcPr>
            <w:tcW w:w="7700" w:type="dxa"/>
            <w:gridSpan w:val="2"/>
            <w:noWrap w:val="0"/>
            <w:vAlign w:val="center"/>
          </w:tcPr>
          <w:p>
            <w:pPr>
              <w:widowControl w:val="0"/>
              <w:adjustRightInd w:val="0"/>
              <w:snapToGrid w:val="0"/>
              <w:spacing w:after="0"/>
              <w:rPr>
                <w:rFonts w:hint="eastAsia" w:ascii="宋体" w:hAnsi="宋体" w:eastAsia="宋体" w:cs="宋体"/>
                <w:bCs/>
                <w:color w:val="000000"/>
                <w:sz w:val="21"/>
                <w:szCs w:val="21"/>
              </w:rPr>
            </w:pPr>
            <w:r>
              <w:rPr>
                <w:rFonts w:hint="eastAsia" w:ascii="宋体" w:hAnsi="宋体" w:eastAsia="宋体" w:cs="宋体"/>
                <w:bCs/>
                <w:color w:val="000000"/>
                <w:sz w:val="21"/>
                <w:szCs w:val="21"/>
                <w:lang w:val="en-US"/>
              </w:rPr>
              <w:t>惠州仲恺城市发展集团有限公司（“</w:t>
            </w:r>
            <w:r>
              <w:rPr>
                <w:rFonts w:hint="eastAsia" w:ascii="宋体" w:hAnsi="宋体" w:eastAsia="宋体" w:cs="宋体"/>
                <w:bCs/>
                <w:color w:val="000000"/>
                <w:sz w:val="21"/>
                <w:szCs w:val="21"/>
                <w:lang w:val="en-US" w:eastAsia="zh-CN"/>
              </w:rPr>
              <w:t>惠州</w:t>
            </w:r>
            <w:r>
              <w:rPr>
                <w:rFonts w:hint="eastAsia" w:ascii="宋体" w:hAnsi="宋体" w:eastAsia="宋体" w:cs="宋体"/>
                <w:bCs/>
                <w:color w:val="000000"/>
                <w:sz w:val="21"/>
                <w:szCs w:val="21"/>
                <w:lang w:val="en-US"/>
              </w:rPr>
              <w:t>仲恺”）与中山市电力实业发展有限公司（“中山实业”）、惠州市电力发展有限公司（“电力发展公司”）</w:t>
            </w:r>
            <w:r>
              <w:rPr>
                <w:rFonts w:hint="eastAsia" w:ascii="宋体" w:hAnsi="宋体" w:eastAsia="宋体" w:cs="宋体"/>
                <w:sz w:val="21"/>
                <w:szCs w:val="21"/>
              </w:rPr>
              <w:t>签署协议，</w:t>
            </w:r>
            <w:r>
              <w:rPr>
                <w:rFonts w:hint="eastAsia" w:ascii="宋体" w:hAnsi="宋体" w:eastAsia="宋体" w:cs="宋体"/>
                <w:bCs/>
                <w:color w:val="000000"/>
                <w:sz w:val="21"/>
                <w:szCs w:val="21"/>
                <w:lang w:val="en-US" w:eastAsia="zh-CN"/>
              </w:rPr>
              <w:t>惠州仲恺</w:t>
            </w:r>
            <w:r>
              <w:rPr>
                <w:rFonts w:hint="eastAsia" w:ascii="宋体" w:hAnsi="宋体" w:eastAsia="宋体" w:cs="宋体"/>
                <w:bCs/>
                <w:color w:val="000000"/>
                <w:sz w:val="21"/>
                <w:szCs w:val="21"/>
                <w:lang w:val="en-US"/>
              </w:rPr>
              <w:t>通过增资扩股的方式收购电力发展公司50%的股权。电力发展公司主要从事电力工程施工业务。</w:t>
            </w:r>
            <w:r>
              <w:rPr>
                <w:rFonts w:hint="eastAsia" w:ascii="宋体" w:hAnsi="宋体" w:eastAsia="宋体" w:cs="宋体"/>
                <w:sz w:val="21"/>
                <w:szCs w:val="21"/>
              </w:rPr>
              <w:t>交易前，</w:t>
            </w:r>
            <w:r>
              <w:rPr>
                <w:rFonts w:hint="eastAsia" w:ascii="宋体" w:hAnsi="宋体" w:eastAsia="宋体" w:cs="宋体"/>
                <w:bCs/>
                <w:color w:val="000000"/>
                <w:sz w:val="21"/>
                <w:szCs w:val="21"/>
                <w:lang w:val="en-US"/>
              </w:rPr>
              <w:t>中山实业</w:t>
            </w:r>
            <w:r>
              <w:rPr>
                <w:rFonts w:hint="eastAsia" w:ascii="宋体" w:hAnsi="宋体" w:eastAsia="宋体" w:cs="宋体"/>
                <w:sz w:val="21"/>
                <w:szCs w:val="21"/>
                <w:lang w:val="en-US"/>
              </w:rPr>
              <w:t>持有</w:t>
            </w:r>
            <w:r>
              <w:rPr>
                <w:rFonts w:hint="eastAsia" w:ascii="宋体" w:hAnsi="宋体" w:eastAsia="宋体" w:cs="宋体"/>
                <w:bCs/>
                <w:color w:val="000000"/>
                <w:sz w:val="21"/>
                <w:szCs w:val="21"/>
                <w:lang w:val="en-US"/>
              </w:rPr>
              <w:t>电力发展公司100</w:t>
            </w:r>
            <w:r>
              <w:rPr>
                <w:rFonts w:hint="eastAsia" w:ascii="宋体" w:hAnsi="宋体" w:eastAsia="宋体" w:cs="宋体"/>
                <w:sz w:val="21"/>
                <w:szCs w:val="21"/>
              </w:rPr>
              <w:t>%的</w:t>
            </w:r>
            <w:r>
              <w:rPr>
                <w:rFonts w:hint="eastAsia" w:ascii="宋体" w:hAnsi="宋体" w:eastAsia="宋体" w:cs="宋体"/>
                <w:sz w:val="21"/>
                <w:szCs w:val="21"/>
                <w:lang w:val="en-US"/>
              </w:rPr>
              <w:t>股权</w:t>
            </w:r>
            <w:r>
              <w:rPr>
                <w:rFonts w:hint="eastAsia" w:ascii="宋体" w:hAnsi="宋体" w:eastAsia="宋体" w:cs="宋体"/>
                <w:sz w:val="21"/>
                <w:szCs w:val="21"/>
              </w:rPr>
              <w:t>，单独控制</w:t>
            </w:r>
            <w:r>
              <w:rPr>
                <w:rFonts w:hint="eastAsia" w:ascii="宋体" w:hAnsi="宋体" w:eastAsia="宋体" w:cs="宋体"/>
                <w:bCs/>
                <w:color w:val="000000"/>
                <w:sz w:val="21"/>
                <w:szCs w:val="21"/>
                <w:lang w:val="en-US"/>
              </w:rPr>
              <w:t>电力发展公司</w:t>
            </w:r>
            <w:r>
              <w:rPr>
                <w:rFonts w:hint="eastAsia" w:ascii="宋体" w:hAnsi="宋体" w:eastAsia="宋体" w:cs="宋体"/>
                <w:sz w:val="21"/>
                <w:szCs w:val="21"/>
              </w:rPr>
              <w:t>。交易后，</w:t>
            </w:r>
            <w:r>
              <w:rPr>
                <w:rFonts w:hint="eastAsia" w:ascii="宋体" w:hAnsi="宋体" w:eastAsia="宋体" w:cs="宋体"/>
                <w:bCs/>
                <w:color w:val="000000"/>
                <w:sz w:val="21"/>
                <w:szCs w:val="21"/>
                <w:lang w:val="en-US" w:eastAsia="zh-CN"/>
              </w:rPr>
              <w:t>惠州仲恺</w:t>
            </w:r>
            <w:r>
              <w:rPr>
                <w:rFonts w:hint="eastAsia" w:ascii="宋体" w:hAnsi="宋体" w:eastAsia="宋体" w:cs="宋体"/>
                <w:sz w:val="21"/>
                <w:szCs w:val="21"/>
              </w:rPr>
              <w:t>和</w:t>
            </w:r>
            <w:r>
              <w:rPr>
                <w:rFonts w:hint="eastAsia" w:ascii="宋体" w:hAnsi="宋体" w:eastAsia="宋体" w:cs="宋体"/>
                <w:bCs/>
                <w:color w:val="000000"/>
                <w:sz w:val="21"/>
                <w:szCs w:val="21"/>
                <w:lang w:val="en-US"/>
              </w:rPr>
              <w:t>中山实业</w:t>
            </w:r>
            <w:r>
              <w:rPr>
                <w:rFonts w:hint="eastAsia" w:ascii="宋体" w:hAnsi="宋体" w:eastAsia="宋体" w:cs="宋体"/>
                <w:sz w:val="21"/>
                <w:szCs w:val="21"/>
              </w:rPr>
              <w:t>将分别持有</w:t>
            </w:r>
            <w:r>
              <w:rPr>
                <w:rFonts w:hint="eastAsia" w:ascii="宋体" w:hAnsi="宋体" w:eastAsia="宋体" w:cs="宋体"/>
                <w:bCs/>
                <w:color w:val="000000"/>
                <w:sz w:val="21"/>
                <w:szCs w:val="21"/>
                <w:lang w:val="en-US"/>
              </w:rPr>
              <w:t>电力发展公司</w:t>
            </w:r>
            <w:r>
              <w:rPr>
                <w:rFonts w:hint="eastAsia" w:ascii="宋体" w:hAnsi="宋体" w:eastAsia="宋体" w:cs="宋体"/>
                <w:sz w:val="21"/>
                <w:szCs w:val="21"/>
              </w:rPr>
              <w:t>5</w:t>
            </w:r>
            <w:r>
              <w:rPr>
                <w:rFonts w:hint="eastAsia" w:ascii="宋体" w:hAnsi="宋体" w:eastAsia="宋体" w:cs="宋体"/>
                <w:sz w:val="21"/>
                <w:szCs w:val="21"/>
                <w:lang w:val="en-US"/>
              </w:rPr>
              <w:t>0</w:t>
            </w:r>
            <w:r>
              <w:rPr>
                <w:rFonts w:hint="eastAsia" w:ascii="宋体" w:hAnsi="宋体" w:eastAsia="宋体" w:cs="宋体"/>
                <w:sz w:val="21"/>
                <w:szCs w:val="21"/>
              </w:rPr>
              <w:t>%</w:t>
            </w:r>
            <w:r>
              <w:rPr>
                <w:rFonts w:hint="eastAsia" w:ascii="宋体" w:hAnsi="宋体" w:eastAsia="宋体" w:cs="宋体"/>
                <w:sz w:val="21"/>
                <w:szCs w:val="21"/>
                <w:lang w:val="en-US"/>
              </w:rPr>
              <w:t>股权</w:t>
            </w:r>
            <w:r>
              <w:rPr>
                <w:rFonts w:hint="eastAsia" w:ascii="宋体" w:hAnsi="宋体" w:eastAsia="宋体" w:cs="宋体"/>
                <w:sz w:val="21"/>
                <w:szCs w:val="21"/>
              </w:rPr>
              <w:t>，共同控制</w:t>
            </w:r>
            <w:r>
              <w:rPr>
                <w:rFonts w:hint="eastAsia" w:ascii="宋体" w:hAnsi="宋体" w:eastAsia="宋体" w:cs="宋体"/>
                <w:bCs/>
                <w:color w:val="000000"/>
                <w:sz w:val="21"/>
                <w:szCs w:val="21"/>
                <w:lang w:val="en-US"/>
              </w:rPr>
              <w:t>电力发展公司</w:t>
            </w:r>
            <w:r>
              <w:rPr>
                <w:rFonts w:hint="eastAsia" w:ascii="宋体" w:hAnsi="宋体" w:eastAsia="宋体" w:cs="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940" w:type="dxa"/>
            <w:vMerge w:val="restart"/>
            <w:shd w:val="clear" w:color="auto" w:fill="D9D9D9"/>
            <w:noWrap w:val="0"/>
            <w:vAlign w:val="center"/>
          </w:tcPr>
          <w:p>
            <w:pPr>
              <w:pStyle w:val="3"/>
              <w:adjustRightInd w:val="0"/>
              <w:snapToGrid w:val="0"/>
              <w:spacing w:after="0"/>
              <w:rPr>
                <w:rFonts w:hint="eastAsia" w:ascii="宋体" w:hAnsi="宋体" w:eastAsia="宋体" w:cs="宋体"/>
                <w:bCs/>
                <w:color w:val="000000"/>
                <w:sz w:val="21"/>
                <w:szCs w:val="21"/>
                <w:lang w:val="en-US" w:eastAsia="zh-CN"/>
              </w:rPr>
            </w:pPr>
            <w:r>
              <w:rPr>
                <w:rFonts w:hint="eastAsia" w:ascii="宋体" w:hAnsi="宋体" w:eastAsia="宋体" w:cs="宋体"/>
                <w:bCs/>
                <w:color w:val="000000"/>
                <w:sz w:val="21"/>
                <w:szCs w:val="21"/>
                <w:lang w:eastAsia="zh-CN"/>
              </w:rPr>
              <w:t>参与集中的经营者简介</w:t>
            </w:r>
          </w:p>
        </w:tc>
        <w:tc>
          <w:tcPr>
            <w:tcW w:w="1607" w:type="dxa"/>
            <w:noWrap w:val="0"/>
            <w:vAlign w:val="center"/>
          </w:tcPr>
          <w:p>
            <w:pPr>
              <w:pStyle w:val="3"/>
              <w:adjustRightInd w:val="0"/>
              <w:snapToGrid w:val="0"/>
              <w:spacing w:after="0"/>
              <w:rPr>
                <w:rFonts w:hint="eastAsia" w:ascii="宋体" w:hAnsi="宋体" w:eastAsia="宋体" w:cs="宋体"/>
                <w:bCs/>
                <w:color w:val="000000"/>
                <w:sz w:val="21"/>
                <w:szCs w:val="21"/>
                <w:lang w:eastAsia="zh-CN"/>
              </w:rPr>
            </w:pPr>
            <w:r>
              <w:rPr>
                <w:rFonts w:hint="eastAsia" w:ascii="宋体" w:hAnsi="宋体" w:eastAsia="宋体" w:cs="宋体"/>
                <w:bCs/>
                <w:color w:val="000000"/>
                <w:sz w:val="21"/>
                <w:szCs w:val="21"/>
                <w:lang w:val="en-US" w:eastAsia="zh-CN"/>
              </w:rPr>
              <w:t>1.惠州仲恺</w:t>
            </w:r>
          </w:p>
        </w:tc>
        <w:tc>
          <w:tcPr>
            <w:tcW w:w="6093" w:type="dxa"/>
            <w:noWrap w:val="0"/>
            <w:vAlign w:val="center"/>
          </w:tcPr>
          <w:p>
            <w:pPr>
              <w:adjustRightInd w:val="0"/>
              <w:snapToGrid w:val="0"/>
              <w:spacing w:after="0"/>
              <w:rPr>
                <w:rFonts w:hint="eastAsia" w:ascii="宋体" w:hAnsi="宋体" w:eastAsia="宋体" w:cs="宋体"/>
                <w:bCs/>
                <w:color w:val="000000"/>
                <w:sz w:val="21"/>
                <w:szCs w:val="21"/>
                <w:lang w:val="en-US"/>
              </w:rPr>
            </w:pPr>
            <w:r>
              <w:rPr>
                <w:rFonts w:hint="eastAsia" w:ascii="宋体" w:hAnsi="宋体" w:eastAsia="宋体" w:cs="宋体"/>
                <w:bCs/>
                <w:color w:val="000000"/>
                <w:sz w:val="21"/>
                <w:szCs w:val="21"/>
                <w:lang w:val="en-US" w:eastAsia="zh-CN"/>
              </w:rPr>
              <w:t>惠州仲恺</w:t>
            </w:r>
            <w:r>
              <w:rPr>
                <w:rFonts w:hint="eastAsia" w:ascii="宋体" w:hAnsi="宋体" w:eastAsia="宋体" w:cs="宋体"/>
                <w:bCs/>
                <w:color w:val="000000"/>
                <w:sz w:val="21"/>
                <w:szCs w:val="21"/>
                <w:lang w:val="en-US"/>
              </w:rPr>
              <w:t>于2003年9月15日成立于中国广东省惠州市，主要业务为基础设施、公共设施投资和建设、实业投资、物业租赁等。</w:t>
            </w:r>
          </w:p>
          <w:p>
            <w:pPr>
              <w:pStyle w:val="3"/>
              <w:adjustRightInd w:val="0"/>
              <w:snapToGrid w:val="0"/>
              <w:spacing w:after="0"/>
              <w:rPr>
                <w:rFonts w:hint="eastAsia" w:ascii="宋体" w:hAnsi="宋体" w:eastAsia="宋体" w:cs="宋体"/>
                <w:bCs/>
                <w:color w:val="000000"/>
                <w:sz w:val="21"/>
                <w:szCs w:val="21"/>
                <w:lang w:eastAsia="zh-CN"/>
              </w:rPr>
            </w:pPr>
            <w:r>
              <w:rPr>
                <w:rFonts w:hint="eastAsia" w:ascii="宋体" w:hAnsi="宋体" w:eastAsia="宋体" w:cs="宋体"/>
                <w:bCs/>
                <w:color w:val="000000"/>
                <w:sz w:val="21"/>
                <w:szCs w:val="21"/>
                <w:lang w:val="en-US" w:eastAsia="zh-CN"/>
              </w:rPr>
              <w:t>惠州仲恺是惠州仲恺高新技术产业开发区国有资产事务中心下属企业。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1940" w:type="dxa"/>
            <w:vMerge w:val="continue"/>
            <w:shd w:val="clear" w:color="auto" w:fill="D9D9D9"/>
            <w:noWrap w:val="0"/>
            <w:vAlign w:val="center"/>
          </w:tcPr>
          <w:p>
            <w:pPr>
              <w:pStyle w:val="3"/>
              <w:adjustRightInd w:val="0"/>
              <w:snapToGrid w:val="0"/>
              <w:spacing w:after="0"/>
              <w:rPr>
                <w:rFonts w:hint="eastAsia" w:ascii="宋体" w:hAnsi="宋体" w:eastAsia="宋体" w:cs="宋体"/>
                <w:bCs/>
                <w:color w:val="000000"/>
                <w:sz w:val="21"/>
                <w:szCs w:val="21"/>
                <w:lang w:val="en-US" w:eastAsia="zh-CN"/>
              </w:rPr>
            </w:pPr>
          </w:p>
        </w:tc>
        <w:tc>
          <w:tcPr>
            <w:tcW w:w="1607" w:type="dxa"/>
            <w:noWrap w:val="0"/>
            <w:vAlign w:val="center"/>
          </w:tcPr>
          <w:p>
            <w:pPr>
              <w:pStyle w:val="3"/>
              <w:adjustRightInd w:val="0"/>
              <w:snapToGrid w:val="0"/>
              <w:spacing w:after="0"/>
              <w:rPr>
                <w:rFonts w:hint="eastAsia" w:ascii="宋体" w:hAnsi="宋体" w:eastAsia="宋体" w:cs="宋体"/>
                <w:bCs/>
                <w:color w:val="000000"/>
                <w:sz w:val="21"/>
                <w:szCs w:val="21"/>
                <w:lang w:eastAsia="zh-CN"/>
              </w:rPr>
            </w:pPr>
            <w:r>
              <w:rPr>
                <w:rFonts w:hint="eastAsia" w:ascii="宋体" w:hAnsi="宋体" w:eastAsia="宋体" w:cs="宋体"/>
                <w:bCs/>
                <w:color w:val="000000"/>
                <w:sz w:val="21"/>
                <w:szCs w:val="21"/>
                <w:lang w:val="en-US" w:eastAsia="zh-CN"/>
              </w:rPr>
              <w:t>2.中山实业</w:t>
            </w:r>
          </w:p>
          <w:p>
            <w:pPr>
              <w:pStyle w:val="3"/>
              <w:adjustRightInd w:val="0"/>
              <w:snapToGrid w:val="0"/>
              <w:spacing w:after="0"/>
              <w:rPr>
                <w:rFonts w:hint="eastAsia" w:ascii="宋体" w:hAnsi="宋体" w:eastAsia="宋体" w:cs="宋体"/>
                <w:bCs/>
                <w:color w:val="000000"/>
                <w:sz w:val="21"/>
                <w:szCs w:val="21"/>
                <w:lang w:eastAsia="zh-CN"/>
              </w:rPr>
            </w:pPr>
          </w:p>
        </w:tc>
        <w:tc>
          <w:tcPr>
            <w:tcW w:w="6093" w:type="dxa"/>
            <w:noWrap w:val="0"/>
            <w:vAlign w:val="center"/>
          </w:tcPr>
          <w:p>
            <w:pPr>
              <w:adjustRightInd w:val="0"/>
              <w:snapToGrid w:val="0"/>
              <w:spacing w:after="0"/>
              <w:rPr>
                <w:rFonts w:hint="eastAsia" w:ascii="宋体" w:hAnsi="宋体" w:eastAsia="宋体" w:cs="宋体"/>
                <w:sz w:val="21"/>
                <w:szCs w:val="21"/>
              </w:rPr>
            </w:pPr>
            <w:r>
              <w:rPr>
                <w:rFonts w:hint="eastAsia" w:ascii="宋体" w:hAnsi="宋体" w:eastAsia="宋体" w:cs="宋体"/>
                <w:bCs/>
                <w:color w:val="000000"/>
                <w:sz w:val="21"/>
                <w:szCs w:val="21"/>
                <w:lang w:val="en-US"/>
              </w:rPr>
              <w:t>中山实业</w:t>
            </w:r>
            <w:r>
              <w:rPr>
                <w:rFonts w:hint="eastAsia" w:ascii="宋体" w:hAnsi="宋体" w:eastAsia="宋体" w:cs="宋体"/>
                <w:sz w:val="21"/>
                <w:szCs w:val="21"/>
              </w:rPr>
              <w:t>于</w:t>
            </w:r>
            <w:r>
              <w:rPr>
                <w:rFonts w:hint="eastAsia" w:ascii="宋体" w:hAnsi="宋体" w:eastAsia="宋体" w:cs="宋体"/>
                <w:sz w:val="21"/>
                <w:szCs w:val="21"/>
                <w:lang w:val="en-US"/>
              </w:rPr>
              <w:t>1993</w:t>
            </w:r>
            <w:r>
              <w:rPr>
                <w:rFonts w:hint="eastAsia" w:ascii="宋体" w:hAnsi="宋体" w:eastAsia="宋体" w:cs="宋体"/>
                <w:sz w:val="21"/>
                <w:szCs w:val="21"/>
              </w:rPr>
              <w:t>年</w:t>
            </w:r>
            <w:r>
              <w:rPr>
                <w:rFonts w:hint="eastAsia" w:ascii="宋体" w:hAnsi="宋体" w:eastAsia="宋体" w:cs="宋体"/>
                <w:sz w:val="21"/>
                <w:szCs w:val="21"/>
                <w:lang w:val="en-US"/>
              </w:rPr>
              <w:t>6</w:t>
            </w:r>
            <w:r>
              <w:rPr>
                <w:rFonts w:hint="eastAsia" w:ascii="宋体" w:hAnsi="宋体" w:eastAsia="宋体" w:cs="宋体"/>
                <w:sz w:val="21"/>
                <w:szCs w:val="21"/>
              </w:rPr>
              <w:t>月</w:t>
            </w:r>
            <w:r>
              <w:rPr>
                <w:rFonts w:hint="eastAsia" w:ascii="宋体" w:hAnsi="宋体" w:eastAsia="宋体" w:cs="宋体"/>
                <w:sz w:val="21"/>
                <w:szCs w:val="21"/>
                <w:lang w:val="en-US"/>
              </w:rPr>
              <w:t>29</w:t>
            </w:r>
            <w:r>
              <w:rPr>
                <w:rFonts w:hint="eastAsia" w:ascii="宋体" w:hAnsi="宋体" w:eastAsia="宋体" w:cs="宋体"/>
                <w:sz w:val="21"/>
                <w:szCs w:val="21"/>
              </w:rPr>
              <w:t>日成立于</w:t>
            </w:r>
            <w:r>
              <w:rPr>
                <w:rFonts w:hint="eastAsia" w:ascii="宋体" w:hAnsi="宋体" w:eastAsia="宋体" w:cs="宋体"/>
                <w:bCs/>
                <w:color w:val="000000"/>
                <w:sz w:val="21"/>
                <w:szCs w:val="21"/>
                <w:lang w:val="en-US"/>
              </w:rPr>
              <w:t>中国广东省中山市</w:t>
            </w:r>
            <w:r>
              <w:rPr>
                <w:rFonts w:hint="eastAsia" w:ascii="宋体" w:hAnsi="宋体" w:eastAsia="宋体" w:cs="宋体"/>
                <w:sz w:val="21"/>
                <w:szCs w:val="21"/>
              </w:rPr>
              <w:t>，</w:t>
            </w:r>
            <w:r>
              <w:rPr>
                <w:rFonts w:hint="eastAsia" w:ascii="宋体" w:hAnsi="宋体" w:eastAsia="宋体" w:cs="宋体"/>
                <w:sz w:val="21"/>
                <w:szCs w:val="21"/>
                <w:lang w:val="en-US"/>
              </w:rPr>
              <w:t>主要业务为股权投资管理，</w:t>
            </w:r>
            <w:r>
              <w:rPr>
                <w:rFonts w:hint="eastAsia" w:ascii="宋体" w:hAnsi="宋体" w:eastAsia="宋体" w:cs="宋体"/>
                <w:sz w:val="21"/>
                <w:szCs w:val="21"/>
              </w:rPr>
              <w:t>下属控股企业主要从事电力工程施工、设计、综合能源服务等</w:t>
            </w:r>
            <w:r>
              <w:rPr>
                <w:rFonts w:hint="eastAsia" w:ascii="宋体" w:hAnsi="宋体" w:eastAsia="宋体" w:cs="宋体"/>
                <w:sz w:val="21"/>
                <w:szCs w:val="21"/>
                <w:lang w:val="en-US"/>
              </w:rPr>
              <w:t>业务</w:t>
            </w:r>
            <w:r>
              <w:rPr>
                <w:rFonts w:hint="eastAsia" w:ascii="宋体" w:hAnsi="宋体" w:eastAsia="宋体" w:cs="宋体"/>
                <w:sz w:val="21"/>
                <w:szCs w:val="21"/>
              </w:rPr>
              <w:t>。</w:t>
            </w:r>
          </w:p>
          <w:p>
            <w:pPr>
              <w:adjustRightInd w:val="0"/>
              <w:snapToGrid w:val="0"/>
              <w:spacing w:after="0"/>
              <w:rPr>
                <w:rFonts w:hint="eastAsia" w:ascii="宋体" w:hAnsi="宋体" w:eastAsia="宋体" w:cs="宋体"/>
                <w:bCs/>
                <w:color w:val="000000"/>
                <w:sz w:val="21"/>
                <w:szCs w:val="21"/>
              </w:rPr>
            </w:pPr>
            <w:r>
              <w:rPr>
                <w:rFonts w:hint="eastAsia" w:ascii="宋体" w:hAnsi="宋体" w:eastAsia="宋体" w:cs="宋体"/>
                <w:bCs/>
                <w:color w:val="000000"/>
                <w:sz w:val="21"/>
                <w:szCs w:val="21"/>
                <w:lang w:val="en-US"/>
              </w:rPr>
              <w:t>中山实业</w:t>
            </w:r>
            <w:r>
              <w:rPr>
                <w:rFonts w:hint="eastAsia" w:ascii="宋体" w:hAnsi="宋体" w:eastAsia="宋体" w:cs="宋体"/>
                <w:sz w:val="21"/>
                <w:szCs w:val="21"/>
              </w:rPr>
              <w:t>最终控制人为中国南方电网有限责任公司，主要从事南方五省区电力供应、区域电网管理、电力交易与调度业务。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1940" w:type="dxa"/>
            <w:vMerge w:val="restart"/>
            <w:shd w:val="clear" w:color="auto" w:fill="D9D9D9"/>
            <w:noWrap w:val="0"/>
            <w:vAlign w:val="center"/>
          </w:tcPr>
          <w:p>
            <w:pPr>
              <w:pStyle w:val="3"/>
              <w:adjustRightInd w:val="0"/>
              <w:snapToGrid w:val="0"/>
              <w:spacing w:after="0"/>
              <w:rPr>
                <w:rFonts w:hint="eastAsia" w:ascii="宋体" w:hAnsi="宋体" w:eastAsia="宋体" w:cs="宋体"/>
                <w:bCs/>
                <w:color w:val="000000"/>
                <w:sz w:val="21"/>
                <w:szCs w:val="21"/>
                <w:lang w:val="en-US" w:eastAsia="zh-CN"/>
              </w:rPr>
            </w:pPr>
            <w:r>
              <w:rPr>
                <w:rFonts w:hint="eastAsia" w:ascii="宋体" w:hAnsi="宋体" w:eastAsia="宋体" w:cs="宋体"/>
                <w:bCs/>
                <w:color w:val="000000"/>
                <w:sz w:val="21"/>
                <w:szCs w:val="21"/>
                <w:lang w:eastAsia="zh-CN"/>
              </w:rPr>
              <w:t>简易案件理由（可以单选，也可以多选）</w:t>
            </w:r>
          </w:p>
        </w:tc>
        <w:tc>
          <w:tcPr>
            <w:tcW w:w="7700" w:type="dxa"/>
            <w:gridSpan w:val="2"/>
            <w:noWrap w:val="0"/>
            <w:vAlign w:val="center"/>
          </w:tcPr>
          <w:p>
            <w:pPr>
              <w:pStyle w:val="3"/>
              <w:adjustRightInd w:val="0"/>
              <w:snapToGrid w:val="0"/>
              <w:spacing w:after="0"/>
              <w:rPr>
                <w:rFonts w:hint="eastAsia" w:ascii="宋体" w:hAnsi="宋体" w:eastAsia="宋体" w:cs="宋体"/>
                <w:bCs/>
                <w:color w:val="000000"/>
                <w:sz w:val="21"/>
                <w:szCs w:val="21"/>
                <w:lang w:val="en-US" w:eastAsia="zh-CN"/>
              </w:rPr>
            </w:pPr>
            <w:r>
              <w:rPr>
                <w:rFonts w:hint="eastAsia" w:ascii="宋体" w:hAnsi="宋体" w:eastAsia="宋体" w:cs="宋体"/>
                <w:bCs/>
                <w:color w:val="000000"/>
                <w:sz w:val="21"/>
                <w:szCs w:val="21"/>
                <w:lang w:eastAsia="zh-CN"/>
              </w:rPr>
              <w:sym w:font="Wingdings" w:char="00A8"/>
            </w:r>
            <w:r>
              <w:rPr>
                <w:rFonts w:hint="eastAsia" w:ascii="宋体" w:hAnsi="宋体" w:eastAsia="宋体" w:cs="宋体"/>
                <w:bCs/>
                <w:color w:val="000000"/>
                <w:sz w:val="21"/>
                <w:szCs w:val="21"/>
                <w:lang w:eastAsia="zh-CN"/>
              </w:rPr>
              <w:t xml:space="preserve"> 1、在同一相关市场，所有参与集中的经营者所占市场份额之和小于15%。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940" w:type="dxa"/>
            <w:vMerge w:val="continue"/>
            <w:shd w:val="clear" w:color="auto" w:fill="D9D9D9"/>
            <w:noWrap w:val="0"/>
            <w:vAlign w:val="center"/>
          </w:tcPr>
          <w:p>
            <w:pPr>
              <w:pStyle w:val="3"/>
              <w:adjustRightInd w:val="0"/>
              <w:snapToGrid w:val="0"/>
              <w:spacing w:after="0"/>
              <w:rPr>
                <w:rFonts w:hint="eastAsia" w:ascii="宋体" w:hAnsi="宋体" w:eastAsia="宋体" w:cs="宋体"/>
                <w:bCs/>
                <w:color w:val="000000"/>
                <w:sz w:val="21"/>
                <w:szCs w:val="21"/>
                <w:lang w:val="en-US" w:eastAsia="zh-CN"/>
              </w:rPr>
            </w:pPr>
          </w:p>
        </w:tc>
        <w:tc>
          <w:tcPr>
            <w:tcW w:w="7700" w:type="dxa"/>
            <w:gridSpan w:val="2"/>
            <w:noWrap w:val="0"/>
            <w:vAlign w:val="center"/>
          </w:tcPr>
          <w:p>
            <w:pPr>
              <w:pStyle w:val="3"/>
              <w:adjustRightInd w:val="0"/>
              <w:snapToGrid w:val="0"/>
              <w:spacing w:after="0"/>
              <w:rPr>
                <w:rFonts w:hint="eastAsia" w:ascii="宋体" w:hAnsi="宋体" w:eastAsia="宋体" w:cs="宋体"/>
                <w:bCs/>
                <w:color w:val="000000"/>
                <w:sz w:val="21"/>
                <w:szCs w:val="21"/>
                <w:lang w:val="en-US" w:eastAsia="zh-CN"/>
              </w:rPr>
            </w:pPr>
            <w:r>
              <w:rPr>
                <w:rFonts w:hint="eastAsia" w:ascii="宋体" w:hAnsi="宋体" w:eastAsia="宋体" w:cs="宋体"/>
                <w:bCs/>
                <w:color w:val="000000"/>
                <w:sz w:val="21"/>
                <w:szCs w:val="21"/>
                <w:lang w:eastAsia="zh-CN"/>
              </w:rPr>
              <w:sym w:font="Wingdings" w:char="00A8"/>
            </w:r>
            <w:r>
              <w:rPr>
                <w:rFonts w:hint="eastAsia" w:ascii="宋体" w:hAnsi="宋体" w:eastAsia="宋体" w:cs="宋体"/>
                <w:bCs/>
                <w:color w:val="000000"/>
                <w:sz w:val="21"/>
                <w:szCs w:val="21"/>
                <w:lang w:eastAsia="zh-CN"/>
              </w:rPr>
              <w:t xml:space="preserve"> 2、存在上下游关系的参与集中的经营者，在上下游市场所占的市场份额均小于25%。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940" w:type="dxa"/>
            <w:vMerge w:val="continue"/>
            <w:shd w:val="clear" w:color="auto" w:fill="D9D9D9"/>
            <w:noWrap w:val="0"/>
            <w:vAlign w:val="center"/>
          </w:tcPr>
          <w:p>
            <w:pPr>
              <w:pStyle w:val="3"/>
              <w:adjustRightInd w:val="0"/>
              <w:snapToGrid w:val="0"/>
              <w:spacing w:after="0"/>
              <w:rPr>
                <w:rFonts w:hint="eastAsia" w:ascii="宋体" w:hAnsi="宋体" w:eastAsia="宋体" w:cs="宋体"/>
                <w:bCs/>
                <w:color w:val="000000"/>
                <w:sz w:val="21"/>
                <w:szCs w:val="21"/>
                <w:lang w:val="en-US" w:eastAsia="zh-CN"/>
              </w:rPr>
            </w:pPr>
          </w:p>
        </w:tc>
        <w:tc>
          <w:tcPr>
            <w:tcW w:w="7700" w:type="dxa"/>
            <w:gridSpan w:val="2"/>
            <w:noWrap w:val="0"/>
            <w:vAlign w:val="center"/>
          </w:tcPr>
          <w:p>
            <w:pPr>
              <w:pStyle w:val="3"/>
              <w:adjustRightInd w:val="0"/>
              <w:snapToGrid w:val="0"/>
              <w:spacing w:after="0"/>
              <w:rPr>
                <w:rFonts w:hint="eastAsia" w:ascii="宋体" w:hAnsi="宋体" w:eastAsia="宋体" w:cs="宋体"/>
                <w:bCs/>
                <w:color w:val="000000"/>
                <w:sz w:val="21"/>
                <w:szCs w:val="21"/>
                <w:lang w:val="en-US" w:eastAsia="zh-CN"/>
              </w:rPr>
            </w:pPr>
            <w:r>
              <w:rPr>
                <w:rFonts w:hint="eastAsia" w:ascii="宋体" w:hAnsi="宋体" w:eastAsia="宋体" w:cs="宋体"/>
                <w:bCs/>
                <w:color w:val="000000"/>
                <w:sz w:val="21"/>
                <w:szCs w:val="21"/>
                <w:lang w:eastAsia="zh-CN"/>
              </w:rPr>
              <w:sym w:font="Wingdings" w:char="00FE"/>
            </w:r>
            <w:r>
              <w:rPr>
                <w:rFonts w:hint="eastAsia" w:ascii="宋体" w:hAnsi="宋体" w:eastAsia="宋体" w:cs="宋体"/>
                <w:bCs/>
                <w:color w:val="000000"/>
                <w:sz w:val="21"/>
                <w:szCs w:val="21"/>
                <w:lang w:eastAsia="zh-CN"/>
              </w:rPr>
              <w:t xml:space="preserve">  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940" w:type="dxa"/>
            <w:vMerge w:val="continue"/>
            <w:shd w:val="clear" w:color="auto" w:fill="D9D9D9"/>
            <w:noWrap w:val="0"/>
            <w:vAlign w:val="center"/>
          </w:tcPr>
          <w:p>
            <w:pPr>
              <w:pStyle w:val="3"/>
              <w:adjustRightInd w:val="0"/>
              <w:snapToGrid w:val="0"/>
              <w:spacing w:after="0"/>
              <w:rPr>
                <w:rFonts w:hint="eastAsia" w:ascii="宋体" w:hAnsi="宋体" w:eastAsia="宋体" w:cs="宋体"/>
                <w:bCs/>
                <w:color w:val="000000"/>
                <w:sz w:val="21"/>
                <w:szCs w:val="21"/>
                <w:lang w:val="en-US" w:eastAsia="zh-CN"/>
              </w:rPr>
            </w:pPr>
          </w:p>
        </w:tc>
        <w:tc>
          <w:tcPr>
            <w:tcW w:w="7700" w:type="dxa"/>
            <w:gridSpan w:val="2"/>
            <w:noWrap w:val="0"/>
            <w:vAlign w:val="center"/>
          </w:tcPr>
          <w:p>
            <w:pPr>
              <w:pStyle w:val="3"/>
              <w:adjustRightInd w:val="0"/>
              <w:snapToGrid w:val="0"/>
              <w:spacing w:after="0"/>
              <w:rPr>
                <w:rFonts w:hint="eastAsia" w:ascii="宋体" w:hAnsi="宋体" w:eastAsia="宋体" w:cs="宋体"/>
                <w:bCs/>
                <w:color w:val="000000"/>
                <w:sz w:val="21"/>
                <w:szCs w:val="21"/>
                <w:lang w:val="en-US" w:eastAsia="zh-CN"/>
              </w:rPr>
            </w:pPr>
            <w:r>
              <w:rPr>
                <w:rFonts w:hint="eastAsia" w:ascii="宋体" w:hAnsi="宋体" w:eastAsia="宋体" w:cs="宋体"/>
                <w:bCs/>
                <w:color w:val="000000"/>
                <w:sz w:val="21"/>
                <w:szCs w:val="21"/>
                <w:lang w:eastAsia="zh-CN"/>
              </w:rPr>
              <w:sym w:font="Wingdings" w:char="00A8"/>
            </w:r>
            <w:r>
              <w:rPr>
                <w:rFonts w:hint="eastAsia" w:ascii="宋体" w:hAnsi="宋体" w:eastAsia="宋体" w:cs="宋体"/>
                <w:bCs/>
                <w:color w:val="000000"/>
                <w:sz w:val="21"/>
                <w:szCs w:val="21"/>
                <w:lang w:eastAsia="zh-CN"/>
              </w:rPr>
              <w:t xml:space="preserve"> 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940" w:type="dxa"/>
            <w:vMerge w:val="continue"/>
            <w:shd w:val="clear" w:color="auto" w:fill="D9D9D9"/>
            <w:noWrap w:val="0"/>
            <w:vAlign w:val="center"/>
          </w:tcPr>
          <w:p>
            <w:pPr>
              <w:pStyle w:val="3"/>
              <w:adjustRightInd w:val="0"/>
              <w:snapToGrid w:val="0"/>
              <w:spacing w:after="0"/>
              <w:rPr>
                <w:rFonts w:hint="eastAsia" w:ascii="宋体" w:hAnsi="宋体" w:eastAsia="宋体" w:cs="宋体"/>
                <w:bCs/>
                <w:color w:val="000000"/>
                <w:sz w:val="21"/>
                <w:szCs w:val="21"/>
                <w:lang w:val="en-US" w:eastAsia="zh-CN"/>
              </w:rPr>
            </w:pPr>
          </w:p>
        </w:tc>
        <w:tc>
          <w:tcPr>
            <w:tcW w:w="7700" w:type="dxa"/>
            <w:gridSpan w:val="2"/>
            <w:noWrap w:val="0"/>
            <w:vAlign w:val="center"/>
          </w:tcPr>
          <w:p>
            <w:pPr>
              <w:pStyle w:val="3"/>
              <w:adjustRightInd w:val="0"/>
              <w:snapToGrid w:val="0"/>
              <w:spacing w:after="0"/>
              <w:rPr>
                <w:rFonts w:hint="eastAsia" w:ascii="宋体" w:hAnsi="宋体" w:eastAsia="宋体" w:cs="宋体"/>
                <w:bCs/>
                <w:color w:val="000000"/>
                <w:sz w:val="21"/>
                <w:szCs w:val="21"/>
                <w:lang w:val="en-US" w:eastAsia="zh-CN"/>
              </w:rPr>
            </w:pPr>
            <w:r>
              <w:rPr>
                <w:rFonts w:hint="eastAsia" w:ascii="宋体" w:hAnsi="宋体" w:eastAsia="宋体" w:cs="宋体"/>
                <w:bCs/>
                <w:color w:val="000000"/>
                <w:sz w:val="21"/>
                <w:szCs w:val="21"/>
                <w:lang w:eastAsia="zh-CN"/>
              </w:rPr>
              <w:sym w:font="Wingdings" w:char="00A8"/>
            </w:r>
            <w:r>
              <w:rPr>
                <w:rFonts w:hint="eastAsia" w:ascii="宋体" w:hAnsi="宋体" w:eastAsia="宋体" w:cs="宋体"/>
                <w:bCs/>
                <w:color w:val="000000"/>
                <w:sz w:val="21"/>
                <w:szCs w:val="21"/>
                <w:lang w:eastAsia="zh-CN"/>
              </w:rPr>
              <w:t xml:space="preserve"> 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40" w:type="dxa"/>
            <w:vMerge w:val="continue"/>
            <w:shd w:val="clear" w:color="auto" w:fill="D9D9D9"/>
            <w:noWrap w:val="0"/>
            <w:vAlign w:val="center"/>
          </w:tcPr>
          <w:p>
            <w:pPr>
              <w:pStyle w:val="3"/>
              <w:adjustRightInd w:val="0"/>
              <w:snapToGrid w:val="0"/>
              <w:spacing w:after="0"/>
              <w:rPr>
                <w:rFonts w:hint="eastAsia" w:ascii="宋体" w:hAnsi="宋体" w:eastAsia="宋体" w:cs="宋体"/>
                <w:bCs/>
                <w:color w:val="000000"/>
                <w:sz w:val="21"/>
                <w:szCs w:val="21"/>
                <w:lang w:val="en-US" w:eastAsia="zh-CN"/>
              </w:rPr>
            </w:pPr>
          </w:p>
        </w:tc>
        <w:tc>
          <w:tcPr>
            <w:tcW w:w="7700" w:type="dxa"/>
            <w:gridSpan w:val="2"/>
            <w:noWrap w:val="0"/>
            <w:vAlign w:val="center"/>
          </w:tcPr>
          <w:p>
            <w:pPr>
              <w:pStyle w:val="3"/>
              <w:adjustRightInd w:val="0"/>
              <w:snapToGrid w:val="0"/>
              <w:spacing w:after="0"/>
              <w:rPr>
                <w:rFonts w:hint="eastAsia" w:ascii="宋体" w:hAnsi="宋体" w:eastAsia="宋体" w:cs="宋体"/>
                <w:bCs/>
                <w:color w:val="000000"/>
                <w:sz w:val="21"/>
                <w:szCs w:val="21"/>
                <w:lang w:val="en-US" w:eastAsia="zh-CN"/>
              </w:rPr>
            </w:pPr>
            <w:r>
              <w:rPr>
                <w:rFonts w:hint="eastAsia" w:ascii="宋体" w:hAnsi="宋体" w:eastAsia="宋体" w:cs="宋体"/>
                <w:bCs/>
                <w:color w:val="000000"/>
                <w:sz w:val="21"/>
                <w:szCs w:val="21"/>
                <w:lang w:eastAsia="zh-CN"/>
              </w:rPr>
              <w:sym w:font="Wingdings" w:char="00A8"/>
            </w:r>
            <w:r>
              <w:rPr>
                <w:rFonts w:hint="eastAsia" w:ascii="宋体" w:hAnsi="宋体" w:eastAsia="宋体" w:cs="宋体"/>
                <w:bCs/>
                <w:color w:val="000000"/>
                <w:sz w:val="21"/>
                <w:szCs w:val="21"/>
                <w:lang w:eastAsia="zh-CN"/>
              </w:rPr>
              <w:t xml:space="preserve"> 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1940" w:type="dxa"/>
            <w:shd w:val="clear" w:color="auto" w:fill="D9D9D9"/>
            <w:noWrap w:val="0"/>
            <w:vAlign w:val="center"/>
          </w:tcPr>
          <w:p>
            <w:pPr>
              <w:pStyle w:val="3"/>
              <w:adjustRightInd w:val="0"/>
              <w:snapToGrid w:val="0"/>
              <w:spacing w:after="0"/>
              <w:rPr>
                <w:rFonts w:hint="eastAsia" w:ascii="宋体" w:hAnsi="宋体" w:eastAsia="宋体" w:cs="宋体"/>
                <w:bCs/>
                <w:color w:val="000000"/>
                <w:sz w:val="21"/>
                <w:szCs w:val="21"/>
                <w:lang w:val="en-US" w:eastAsia="zh-CN"/>
              </w:rPr>
            </w:pPr>
            <w:r>
              <w:rPr>
                <w:rFonts w:hint="eastAsia" w:ascii="宋体" w:hAnsi="宋体" w:eastAsia="宋体" w:cs="宋体"/>
                <w:bCs/>
                <w:color w:val="000000"/>
                <w:sz w:val="21"/>
                <w:szCs w:val="21"/>
                <w:lang w:val="en-US" w:eastAsia="zh-CN"/>
              </w:rPr>
              <w:t>备注</w:t>
            </w:r>
          </w:p>
        </w:tc>
        <w:tc>
          <w:tcPr>
            <w:tcW w:w="7700" w:type="dxa"/>
            <w:gridSpan w:val="2"/>
            <w:noWrap w:val="0"/>
            <w:vAlign w:val="center"/>
          </w:tcPr>
          <w:p>
            <w:pPr>
              <w:pStyle w:val="3"/>
              <w:adjustRightInd w:val="0"/>
              <w:snapToGrid w:val="0"/>
              <w:spacing w:after="0"/>
              <w:rPr>
                <w:rFonts w:hint="eastAsia" w:ascii="宋体" w:hAnsi="宋体" w:eastAsia="宋体" w:cs="宋体"/>
                <w:b/>
                <w:color w:val="000000"/>
                <w:sz w:val="21"/>
                <w:szCs w:val="21"/>
                <w:lang w:eastAsia="zh-CN"/>
              </w:rPr>
            </w:pPr>
            <w:r>
              <w:rPr>
                <w:rFonts w:hint="eastAsia" w:ascii="宋体" w:hAnsi="宋体" w:eastAsia="宋体" w:cs="宋体"/>
                <w:b/>
                <w:color w:val="000000"/>
                <w:sz w:val="21"/>
                <w:szCs w:val="21"/>
                <w:lang w:val="en-US" w:eastAsia="zh-CN"/>
              </w:rPr>
              <w:t>混合集中</w:t>
            </w:r>
            <w:r>
              <w:rPr>
                <w:rFonts w:hint="eastAsia" w:ascii="宋体" w:hAnsi="宋体" w:eastAsia="宋体" w:cs="宋体"/>
                <w:b/>
                <w:color w:val="000000"/>
                <w:sz w:val="21"/>
                <w:szCs w:val="21"/>
                <w:lang w:eastAsia="zh-CN"/>
              </w:rPr>
              <w:t>：</w:t>
            </w:r>
          </w:p>
          <w:p>
            <w:pPr>
              <w:pStyle w:val="3"/>
              <w:adjustRightInd w:val="0"/>
              <w:snapToGrid w:val="0"/>
              <w:spacing w:after="0"/>
              <w:rPr>
                <w:rFonts w:hint="eastAsia" w:ascii="宋体" w:hAnsi="宋体" w:eastAsia="宋体" w:cs="宋体"/>
                <w:bCs/>
                <w:color w:val="000000"/>
                <w:sz w:val="21"/>
                <w:szCs w:val="21"/>
                <w:lang w:val="en-US" w:eastAsia="zh-CN"/>
              </w:rPr>
            </w:pPr>
            <w:r>
              <w:rPr>
                <w:rFonts w:hint="eastAsia" w:ascii="宋体" w:hAnsi="宋体" w:eastAsia="宋体" w:cs="宋体"/>
                <w:bCs/>
                <w:color w:val="000000"/>
                <w:sz w:val="21"/>
                <w:szCs w:val="21"/>
                <w:lang w:val="en-US" w:eastAsia="zh-CN"/>
              </w:rPr>
              <w:t>2022年</w:t>
            </w:r>
            <w:r>
              <w:rPr>
                <w:rFonts w:hint="eastAsia" w:ascii="宋体" w:hAnsi="宋体" w:eastAsia="宋体" w:cs="宋体"/>
                <w:bCs/>
                <w:color w:val="000000"/>
                <w:sz w:val="21"/>
                <w:szCs w:val="21"/>
                <w:lang w:eastAsia="zh-CN"/>
              </w:rPr>
              <w:t>中国境内</w:t>
            </w:r>
            <w:r>
              <w:rPr>
                <w:rFonts w:hint="eastAsia" w:ascii="宋体" w:hAnsi="宋体" w:eastAsia="宋体" w:cs="宋体"/>
                <w:bCs/>
                <w:color w:val="000000"/>
                <w:sz w:val="21"/>
                <w:szCs w:val="21"/>
                <w:lang w:val="en-US" w:eastAsia="zh-CN"/>
              </w:rPr>
              <w:t>输配电工程施工市场:</w:t>
            </w:r>
          </w:p>
          <w:p>
            <w:pPr>
              <w:pStyle w:val="3"/>
              <w:adjustRightInd w:val="0"/>
              <w:snapToGrid w:val="0"/>
              <w:spacing w:after="0"/>
              <w:rPr>
                <w:rFonts w:hint="eastAsia" w:ascii="宋体" w:hAnsi="宋体" w:eastAsia="宋体" w:cs="宋体"/>
                <w:bCs/>
                <w:color w:val="000000"/>
                <w:sz w:val="21"/>
                <w:szCs w:val="21"/>
              </w:rPr>
            </w:pPr>
            <w:r>
              <w:rPr>
                <w:rFonts w:hint="eastAsia" w:ascii="宋体" w:hAnsi="宋体" w:eastAsia="宋体" w:cs="宋体"/>
                <w:bCs/>
                <w:color w:val="000000"/>
                <w:sz w:val="21"/>
                <w:szCs w:val="21"/>
                <w:lang w:val="en-US" w:eastAsia="zh-CN"/>
              </w:rPr>
              <w:t>中山实业（含电力发展公司）：0-5%</w:t>
            </w:r>
          </w:p>
        </w:tc>
      </w:tr>
      <w:bookmarkEnd w:id="0"/>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Y4NTY3Zjg3MDRkZTUxYmY0ODYwMzExMGJjZmYwNjYifQ=="/>
  </w:docVars>
  <w:rsids>
    <w:rsidRoot w:val="79C07A43"/>
    <w:rsid w:val="79C07A4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99"/>
  </w:style>
  <w:style w:type="paragraph" w:styleId="3">
    <w:name w:val="Body Text"/>
    <w:basedOn w:val="1"/>
    <w:unhideWhenUsed/>
    <w:qFormat/>
    <w:uiPriority w:val="99"/>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其他省直机关单位</Company>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2023-10-12T08:46:00Z</dcterms:created>
  <dc:creator>胡翌婧</dc:creator>
  <cp:lastModifiedBy>胡翌婧</cp:lastModifiedBy>
  <dcterms:modified xsi:type="dcterms:W3CDTF">2023-10-12T08:47:56Z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38489F21EE914972AB2CFB890FBB92F8_11</vt:lpwstr>
  </property>
</Properties>
</file>