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ind w:firstLine="560"/>
        <w:rPr>
          <w:rFonts w:cs="Times New Roman"/>
        </w:rPr>
      </w:pPr>
    </w:p>
    <w:p>
      <w:pPr>
        <w:spacing w:line="580" w:lineRule="exact"/>
        <w:ind w:firstLine="560"/>
        <w:rPr>
          <w:rFonts w:cs="Times New Roman"/>
        </w:rPr>
      </w:pPr>
    </w:p>
    <w:p>
      <w:pPr>
        <w:pStyle w:val="4"/>
        <w:ind w:firstLine="560"/>
        <w:rPr>
          <w:lang w:eastAsia="zh-CN" w:bidi="ar-SA"/>
        </w:rPr>
      </w:pPr>
    </w:p>
    <w:p>
      <w:pPr>
        <w:pStyle w:val="4"/>
        <w:ind w:firstLine="560"/>
        <w:rPr>
          <w:lang w:eastAsia="zh-CN" w:bidi="ar-SA"/>
        </w:rPr>
      </w:pPr>
    </w:p>
    <w:p>
      <w:pPr>
        <w:pStyle w:val="4"/>
        <w:ind w:firstLine="560"/>
        <w:rPr>
          <w:lang w:eastAsia="zh-CN" w:bidi="ar-SA"/>
        </w:rPr>
      </w:pPr>
    </w:p>
    <w:p>
      <w:pPr>
        <w:pStyle w:val="7"/>
        <w:bidi w:val="0"/>
        <w:ind w:left="0" w:leftChars="0" w:firstLine="0" w:firstLineChars="0"/>
        <w:rPr>
          <w:rFonts w:hint="eastAsia" w:ascii="方正小标宋" w:hAnsi="Calibri" w:eastAsia="方正小标宋" w:cs="Times New Roman"/>
          <w:b/>
          <w:kern w:val="2"/>
          <w:sz w:val="44"/>
          <w:szCs w:val="44"/>
          <w:lang w:val="en-US" w:eastAsia="zh-CN" w:bidi="ar-SA"/>
        </w:rPr>
      </w:pPr>
      <w:bookmarkStart w:id="0" w:name="_Toc15885"/>
      <w:r>
        <w:rPr>
          <w:rFonts w:hint="eastAsia" w:ascii="方正小标宋" w:hAnsi="Calibri" w:eastAsia="方正小标宋" w:cs="Times New Roman"/>
          <w:b/>
          <w:kern w:val="2"/>
          <w:sz w:val="44"/>
          <w:szCs w:val="44"/>
          <w:lang w:val="en-US" w:eastAsia="zh-CN" w:bidi="ar-SA"/>
        </w:rPr>
        <w:t>四川省成都市地方标准</w:t>
      </w:r>
      <w:bookmarkEnd w:id="0"/>
    </w:p>
    <w:p>
      <w:pPr>
        <w:pStyle w:val="7"/>
        <w:bidi w:val="0"/>
        <w:ind w:left="0" w:leftChars="0" w:firstLine="0" w:firstLineChars="0"/>
        <w:rPr>
          <w:rFonts w:hint="eastAsia" w:ascii="方正小标宋" w:hAnsi="Calibri" w:eastAsia="方正小标宋" w:cs="Times New Roman"/>
          <w:b/>
          <w:kern w:val="2"/>
          <w:sz w:val="44"/>
          <w:szCs w:val="44"/>
          <w:lang w:val="en-US" w:eastAsia="zh-CN" w:bidi="ar-SA"/>
        </w:rPr>
      </w:pPr>
      <w:bookmarkStart w:id="1" w:name="_Toc2499"/>
      <w:r>
        <w:rPr>
          <w:rFonts w:hint="eastAsia" w:ascii="方正小标宋" w:hAnsi="Calibri" w:eastAsia="方正小标宋" w:cs="Times New Roman"/>
          <w:b/>
          <w:kern w:val="2"/>
          <w:sz w:val="44"/>
          <w:szCs w:val="44"/>
          <w:lang w:val="en-US" w:eastAsia="zh-CN" w:bidi="ar-SA"/>
        </w:rPr>
        <w:t>《核桃低产林改造技术规程》</w:t>
      </w:r>
      <w:bookmarkEnd w:id="1"/>
    </w:p>
    <w:p>
      <w:pPr>
        <w:pStyle w:val="7"/>
        <w:bidi w:val="0"/>
        <w:ind w:left="0" w:leftChars="0" w:firstLine="0" w:firstLineChars="0"/>
        <w:rPr>
          <w:rFonts w:hint="eastAsia" w:ascii="方正小标宋" w:hAnsi="Calibri" w:eastAsia="方正小标宋" w:cs="Times New Roman"/>
          <w:b/>
          <w:kern w:val="2"/>
          <w:sz w:val="44"/>
          <w:szCs w:val="44"/>
          <w:lang w:val="en-US" w:eastAsia="zh-CN" w:bidi="ar-SA"/>
        </w:rPr>
      </w:pPr>
      <w:bookmarkStart w:id="2" w:name="_Toc7893"/>
      <w:r>
        <w:rPr>
          <w:rFonts w:hint="eastAsia" w:ascii="方正小标宋" w:hAnsi="Calibri" w:eastAsia="方正小标宋" w:cs="Times New Roman"/>
          <w:b/>
          <w:kern w:val="2"/>
          <w:sz w:val="44"/>
          <w:szCs w:val="44"/>
          <w:lang w:val="en-US" w:eastAsia="zh-CN" w:bidi="ar-SA"/>
        </w:rPr>
        <w:t>（征求意见稿）编制说明</w:t>
      </w:r>
      <w:bookmarkEnd w:id="2"/>
    </w:p>
    <w:p>
      <w:pPr>
        <w:spacing w:line="580" w:lineRule="exact"/>
        <w:ind w:firstLine="0" w:firstLineChars="0"/>
        <w:rPr>
          <w:rFonts w:cs="Times New Roman"/>
        </w:rPr>
      </w:pPr>
    </w:p>
    <w:p>
      <w:pPr>
        <w:spacing w:line="580" w:lineRule="exact"/>
        <w:ind w:firstLine="0" w:firstLineChars="0"/>
        <w:rPr>
          <w:rFonts w:cs="Times New Roman"/>
        </w:rPr>
      </w:pPr>
    </w:p>
    <w:p>
      <w:pPr>
        <w:spacing w:line="580" w:lineRule="exact"/>
        <w:ind w:firstLine="0" w:firstLineChars="0"/>
        <w:rPr>
          <w:rFonts w:cs="Times New Roman"/>
        </w:rPr>
      </w:pPr>
    </w:p>
    <w:p>
      <w:pPr>
        <w:spacing w:line="580" w:lineRule="exact"/>
        <w:ind w:firstLine="0" w:firstLineChars="0"/>
        <w:rPr>
          <w:rFonts w:cs="Times New Roman"/>
        </w:rPr>
      </w:pPr>
    </w:p>
    <w:p>
      <w:pPr>
        <w:spacing w:line="580" w:lineRule="exact"/>
        <w:ind w:firstLine="0" w:firstLineChars="0"/>
        <w:rPr>
          <w:rFonts w:cs="Times New Roman"/>
        </w:rPr>
      </w:pPr>
    </w:p>
    <w:p>
      <w:pPr>
        <w:spacing w:line="580" w:lineRule="exact"/>
        <w:ind w:firstLine="0" w:firstLineChars="0"/>
        <w:rPr>
          <w:rFonts w:cs="Times New Roman"/>
        </w:rPr>
      </w:pPr>
    </w:p>
    <w:p>
      <w:pPr>
        <w:spacing w:line="580" w:lineRule="exact"/>
        <w:ind w:firstLine="0" w:firstLineChars="0"/>
        <w:rPr>
          <w:rFonts w:cs="Times New Roman"/>
        </w:rPr>
      </w:pPr>
    </w:p>
    <w:p>
      <w:pPr>
        <w:spacing w:line="580" w:lineRule="exact"/>
        <w:ind w:firstLine="0" w:firstLineChars="0"/>
        <w:rPr>
          <w:rFonts w:cs="Times New Roman"/>
        </w:rPr>
      </w:pPr>
    </w:p>
    <w:p>
      <w:pPr>
        <w:spacing w:line="580" w:lineRule="exact"/>
        <w:ind w:firstLine="0" w:firstLineChars="0"/>
        <w:rPr>
          <w:rFonts w:cs="Times New Roman"/>
        </w:rPr>
      </w:pPr>
    </w:p>
    <w:p>
      <w:pPr>
        <w:spacing w:line="580" w:lineRule="exact"/>
        <w:ind w:firstLine="0" w:firstLineChars="0"/>
        <w:rPr>
          <w:rFonts w:cs="Times New Roman"/>
        </w:rPr>
      </w:pPr>
    </w:p>
    <w:p>
      <w:pPr>
        <w:adjustRightInd w:val="0"/>
        <w:snapToGrid w:val="0"/>
        <w:ind w:left="0" w:leftChars="0" w:firstLine="0" w:firstLineChars="0"/>
        <w:jc w:val="center"/>
        <w:rPr>
          <w:rFonts w:hint="eastAsia" w:ascii="方正小标宋" w:hAnsi="Calibri" w:eastAsia="方正小标宋" w:cs="Times New Roman"/>
          <w:b w:val="0"/>
          <w:bCs/>
          <w:kern w:val="2"/>
          <w:sz w:val="32"/>
          <w:szCs w:val="32"/>
          <w:lang w:val="en-US" w:eastAsia="zh-CN" w:bidi="ar-SA"/>
        </w:rPr>
      </w:pPr>
      <w:r>
        <w:rPr>
          <w:rFonts w:hint="eastAsia" w:ascii="方正小标宋" w:hAnsi="Calibri" w:eastAsia="方正小标宋" w:cs="Times New Roman"/>
          <w:b w:val="0"/>
          <w:bCs/>
          <w:kern w:val="2"/>
          <w:sz w:val="32"/>
          <w:szCs w:val="32"/>
          <w:lang w:val="en-US" w:eastAsia="zh-CN" w:bidi="ar-SA"/>
        </w:rPr>
        <w:t>《核桃低产林改造技术规程》标准起草组</w:t>
      </w:r>
    </w:p>
    <w:p>
      <w:pPr>
        <w:adjustRightInd w:val="0"/>
        <w:snapToGrid w:val="0"/>
        <w:ind w:left="0" w:leftChars="0" w:firstLine="0" w:firstLineChars="0"/>
        <w:jc w:val="center"/>
        <w:rPr>
          <w:rFonts w:hint="eastAsia" w:ascii="方正小标宋" w:hAnsi="Calibri" w:eastAsia="方正小标宋" w:cs="Times New Roman"/>
          <w:b w:val="0"/>
          <w:bCs/>
          <w:kern w:val="2"/>
          <w:sz w:val="32"/>
          <w:szCs w:val="32"/>
          <w:lang w:val="en-US" w:eastAsia="zh-CN" w:bidi="ar-SA"/>
        </w:rPr>
      </w:pPr>
      <w:r>
        <w:rPr>
          <w:rFonts w:hint="eastAsia" w:ascii="方正小标宋" w:hAnsi="Calibri" w:eastAsia="方正小标宋" w:cs="Times New Roman"/>
          <w:b w:val="0"/>
          <w:bCs/>
          <w:kern w:val="2"/>
          <w:sz w:val="32"/>
          <w:szCs w:val="32"/>
          <w:lang w:val="en-US" w:eastAsia="zh-CN" w:bidi="ar-SA"/>
        </w:rPr>
        <w:t>二〇二三年七月</w:t>
      </w:r>
    </w:p>
    <w:p>
      <w:pPr>
        <w:spacing w:line="580" w:lineRule="exact"/>
        <w:ind w:firstLine="560"/>
        <w:rPr>
          <w:rFonts w:hint="eastAsia" w:cs="Times New Roman"/>
          <w:lang w:val="en-US" w:eastAsia="zh-CN"/>
        </w:rPr>
      </w:pPr>
    </w:p>
    <w:p>
      <w:pPr>
        <w:spacing w:line="580" w:lineRule="exact"/>
        <w:ind w:firstLine="560"/>
        <w:rPr>
          <w:rFonts w:hint="default" w:cs="Times New Roman"/>
          <w:lang w:val="en-US" w:eastAsia="zh-CN"/>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pPr>
    </w:p>
    <w:p>
      <w:pPr>
        <w:rPr>
          <w:rFonts w:hint="eastAsia"/>
          <w:lang w:val="en-US" w:eastAsia="zh-CN"/>
        </w:rPr>
      </w:pPr>
    </w:p>
    <w:sdt>
      <w:sdtPr>
        <w:rPr>
          <w:rFonts w:ascii="宋体" w:hAnsi="宋体" w:eastAsia="宋体" w:cs="Times New Roman"/>
          <w:b/>
          <w:bCs/>
          <w:kern w:val="2"/>
          <w:sz w:val="36"/>
          <w:szCs w:val="36"/>
          <w:lang w:val="en-US" w:eastAsia="zh-CN" w:bidi="ar-SA"/>
        </w:rPr>
        <w:id w:val="147475516"/>
        <w15:color w:val="DBDBDB"/>
        <w:docPartObj>
          <w:docPartGallery w:val="Table of Contents"/>
          <w:docPartUnique/>
        </w:docPartObj>
      </w:sdtPr>
      <w:sdtEndPr>
        <w:rPr>
          <w:rFonts w:hint="eastAsia" w:ascii="Calibri" w:hAnsi="Calibri" w:eastAsia="宋体" w:cs="Times New Roman"/>
          <w:b/>
          <w:bCs/>
          <w:kern w:val="2"/>
          <w:sz w:val="21"/>
          <w:szCs w:val="22"/>
          <w:lang w:val="en-US" w:eastAsia="zh-CN" w:bidi="ar-SA"/>
        </w:rPr>
      </w:sdtEndPr>
      <w:sdtContent>
        <w:p>
          <w:pPr>
            <w:keepNext w:val="0"/>
            <w:keepLines w:val="0"/>
            <w:pageBreakBefore w:val="0"/>
            <w:kinsoku/>
            <w:wordWrap/>
            <w:overflowPunct/>
            <w:topLinePunct w:val="0"/>
            <w:autoSpaceDE/>
            <w:autoSpaceDN/>
            <w:bidi w:val="0"/>
            <w:adjustRightInd/>
            <w:snapToGrid/>
            <w:spacing w:before="0" w:beforeLines="0" w:after="0" w:afterLines="0" w:line="240" w:lineRule="auto"/>
            <w:ind w:left="0" w:leftChars="0" w:right="0" w:rightChars="0" w:firstLine="0" w:firstLineChars="0"/>
            <w:jc w:val="center"/>
            <w:textAlignment w:val="auto"/>
            <w:rPr>
              <w:rFonts w:hint="default" w:ascii="Times New Roman" w:hAnsi="Times New Roman" w:eastAsia="仿宋" w:cs="Times New Roman"/>
              <w:b/>
              <w:bCs/>
              <w:sz w:val="36"/>
              <w:szCs w:val="36"/>
            </w:rPr>
          </w:pPr>
          <w:r>
            <w:rPr>
              <w:rFonts w:hint="default" w:ascii="Times New Roman" w:hAnsi="Times New Roman" w:eastAsia="仿宋" w:cs="Times New Roman"/>
              <w:b/>
              <w:bCs/>
              <w:sz w:val="36"/>
              <w:szCs w:val="36"/>
            </w:rPr>
            <w:t>目</w:t>
          </w:r>
          <w:r>
            <w:rPr>
              <w:rFonts w:hint="eastAsia" w:cs="Times New Roman"/>
              <w:b/>
              <w:bCs/>
              <w:sz w:val="36"/>
              <w:szCs w:val="36"/>
              <w:lang w:val="en-US" w:eastAsia="zh-CN"/>
            </w:rPr>
            <w:t xml:space="preserve">  </w:t>
          </w:r>
          <w:r>
            <w:rPr>
              <w:rFonts w:hint="default" w:ascii="Times New Roman" w:hAnsi="Times New Roman" w:eastAsia="仿宋" w:cs="Times New Roman"/>
              <w:b/>
              <w:bCs/>
              <w:sz w:val="36"/>
              <w:szCs w:val="36"/>
            </w:rPr>
            <w:t>录</w:t>
          </w:r>
        </w:p>
        <w:p>
          <w:pPr>
            <w:keepNext w:val="0"/>
            <w:keepLines w:val="0"/>
            <w:pageBreakBefore w:val="0"/>
            <w:kinsoku/>
            <w:wordWrap/>
            <w:overflowPunct/>
            <w:topLinePunct w:val="0"/>
            <w:autoSpaceDE/>
            <w:autoSpaceDN/>
            <w:bidi w:val="0"/>
            <w:adjustRightInd/>
            <w:snapToGrid/>
            <w:spacing w:before="0" w:beforeLines="0" w:after="0" w:afterLines="0" w:line="240" w:lineRule="auto"/>
            <w:ind w:left="0" w:leftChars="0" w:right="0" w:rightChars="0" w:firstLine="0" w:firstLineChars="0"/>
            <w:jc w:val="center"/>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lang w:val="en-US" w:eastAsia="zh-CN"/>
            </w:rPr>
            <w:fldChar w:fldCharType="begin"/>
          </w:r>
          <w:r>
            <w:rPr>
              <w:rFonts w:hint="default" w:ascii="Times New Roman" w:hAnsi="Times New Roman" w:eastAsia="仿宋" w:cs="Times New Roman"/>
              <w:sz w:val="32"/>
              <w:szCs w:val="32"/>
              <w:lang w:val="en-US" w:eastAsia="zh-CN"/>
            </w:rPr>
            <w:instrText xml:space="preserve">TOC \o "1-1" \h \u </w:instrText>
          </w:r>
          <w:r>
            <w:rPr>
              <w:rFonts w:hint="default" w:ascii="Times New Roman" w:hAnsi="Times New Roman" w:eastAsia="仿宋" w:cs="Times New Roman"/>
              <w:sz w:val="32"/>
              <w:szCs w:val="32"/>
              <w:lang w:val="en-US" w:eastAsia="zh-CN"/>
            </w:rPr>
            <w:fldChar w:fldCharType="separate"/>
          </w:r>
        </w:p>
        <w:p>
          <w:pPr>
            <w:pStyle w:val="11"/>
            <w:keepNext w:val="0"/>
            <w:keepLines w:val="0"/>
            <w:pageBreakBefore w:val="0"/>
            <w:tabs>
              <w:tab w:val="right" w:leader="dot" w:pos="8306"/>
            </w:tabs>
            <w:kinsoku/>
            <w:wordWrap/>
            <w:overflowPunct/>
            <w:topLinePunct w:val="0"/>
            <w:autoSpaceDE/>
            <w:autoSpaceDN/>
            <w:bidi w:val="0"/>
            <w:adjustRightInd/>
            <w:snapToGrid/>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lang w:val="en-US" w:eastAsia="zh-CN"/>
            </w:rPr>
            <w:fldChar w:fldCharType="begin"/>
          </w:r>
          <w:r>
            <w:rPr>
              <w:rFonts w:hint="default" w:ascii="Times New Roman" w:hAnsi="Times New Roman" w:eastAsia="仿宋" w:cs="Times New Roman"/>
              <w:sz w:val="32"/>
              <w:szCs w:val="32"/>
              <w:lang w:val="en-US" w:eastAsia="zh-CN"/>
            </w:rPr>
            <w:instrText xml:space="preserve"> HYPERLINK \l _Toc32239 </w:instrText>
          </w:r>
          <w:r>
            <w:rPr>
              <w:rFonts w:hint="default" w:ascii="Times New Roman" w:hAnsi="Times New Roman" w:eastAsia="仿宋" w:cs="Times New Roman"/>
              <w:sz w:val="32"/>
              <w:szCs w:val="32"/>
              <w:lang w:val="en-US" w:eastAsia="zh-CN"/>
            </w:rPr>
            <w:fldChar w:fldCharType="separate"/>
          </w:r>
          <w:r>
            <w:rPr>
              <w:rFonts w:hint="default" w:ascii="Times New Roman" w:hAnsi="Times New Roman" w:eastAsia="仿宋" w:cs="Times New Roman"/>
              <w:bCs w:val="0"/>
              <w:sz w:val="32"/>
              <w:szCs w:val="32"/>
            </w:rPr>
            <w:t>一、制定标准的目的和意义</w:t>
          </w:r>
          <w:r>
            <w:rPr>
              <w:rFonts w:hint="default" w:ascii="Times New Roman" w:hAnsi="Times New Roman" w:eastAsia="仿宋" w:cs="Times New Roman"/>
              <w:sz w:val="32"/>
              <w:szCs w:val="32"/>
            </w:rPr>
            <w:tab/>
          </w:r>
          <w:r>
            <w:rPr>
              <w:rFonts w:hint="default" w:ascii="Times New Roman" w:hAnsi="Times New Roman" w:eastAsia="仿宋" w:cs="Times New Roman"/>
              <w:sz w:val="32"/>
              <w:szCs w:val="32"/>
            </w:rPr>
            <w:fldChar w:fldCharType="begin"/>
          </w:r>
          <w:r>
            <w:rPr>
              <w:rFonts w:hint="default" w:ascii="Times New Roman" w:hAnsi="Times New Roman" w:eastAsia="仿宋" w:cs="Times New Roman"/>
              <w:sz w:val="32"/>
              <w:szCs w:val="32"/>
            </w:rPr>
            <w:instrText xml:space="preserve"> PAGEREF _Toc32239 \h </w:instrText>
          </w:r>
          <w:r>
            <w:rPr>
              <w:rFonts w:hint="default" w:ascii="Times New Roman" w:hAnsi="Times New Roman" w:eastAsia="仿宋" w:cs="Times New Roman"/>
              <w:sz w:val="32"/>
              <w:szCs w:val="32"/>
            </w:rPr>
            <w:fldChar w:fldCharType="separate"/>
          </w:r>
          <w:r>
            <w:rPr>
              <w:rFonts w:hint="default" w:ascii="Times New Roman" w:hAnsi="Times New Roman" w:eastAsia="仿宋" w:cs="Times New Roman"/>
              <w:sz w:val="32"/>
              <w:szCs w:val="32"/>
            </w:rPr>
            <w:t>1</w:t>
          </w:r>
          <w:r>
            <w:rPr>
              <w:rFonts w:hint="default" w:ascii="Times New Roman" w:hAnsi="Times New Roman" w:eastAsia="仿宋" w:cs="Times New Roman"/>
              <w:sz w:val="32"/>
              <w:szCs w:val="32"/>
            </w:rPr>
            <w:fldChar w:fldCharType="end"/>
          </w:r>
          <w:r>
            <w:rPr>
              <w:rFonts w:hint="default" w:ascii="Times New Roman" w:hAnsi="Times New Roman" w:eastAsia="仿宋" w:cs="Times New Roman"/>
              <w:sz w:val="32"/>
              <w:szCs w:val="32"/>
              <w:lang w:val="en-US" w:eastAsia="zh-CN"/>
            </w:rPr>
            <w:fldChar w:fldCharType="end"/>
          </w:r>
        </w:p>
        <w:p>
          <w:pPr>
            <w:pStyle w:val="11"/>
            <w:keepNext w:val="0"/>
            <w:keepLines w:val="0"/>
            <w:pageBreakBefore w:val="0"/>
            <w:tabs>
              <w:tab w:val="right" w:leader="dot" w:pos="8306"/>
            </w:tabs>
            <w:kinsoku/>
            <w:wordWrap/>
            <w:overflowPunct/>
            <w:topLinePunct w:val="0"/>
            <w:autoSpaceDE/>
            <w:autoSpaceDN/>
            <w:bidi w:val="0"/>
            <w:adjustRightInd/>
            <w:snapToGrid/>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lang w:val="en-US" w:eastAsia="zh-CN"/>
            </w:rPr>
            <w:fldChar w:fldCharType="begin"/>
          </w:r>
          <w:r>
            <w:rPr>
              <w:rFonts w:hint="default" w:ascii="Times New Roman" w:hAnsi="Times New Roman" w:eastAsia="仿宋" w:cs="Times New Roman"/>
              <w:sz w:val="32"/>
              <w:szCs w:val="32"/>
              <w:lang w:val="en-US" w:eastAsia="zh-CN"/>
            </w:rPr>
            <w:instrText xml:space="preserve"> HYPERLINK \l _Toc12510 </w:instrText>
          </w:r>
          <w:r>
            <w:rPr>
              <w:rFonts w:hint="default" w:ascii="Times New Roman" w:hAnsi="Times New Roman" w:eastAsia="仿宋" w:cs="Times New Roman"/>
              <w:sz w:val="32"/>
              <w:szCs w:val="32"/>
              <w:lang w:val="en-US" w:eastAsia="zh-CN"/>
            </w:rPr>
            <w:fldChar w:fldCharType="separate"/>
          </w:r>
          <w:r>
            <w:rPr>
              <w:rFonts w:hint="default" w:ascii="Times New Roman" w:hAnsi="Times New Roman" w:eastAsia="仿宋" w:cs="Times New Roman"/>
              <w:bCs w:val="0"/>
              <w:sz w:val="32"/>
              <w:szCs w:val="32"/>
            </w:rPr>
            <w:t>二、任务来源</w:t>
          </w:r>
          <w:r>
            <w:rPr>
              <w:rFonts w:hint="default" w:ascii="Times New Roman" w:hAnsi="Times New Roman" w:eastAsia="仿宋" w:cs="Times New Roman"/>
              <w:sz w:val="32"/>
              <w:szCs w:val="32"/>
            </w:rPr>
            <w:tab/>
          </w:r>
          <w:r>
            <w:rPr>
              <w:rFonts w:hint="default" w:ascii="Times New Roman" w:hAnsi="Times New Roman" w:eastAsia="仿宋" w:cs="Times New Roman"/>
              <w:sz w:val="32"/>
              <w:szCs w:val="32"/>
            </w:rPr>
            <w:fldChar w:fldCharType="begin"/>
          </w:r>
          <w:r>
            <w:rPr>
              <w:rFonts w:hint="default" w:ascii="Times New Roman" w:hAnsi="Times New Roman" w:eastAsia="仿宋" w:cs="Times New Roman"/>
              <w:sz w:val="32"/>
              <w:szCs w:val="32"/>
            </w:rPr>
            <w:instrText xml:space="preserve"> PAGEREF _Toc12510 \h </w:instrText>
          </w:r>
          <w:r>
            <w:rPr>
              <w:rFonts w:hint="default" w:ascii="Times New Roman" w:hAnsi="Times New Roman" w:eastAsia="仿宋" w:cs="Times New Roman"/>
              <w:sz w:val="32"/>
              <w:szCs w:val="32"/>
            </w:rPr>
            <w:fldChar w:fldCharType="separate"/>
          </w:r>
          <w:r>
            <w:rPr>
              <w:rFonts w:hint="default" w:ascii="Times New Roman" w:hAnsi="Times New Roman" w:eastAsia="仿宋" w:cs="Times New Roman"/>
              <w:sz w:val="32"/>
              <w:szCs w:val="32"/>
            </w:rPr>
            <w:t>2</w:t>
          </w:r>
          <w:r>
            <w:rPr>
              <w:rFonts w:hint="default" w:ascii="Times New Roman" w:hAnsi="Times New Roman" w:eastAsia="仿宋" w:cs="Times New Roman"/>
              <w:sz w:val="32"/>
              <w:szCs w:val="32"/>
            </w:rPr>
            <w:fldChar w:fldCharType="end"/>
          </w:r>
          <w:r>
            <w:rPr>
              <w:rFonts w:hint="default" w:ascii="Times New Roman" w:hAnsi="Times New Roman" w:eastAsia="仿宋" w:cs="Times New Roman"/>
              <w:sz w:val="32"/>
              <w:szCs w:val="32"/>
              <w:lang w:val="en-US" w:eastAsia="zh-CN"/>
            </w:rPr>
            <w:fldChar w:fldCharType="end"/>
          </w:r>
        </w:p>
        <w:p>
          <w:pPr>
            <w:pStyle w:val="11"/>
            <w:keepNext w:val="0"/>
            <w:keepLines w:val="0"/>
            <w:pageBreakBefore w:val="0"/>
            <w:tabs>
              <w:tab w:val="right" w:leader="dot" w:pos="8306"/>
            </w:tabs>
            <w:kinsoku/>
            <w:wordWrap/>
            <w:overflowPunct/>
            <w:topLinePunct w:val="0"/>
            <w:autoSpaceDE/>
            <w:autoSpaceDN/>
            <w:bidi w:val="0"/>
            <w:adjustRightInd/>
            <w:snapToGrid/>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lang w:val="en-US" w:eastAsia="zh-CN"/>
            </w:rPr>
            <w:fldChar w:fldCharType="begin"/>
          </w:r>
          <w:r>
            <w:rPr>
              <w:rFonts w:hint="default" w:ascii="Times New Roman" w:hAnsi="Times New Roman" w:eastAsia="仿宋" w:cs="Times New Roman"/>
              <w:sz w:val="32"/>
              <w:szCs w:val="32"/>
              <w:lang w:val="en-US" w:eastAsia="zh-CN"/>
            </w:rPr>
            <w:instrText xml:space="preserve"> HYPERLINK \l _Toc26058 </w:instrText>
          </w:r>
          <w:r>
            <w:rPr>
              <w:rFonts w:hint="default" w:ascii="Times New Roman" w:hAnsi="Times New Roman" w:eastAsia="仿宋" w:cs="Times New Roman"/>
              <w:sz w:val="32"/>
              <w:szCs w:val="32"/>
              <w:lang w:val="en-US" w:eastAsia="zh-CN"/>
            </w:rPr>
            <w:fldChar w:fldCharType="separate"/>
          </w:r>
          <w:r>
            <w:rPr>
              <w:rFonts w:hint="default" w:ascii="Times New Roman" w:hAnsi="Times New Roman" w:eastAsia="仿宋" w:cs="Times New Roman"/>
              <w:bCs w:val="0"/>
              <w:sz w:val="32"/>
              <w:szCs w:val="32"/>
            </w:rPr>
            <w:t>三、工作简况</w:t>
          </w:r>
          <w:r>
            <w:rPr>
              <w:rFonts w:hint="default" w:ascii="Times New Roman" w:hAnsi="Times New Roman" w:eastAsia="仿宋" w:cs="Times New Roman"/>
              <w:sz w:val="32"/>
              <w:szCs w:val="32"/>
            </w:rPr>
            <w:tab/>
          </w:r>
          <w:r>
            <w:rPr>
              <w:rFonts w:hint="default" w:ascii="Times New Roman" w:hAnsi="Times New Roman" w:eastAsia="仿宋" w:cs="Times New Roman"/>
              <w:sz w:val="32"/>
              <w:szCs w:val="32"/>
            </w:rPr>
            <w:fldChar w:fldCharType="begin"/>
          </w:r>
          <w:r>
            <w:rPr>
              <w:rFonts w:hint="default" w:ascii="Times New Roman" w:hAnsi="Times New Roman" w:eastAsia="仿宋" w:cs="Times New Roman"/>
              <w:sz w:val="32"/>
              <w:szCs w:val="32"/>
            </w:rPr>
            <w:instrText xml:space="preserve"> PAGEREF _Toc26058 \h </w:instrText>
          </w:r>
          <w:r>
            <w:rPr>
              <w:rFonts w:hint="default" w:ascii="Times New Roman" w:hAnsi="Times New Roman" w:eastAsia="仿宋" w:cs="Times New Roman"/>
              <w:sz w:val="32"/>
              <w:szCs w:val="32"/>
            </w:rPr>
            <w:fldChar w:fldCharType="separate"/>
          </w:r>
          <w:r>
            <w:rPr>
              <w:rFonts w:hint="default" w:ascii="Times New Roman" w:hAnsi="Times New Roman" w:eastAsia="仿宋" w:cs="Times New Roman"/>
              <w:sz w:val="32"/>
              <w:szCs w:val="32"/>
            </w:rPr>
            <w:t>2</w:t>
          </w:r>
          <w:r>
            <w:rPr>
              <w:rFonts w:hint="default" w:ascii="Times New Roman" w:hAnsi="Times New Roman" w:eastAsia="仿宋" w:cs="Times New Roman"/>
              <w:sz w:val="32"/>
              <w:szCs w:val="32"/>
            </w:rPr>
            <w:fldChar w:fldCharType="end"/>
          </w:r>
          <w:r>
            <w:rPr>
              <w:rFonts w:hint="default" w:ascii="Times New Roman" w:hAnsi="Times New Roman" w:eastAsia="仿宋" w:cs="Times New Roman"/>
              <w:sz w:val="32"/>
              <w:szCs w:val="32"/>
              <w:lang w:val="en-US" w:eastAsia="zh-CN"/>
            </w:rPr>
            <w:fldChar w:fldCharType="end"/>
          </w:r>
        </w:p>
        <w:p>
          <w:pPr>
            <w:pStyle w:val="11"/>
            <w:keepNext w:val="0"/>
            <w:keepLines w:val="0"/>
            <w:pageBreakBefore w:val="0"/>
            <w:tabs>
              <w:tab w:val="right" w:leader="dot" w:pos="8306"/>
            </w:tabs>
            <w:kinsoku/>
            <w:wordWrap/>
            <w:overflowPunct/>
            <w:topLinePunct w:val="0"/>
            <w:autoSpaceDE/>
            <w:autoSpaceDN/>
            <w:bidi w:val="0"/>
            <w:adjustRightInd/>
            <w:snapToGrid/>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lang w:val="en-US" w:eastAsia="zh-CN"/>
            </w:rPr>
            <w:fldChar w:fldCharType="begin"/>
          </w:r>
          <w:r>
            <w:rPr>
              <w:rFonts w:hint="default" w:ascii="Times New Roman" w:hAnsi="Times New Roman" w:eastAsia="仿宋" w:cs="Times New Roman"/>
              <w:sz w:val="32"/>
              <w:szCs w:val="32"/>
              <w:lang w:val="en-US" w:eastAsia="zh-CN"/>
            </w:rPr>
            <w:instrText xml:space="preserve"> HYPERLINK \l _Toc25228 </w:instrText>
          </w:r>
          <w:r>
            <w:rPr>
              <w:rFonts w:hint="default" w:ascii="Times New Roman" w:hAnsi="Times New Roman" w:eastAsia="仿宋" w:cs="Times New Roman"/>
              <w:sz w:val="32"/>
              <w:szCs w:val="32"/>
              <w:lang w:val="en-US" w:eastAsia="zh-CN"/>
            </w:rPr>
            <w:fldChar w:fldCharType="separate"/>
          </w:r>
          <w:r>
            <w:rPr>
              <w:rFonts w:hint="default" w:ascii="Times New Roman" w:hAnsi="Times New Roman" w:eastAsia="仿宋" w:cs="Times New Roman"/>
              <w:sz w:val="32"/>
              <w:szCs w:val="32"/>
            </w:rPr>
            <w:t>四、制定标准的原则和依据</w:t>
          </w:r>
          <w:r>
            <w:rPr>
              <w:rFonts w:hint="default" w:ascii="Times New Roman" w:hAnsi="Times New Roman" w:eastAsia="仿宋" w:cs="Times New Roman"/>
              <w:sz w:val="32"/>
              <w:szCs w:val="32"/>
            </w:rPr>
            <w:tab/>
          </w:r>
          <w:r>
            <w:rPr>
              <w:rFonts w:hint="default" w:ascii="Times New Roman" w:hAnsi="Times New Roman" w:eastAsia="仿宋" w:cs="Times New Roman"/>
              <w:sz w:val="32"/>
              <w:szCs w:val="32"/>
            </w:rPr>
            <w:fldChar w:fldCharType="begin"/>
          </w:r>
          <w:r>
            <w:rPr>
              <w:rFonts w:hint="default" w:ascii="Times New Roman" w:hAnsi="Times New Roman" w:eastAsia="仿宋" w:cs="Times New Roman"/>
              <w:sz w:val="32"/>
              <w:szCs w:val="32"/>
            </w:rPr>
            <w:instrText xml:space="preserve"> PAGEREF _Toc25228 \h </w:instrText>
          </w:r>
          <w:r>
            <w:rPr>
              <w:rFonts w:hint="default" w:ascii="Times New Roman" w:hAnsi="Times New Roman" w:eastAsia="仿宋" w:cs="Times New Roman"/>
              <w:sz w:val="32"/>
              <w:szCs w:val="32"/>
            </w:rPr>
            <w:fldChar w:fldCharType="separate"/>
          </w:r>
          <w:r>
            <w:rPr>
              <w:rFonts w:hint="default" w:ascii="Times New Roman" w:hAnsi="Times New Roman" w:eastAsia="仿宋" w:cs="Times New Roman"/>
              <w:sz w:val="32"/>
              <w:szCs w:val="32"/>
            </w:rPr>
            <w:t>6</w:t>
          </w:r>
          <w:r>
            <w:rPr>
              <w:rFonts w:hint="default" w:ascii="Times New Roman" w:hAnsi="Times New Roman" w:eastAsia="仿宋" w:cs="Times New Roman"/>
              <w:sz w:val="32"/>
              <w:szCs w:val="32"/>
            </w:rPr>
            <w:fldChar w:fldCharType="end"/>
          </w:r>
          <w:r>
            <w:rPr>
              <w:rFonts w:hint="default" w:ascii="Times New Roman" w:hAnsi="Times New Roman" w:eastAsia="仿宋" w:cs="Times New Roman"/>
              <w:sz w:val="32"/>
              <w:szCs w:val="32"/>
              <w:lang w:val="en-US" w:eastAsia="zh-CN"/>
            </w:rPr>
            <w:fldChar w:fldCharType="end"/>
          </w:r>
        </w:p>
        <w:p>
          <w:pPr>
            <w:pStyle w:val="11"/>
            <w:keepNext w:val="0"/>
            <w:keepLines w:val="0"/>
            <w:pageBreakBefore w:val="0"/>
            <w:tabs>
              <w:tab w:val="right" w:leader="dot" w:pos="8306"/>
            </w:tabs>
            <w:kinsoku/>
            <w:wordWrap/>
            <w:overflowPunct/>
            <w:topLinePunct w:val="0"/>
            <w:autoSpaceDE/>
            <w:autoSpaceDN/>
            <w:bidi w:val="0"/>
            <w:adjustRightInd/>
            <w:snapToGrid/>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lang w:val="en-US" w:eastAsia="zh-CN"/>
            </w:rPr>
            <w:fldChar w:fldCharType="begin"/>
          </w:r>
          <w:r>
            <w:rPr>
              <w:rFonts w:hint="default" w:ascii="Times New Roman" w:hAnsi="Times New Roman" w:eastAsia="仿宋" w:cs="Times New Roman"/>
              <w:sz w:val="32"/>
              <w:szCs w:val="32"/>
              <w:lang w:val="en-US" w:eastAsia="zh-CN"/>
            </w:rPr>
            <w:instrText xml:space="preserve"> HYPERLINK \l _Toc19370 </w:instrText>
          </w:r>
          <w:r>
            <w:rPr>
              <w:rFonts w:hint="default" w:ascii="Times New Roman" w:hAnsi="Times New Roman" w:eastAsia="仿宋" w:cs="Times New Roman"/>
              <w:sz w:val="32"/>
              <w:szCs w:val="32"/>
              <w:lang w:val="en-US" w:eastAsia="zh-CN"/>
            </w:rPr>
            <w:fldChar w:fldCharType="separate"/>
          </w:r>
          <w:r>
            <w:rPr>
              <w:rFonts w:hint="default" w:ascii="Times New Roman" w:hAnsi="Times New Roman" w:eastAsia="仿宋" w:cs="Times New Roman"/>
              <w:sz w:val="32"/>
              <w:szCs w:val="32"/>
            </w:rPr>
            <w:t>五、主要技术内容的确定依据</w:t>
          </w:r>
          <w:r>
            <w:rPr>
              <w:rFonts w:hint="default" w:ascii="Times New Roman" w:hAnsi="Times New Roman" w:eastAsia="仿宋" w:cs="Times New Roman"/>
              <w:sz w:val="32"/>
              <w:szCs w:val="32"/>
            </w:rPr>
            <w:tab/>
          </w:r>
          <w:r>
            <w:rPr>
              <w:rFonts w:hint="default" w:ascii="Times New Roman" w:hAnsi="Times New Roman" w:eastAsia="仿宋" w:cs="Times New Roman"/>
              <w:sz w:val="32"/>
              <w:szCs w:val="32"/>
            </w:rPr>
            <w:fldChar w:fldCharType="begin"/>
          </w:r>
          <w:r>
            <w:rPr>
              <w:rFonts w:hint="default" w:ascii="Times New Roman" w:hAnsi="Times New Roman" w:eastAsia="仿宋" w:cs="Times New Roman"/>
              <w:sz w:val="32"/>
              <w:szCs w:val="32"/>
            </w:rPr>
            <w:instrText xml:space="preserve"> PAGEREF _Toc19370 \h </w:instrText>
          </w:r>
          <w:r>
            <w:rPr>
              <w:rFonts w:hint="default" w:ascii="Times New Roman" w:hAnsi="Times New Roman" w:eastAsia="仿宋" w:cs="Times New Roman"/>
              <w:sz w:val="32"/>
              <w:szCs w:val="32"/>
            </w:rPr>
            <w:fldChar w:fldCharType="separate"/>
          </w:r>
          <w:r>
            <w:rPr>
              <w:rFonts w:hint="default" w:ascii="Times New Roman" w:hAnsi="Times New Roman" w:eastAsia="仿宋" w:cs="Times New Roman"/>
              <w:sz w:val="32"/>
              <w:szCs w:val="32"/>
            </w:rPr>
            <w:t>7</w:t>
          </w:r>
          <w:r>
            <w:rPr>
              <w:rFonts w:hint="default" w:ascii="Times New Roman" w:hAnsi="Times New Roman" w:eastAsia="仿宋" w:cs="Times New Roman"/>
              <w:sz w:val="32"/>
              <w:szCs w:val="32"/>
            </w:rPr>
            <w:fldChar w:fldCharType="end"/>
          </w:r>
          <w:r>
            <w:rPr>
              <w:rFonts w:hint="default" w:ascii="Times New Roman" w:hAnsi="Times New Roman" w:eastAsia="仿宋" w:cs="Times New Roman"/>
              <w:sz w:val="32"/>
              <w:szCs w:val="32"/>
              <w:lang w:val="en-US" w:eastAsia="zh-CN"/>
            </w:rPr>
            <w:fldChar w:fldCharType="end"/>
          </w:r>
        </w:p>
        <w:p>
          <w:pPr>
            <w:pStyle w:val="11"/>
            <w:keepNext w:val="0"/>
            <w:keepLines w:val="0"/>
            <w:pageBreakBefore w:val="0"/>
            <w:tabs>
              <w:tab w:val="right" w:leader="dot" w:pos="8306"/>
            </w:tabs>
            <w:kinsoku/>
            <w:wordWrap/>
            <w:overflowPunct/>
            <w:topLinePunct w:val="0"/>
            <w:autoSpaceDE/>
            <w:autoSpaceDN/>
            <w:bidi w:val="0"/>
            <w:adjustRightInd/>
            <w:snapToGrid/>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lang w:val="en-US" w:eastAsia="zh-CN"/>
            </w:rPr>
            <w:fldChar w:fldCharType="begin"/>
          </w:r>
          <w:r>
            <w:rPr>
              <w:rFonts w:hint="default" w:ascii="Times New Roman" w:hAnsi="Times New Roman" w:eastAsia="仿宋" w:cs="Times New Roman"/>
              <w:sz w:val="32"/>
              <w:szCs w:val="32"/>
              <w:lang w:val="en-US" w:eastAsia="zh-CN"/>
            </w:rPr>
            <w:instrText xml:space="preserve"> HYPERLINK \l _Toc7248 </w:instrText>
          </w:r>
          <w:r>
            <w:rPr>
              <w:rFonts w:hint="default" w:ascii="Times New Roman" w:hAnsi="Times New Roman" w:eastAsia="仿宋" w:cs="Times New Roman"/>
              <w:sz w:val="32"/>
              <w:szCs w:val="32"/>
              <w:lang w:val="en-US" w:eastAsia="zh-CN"/>
            </w:rPr>
            <w:fldChar w:fldCharType="separate"/>
          </w:r>
          <w:r>
            <w:rPr>
              <w:rFonts w:hint="default" w:ascii="Times New Roman" w:hAnsi="Times New Roman" w:eastAsia="仿宋" w:cs="Times New Roman"/>
              <w:sz w:val="32"/>
              <w:szCs w:val="32"/>
            </w:rPr>
            <w:t>六、重大分歧意见的处理</w:t>
          </w:r>
          <w:r>
            <w:rPr>
              <w:rFonts w:hint="default" w:ascii="Times New Roman" w:hAnsi="Times New Roman" w:eastAsia="仿宋" w:cs="Times New Roman"/>
              <w:sz w:val="32"/>
              <w:szCs w:val="32"/>
            </w:rPr>
            <w:tab/>
          </w:r>
          <w:r>
            <w:rPr>
              <w:rFonts w:hint="default" w:ascii="Times New Roman" w:hAnsi="Times New Roman" w:eastAsia="仿宋" w:cs="Times New Roman"/>
              <w:sz w:val="32"/>
              <w:szCs w:val="32"/>
            </w:rPr>
            <w:fldChar w:fldCharType="begin"/>
          </w:r>
          <w:r>
            <w:rPr>
              <w:rFonts w:hint="default" w:ascii="Times New Roman" w:hAnsi="Times New Roman" w:eastAsia="仿宋" w:cs="Times New Roman"/>
              <w:sz w:val="32"/>
              <w:szCs w:val="32"/>
            </w:rPr>
            <w:instrText xml:space="preserve"> PAGEREF _Toc7248 \h </w:instrText>
          </w:r>
          <w:r>
            <w:rPr>
              <w:rFonts w:hint="default" w:ascii="Times New Roman" w:hAnsi="Times New Roman" w:eastAsia="仿宋" w:cs="Times New Roman"/>
              <w:sz w:val="32"/>
              <w:szCs w:val="32"/>
            </w:rPr>
            <w:fldChar w:fldCharType="separate"/>
          </w:r>
          <w:r>
            <w:rPr>
              <w:rFonts w:hint="default" w:ascii="Times New Roman" w:hAnsi="Times New Roman" w:eastAsia="仿宋" w:cs="Times New Roman"/>
              <w:sz w:val="32"/>
              <w:szCs w:val="32"/>
            </w:rPr>
            <w:t>12</w:t>
          </w:r>
          <w:r>
            <w:rPr>
              <w:rFonts w:hint="default" w:ascii="Times New Roman" w:hAnsi="Times New Roman" w:eastAsia="仿宋" w:cs="Times New Roman"/>
              <w:sz w:val="32"/>
              <w:szCs w:val="32"/>
            </w:rPr>
            <w:fldChar w:fldCharType="end"/>
          </w:r>
          <w:r>
            <w:rPr>
              <w:rFonts w:hint="default" w:ascii="Times New Roman" w:hAnsi="Times New Roman" w:eastAsia="仿宋" w:cs="Times New Roman"/>
              <w:sz w:val="32"/>
              <w:szCs w:val="32"/>
              <w:lang w:val="en-US" w:eastAsia="zh-CN"/>
            </w:rPr>
            <w:fldChar w:fldCharType="end"/>
          </w:r>
        </w:p>
        <w:p>
          <w:pPr>
            <w:pStyle w:val="11"/>
            <w:keepNext w:val="0"/>
            <w:keepLines w:val="0"/>
            <w:pageBreakBefore w:val="0"/>
            <w:tabs>
              <w:tab w:val="right" w:leader="dot" w:pos="8306"/>
            </w:tabs>
            <w:kinsoku/>
            <w:wordWrap/>
            <w:overflowPunct/>
            <w:topLinePunct w:val="0"/>
            <w:autoSpaceDE/>
            <w:autoSpaceDN/>
            <w:bidi w:val="0"/>
            <w:adjustRightInd/>
            <w:snapToGrid/>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lang w:val="en-US" w:eastAsia="zh-CN"/>
            </w:rPr>
            <w:fldChar w:fldCharType="begin"/>
          </w:r>
          <w:r>
            <w:rPr>
              <w:rFonts w:hint="default" w:ascii="Times New Roman" w:hAnsi="Times New Roman" w:eastAsia="仿宋" w:cs="Times New Roman"/>
              <w:sz w:val="32"/>
              <w:szCs w:val="32"/>
              <w:lang w:val="en-US" w:eastAsia="zh-CN"/>
            </w:rPr>
            <w:instrText xml:space="preserve"> HYPERLINK \l _Toc18377 </w:instrText>
          </w:r>
          <w:r>
            <w:rPr>
              <w:rFonts w:hint="default" w:ascii="Times New Roman" w:hAnsi="Times New Roman" w:eastAsia="仿宋" w:cs="Times New Roman"/>
              <w:sz w:val="32"/>
              <w:szCs w:val="32"/>
              <w:lang w:val="en-US" w:eastAsia="zh-CN"/>
            </w:rPr>
            <w:fldChar w:fldCharType="separate"/>
          </w:r>
          <w:r>
            <w:rPr>
              <w:rFonts w:hint="default" w:ascii="Times New Roman" w:hAnsi="Times New Roman" w:eastAsia="仿宋" w:cs="Times New Roman"/>
              <w:sz w:val="32"/>
              <w:szCs w:val="32"/>
            </w:rPr>
            <w:t>七、采用国家标准情况</w:t>
          </w:r>
          <w:r>
            <w:rPr>
              <w:rFonts w:hint="default" w:ascii="Times New Roman" w:hAnsi="Times New Roman" w:eastAsia="仿宋" w:cs="Times New Roman"/>
              <w:sz w:val="32"/>
              <w:szCs w:val="32"/>
            </w:rPr>
            <w:tab/>
          </w:r>
          <w:r>
            <w:rPr>
              <w:rFonts w:hint="default" w:ascii="Times New Roman" w:hAnsi="Times New Roman" w:eastAsia="仿宋" w:cs="Times New Roman"/>
              <w:sz w:val="32"/>
              <w:szCs w:val="32"/>
            </w:rPr>
            <w:fldChar w:fldCharType="begin"/>
          </w:r>
          <w:r>
            <w:rPr>
              <w:rFonts w:hint="default" w:ascii="Times New Roman" w:hAnsi="Times New Roman" w:eastAsia="仿宋" w:cs="Times New Roman"/>
              <w:sz w:val="32"/>
              <w:szCs w:val="32"/>
            </w:rPr>
            <w:instrText xml:space="preserve"> PAGEREF _Toc18377 \h </w:instrText>
          </w:r>
          <w:r>
            <w:rPr>
              <w:rFonts w:hint="default" w:ascii="Times New Roman" w:hAnsi="Times New Roman" w:eastAsia="仿宋" w:cs="Times New Roman"/>
              <w:sz w:val="32"/>
              <w:szCs w:val="32"/>
            </w:rPr>
            <w:fldChar w:fldCharType="separate"/>
          </w:r>
          <w:r>
            <w:rPr>
              <w:rFonts w:hint="default" w:ascii="Times New Roman" w:hAnsi="Times New Roman" w:eastAsia="仿宋" w:cs="Times New Roman"/>
              <w:sz w:val="32"/>
              <w:szCs w:val="32"/>
            </w:rPr>
            <w:t>12</w:t>
          </w:r>
          <w:r>
            <w:rPr>
              <w:rFonts w:hint="default" w:ascii="Times New Roman" w:hAnsi="Times New Roman" w:eastAsia="仿宋" w:cs="Times New Roman"/>
              <w:sz w:val="32"/>
              <w:szCs w:val="32"/>
            </w:rPr>
            <w:fldChar w:fldCharType="end"/>
          </w:r>
          <w:r>
            <w:rPr>
              <w:rFonts w:hint="default" w:ascii="Times New Roman" w:hAnsi="Times New Roman" w:eastAsia="仿宋" w:cs="Times New Roman"/>
              <w:sz w:val="32"/>
              <w:szCs w:val="32"/>
              <w:lang w:val="en-US" w:eastAsia="zh-CN"/>
            </w:rPr>
            <w:fldChar w:fldCharType="end"/>
          </w:r>
        </w:p>
        <w:p>
          <w:pPr>
            <w:pStyle w:val="11"/>
            <w:keepNext w:val="0"/>
            <w:keepLines w:val="0"/>
            <w:pageBreakBefore w:val="0"/>
            <w:tabs>
              <w:tab w:val="right" w:leader="dot" w:pos="8306"/>
            </w:tabs>
            <w:kinsoku/>
            <w:wordWrap/>
            <w:overflowPunct/>
            <w:topLinePunct w:val="0"/>
            <w:autoSpaceDE/>
            <w:autoSpaceDN/>
            <w:bidi w:val="0"/>
            <w:adjustRightInd/>
            <w:snapToGrid/>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lang w:val="en-US" w:eastAsia="zh-CN"/>
            </w:rPr>
            <w:fldChar w:fldCharType="begin"/>
          </w:r>
          <w:r>
            <w:rPr>
              <w:rFonts w:hint="default" w:ascii="Times New Roman" w:hAnsi="Times New Roman" w:eastAsia="仿宋" w:cs="Times New Roman"/>
              <w:sz w:val="32"/>
              <w:szCs w:val="32"/>
              <w:lang w:val="en-US" w:eastAsia="zh-CN"/>
            </w:rPr>
            <w:instrText xml:space="preserve"> HYPERLINK \l _Toc26829 </w:instrText>
          </w:r>
          <w:r>
            <w:rPr>
              <w:rFonts w:hint="default" w:ascii="Times New Roman" w:hAnsi="Times New Roman" w:eastAsia="仿宋" w:cs="Times New Roman"/>
              <w:sz w:val="32"/>
              <w:szCs w:val="32"/>
              <w:lang w:val="en-US" w:eastAsia="zh-CN"/>
            </w:rPr>
            <w:fldChar w:fldCharType="separate"/>
          </w:r>
          <w:r>
            <w:rPr>
              <w:rFonts w:hint="default" w:ascii="Times New Roman" w:hAnsi="Times New Roman" w:eastAsia="仿宋" w:cs="Times New Roman"/>
              <w:sz w:val="32"/>
              <w:szCs w:val="32"/>
            </w:rPr>
            <w:t>八、与现行法律法规和强制性标准的关系</w:t>
          </w:r>
          <w:r>
            <w:rPr>
              <w:rFonts w:hint="default" w:ascii="Times New Roman" w:hAnsi="Times New Roman" w:eastAsia="仿宋" w:cs="Times New Roman"/>
              <w:sz w:val="32"/>
              <w:szCs w:val="32"/>
            </w:rPr>
            <w:tab/>
          </w:r>
          <w:r>
            <w:rPr>
              <w:rFonts w:hint="default" w:ascii="Times New Roman" w:hAnsi="Times New Roman" w:eastAsia="仿宋" w:cs="Times New Roman"/>
              <w:sz w:val="32"/>
              <w:szCs w:val="32"/>
            </w:rPr>
            <w:fldChar w:fldCharType="begin"/>
          </w:r>
          <w:r>
            <w:rPr>
              <w:rFonts w:hint="default" w:ascii="Times New Roman" w:hAnsi="Times New Roman" w:eastAsia="仿宋" w:cs="Times New Roman"/>
              <w:sz w:val="32"/>
              <w:szCs w:val="32"/>
            </w:rPr>
            <w:instrText xml:space="preserve"> PAGEREF _Toc26829 \h </w:instrText>
          </w:r>
          <w:r>
            <w:rPr>
              <w:rFonts w:hint="default" w:ascii="Times New Roman" w:hAnsi="Times New Roman" w:eastAsia="仿宋" w:cs="Times New Roman"/>
              <w:sz w:val="32"/>
              <w:szCs w:val="32"/>
            </w:rPr>
            <w:fldChar w:fldCharType="separate"/>
          </w:r>
          <w:r>
            <w:rPr>
              <w:rFonts w:hint="default" w:ascii="Times New Roman" w:hAnsi="Times New Roman" w:eastAsia="仿宋" w:cs="Times New Roman"/>
              <w:sz w:val="32"/>
              <w:szCs w:val="32"/>
            </w:rPr>
            <w:t>13</w:t>
          </w:r>
          <w:r>
            <w:rPr>
              <w:rFonts w:hint="default" w:ascii="Times New Roman" w:hAnsi="Times New Roman" w:eastAsia="仿宋" w:cs="Times New Roman"/>
              <w:sz w:val="32"/>
              <w:szCs w:val="32"/>
            </w:rPr>
            <w:fldChar w:fldCharType="end"/>
          </w:r>
          <w:r>
            <w:rPr>
              <w:rFonts w:hint="default" w:ascii="Times New Roman" w:hAnsi="Times New Roman" w:eastAsia="仿宋" w:cs="Times New Roman"/>
              <w:sz w:val="32"/>
              <w:szCs w:val="32"/>
              <w:lang w:val="en-US" w:eastAsia="zh-CN"/>
            </w:rPr>
            <w:fldChar w:fldCharType="end"/>
          </w:r>
        </w:p>
        <w:p>
          <w:pPr>
            <w:pStyle w:val="11"/>
            <w:keepNext w:val="0"/>
            <w:keepLines w:val="0"/>
            <w:pageBreakBefore w:val="0"/>
            <w:tabs>
              <w:tab w:val="right" w:leader="dot" w:pos="8306"/>
            </w:tabs>
            <w:kinsoku/>
            <w:wordWrap/>
            <w:overflowPunct/>
            <w:topLinePunct w:val="0"/>
            <w:autoSpaceDE/>
            <w:autoSpaceDN/>
            <w:bidi w:val="0"/>
            <w:adjustRightInd/>
            <w:snapToGrid/>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lang w:val="en-US" w:eastAsia="zh-CN"/>
            </w:rPr>
            <w:fldChar w:fldCharType="begin"/>
          </w:r>
          <w:r>
            <w:rPr>
              <w:rFonts w:hint="default" w:ascii="Times New Roman" w:hAnsi="Times New Roman" w:eastAsia="仿宋" w:cs="Times New Roman"/>
              <w:sz w:val="32"/>
              <w:szCs w:val="32"/>
              <w:lang w:val="en-US" w:eastAsia="zh-CN"/>
            </w:rPr>
            <w:instrText xml:space="preserve"> HYPERLINK \l _Toc26725 </w:instrText>
          </w:r>
          <w:r>
            <w:rPr>
              <w:rFonts w:hint="default" w:ascii="Times New Roman" w:hAnsi="Times New Roman" w:eastAsia="仿宋" w:cs="Times New Roman"/>
              <w:sz w:val="32"/>
              <w:szCs w:val="32"/>
              <w:lang w:val="en-US" w:eastAsia="zh-CN"/>
            </w:rPr>
            <w:fldChar w:fldCharType="separate"/>
          </w:r>
          <w:r>
            <w:rPr>
              <w:rFonts w:hint="default" w:ascii="Times New Roman" w:hAnsi="Times New Roman" w:eastAsia="仿宋" w:cs="Times New Roman"/>
              <w:sz w:val="32"/>
              <w:szCs w:val="32"/>
            </w:rPr>
            <w:t>九、标准</w:t>
          </w:r>
          <w:r>
            <w:rPr>
              <w:rFonts w:hint="default" w:ascii="Times New Roman" w:hAnsi="Times New Roman" w:eastAsia="仿宋" w:cs="Times New Roman"/>
              <w:sz w:val="32"/>
              <w:szCs w:val="32"/>
              <w:lang w:val="en-US" w:eastAsia="zh-CN"/>
            </w:rPr>
            <w:t>实施的</w:t>
          </w:r>
          <w:r>
            <w:rPr>
              <w:rFonts w:hint="default" w:ascii="Times New Roman" w:hAnsi="Times New Roman" w:eastAsia="仿宋" w:cs="Times New Roman"/>
              <w:sz w:val="32"/>
              <w:szCs w:val="32"/>
            </w:rPr>
            <w:t>建议</w:t>
          </w:r>
          <w:r>
            <w:rPr>
              <w:rFonts w:hint="default" w:ascii="Times New Roman" w:hAnsi="Times New Roman" w:eastAsia="仿宋" w:cs="Times New Roman"/>
              <w:sz w:val="32"/>
              <w:szCs w:val="32"/>
            </w:rPr>
            <w:tab/>
          </w:r>
          <w:r>
            <w:rPr>
              <w:rFonts w:hint="default" w:ascii="Times New Roman" w:hAnsi="Times New Roman" w:eastAsia="仿宋" w:cs="Times New Roman"/>
              <w:sz w:val="32"/>
              <w:szCs w:val="32"/>
            </w:rPr>
            <w:fldChar w:fldCharType="begin"/>
          </w:r>
          <w:r>
            <w:rPr>
              <w:rFonts w:hint="default" w:ascii="Times New Roman" w:hAnsi="Times New Roman" w:eastAsia="仿宋" w:cs="Times New Roman"/>
              <w:sz w:val="32"/>
              <w:szCs w:val="32"/>
            </w:rPr>
            <w:instrText xml:space="preserve"> PAGEREF _Toc26725 \h </w:instrText>
          </w:r>
          <w:r>
            <w:rPr>
              <w:rFonts w:hint="default" w:ascii="Times New Roman" w:hAnsi="Times New Roman" w:eastAsia="仿宋" w:cs="Times New Roman"/>
              <w:sz w:val="32"/>
              <w:szCs w:val="32"/>
            </w:rPr>
            <w:fldChar w:fldCharType="separate"/>
          </w:r>
          <w:r>
            <w:rPr>
              <w:rFonts w:hint="default" w:ascii="Times New Roman" w:hAnsi="Times New Roman" w:eastAsia="仿宋" w:cs="Times New Roman"/>
              <w:sz w:val="32"/>
              <w:szCs w:val="32"/>
            </w:rPr>
            <w:t>14</w:t>
          </w:r>
          <w:r>
            <w:rPr>
              <w:rFonts w:hint="default" w:ascii="Times New Roman" w:hAnsi="Times New Roman" w:eastAsia="仿宋" w:cs="Times New Roman"/>
              <w:sz w:val="32"/>
              <w:szCs w:val="32"/>
            </w:rPr>
            <w:fldChar w:fldCharType="end"/>
          </w:r>
          <w:r>
            <w:rPr>
              <w:rFonts w:hint="default" w:ascii="Times New Roman" w:hAnsi="Times New Roman" w:eastAsia="仿宋" w:cs="Times New Roman"/>
              <w:sz w:val="32"/>
              <w:szCs w:val="32"/>
              <w:lang w:val="en-US" w:eastAsia="zh-CN"/>
            </w:rPr>
            <w:fldChar w:fldCharType="end"/>
          </w:r>
        </w:p>
        <w:p>
          <w:pPr>
            <w:pStyle w:val="11"/>
            <w:keepNext w:val="0"/>
            <w:keepLines w:val="0"/>
            <w:pageBreakBefore w:val="0"/>
            <w:tabs>
              <w:tab w:val="right" w:leader="dot" w:pos="8306"/>
            </w:tabs>
            <w:kinsoku/>
            <w:wordWrap/>
            <w:overflowPunct/>
            <w:topLinePunct w:val="0"/>
            <w:autoSpaceDE/>
            <w:autoSpaceDN/>
            <w:bidi w:val="0"/>
            <w:adjustRightInd/>
            <w:snapToGrid/>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lang w:val="en-US" w:eastAsia="zh-CN"/>
            </w:rPr>
            <w:fldChar w:fldCharType="begin"/>
          </w:r>
          <w:r>
            <w:rPr>
              <w:rFonts w:hint="default" w:ascii="Times New Roman" w:hAnsi="Times New Roman" w:eastAsia="仿宋" w:cs="Times New Roman"/>
              <w:sz w:val="32"/>
              <w:szCs w:val="32"/>
              <w:lang w:val="en-US" w:eastAsia="zh-CN"/>
            </w:rPr>
            <w:instrText xml:space="preserve"> HYPERLINK \l _Toc6881 </w:instrText>
          </w:r>
          <w:r>
            <w:rPr>
              <w:rFonts w:hint="default" w:ascii="Times New Roman" w:hAnsi="Times New Roman" w:eastAsia="仿宋" w:cs="Times New Roman"/>
              <w:sz w:val="32"/>
              <w:szCs w:val="32"/>
              <w:lang w:val="en-US" w:eastAsia="zh-CN"/>
            </w:rPr>
            <w:fldChar w:fldCharType="separate"/>
          </w:r>
          <w:r>
            <w:rPr>
              <w:rFonts w:hint="default" w:ascii="Times New Roman" w:hAnsi="Times New Roman" w:eastAsia="仿宋" w:cs="Times New Roman"/>
              <w:sz w:val="32"/>
              <w:szCs w:val="32"/>
            </w:rPr>
            <w:t>十、涉及专利的有关说明</w:t>
          </w:r>
          <w:r>
            <w:rPr>
              <w:rFonts w:hint="default" w:ascii="Times New Roman" w:hAnsi="Times New Roman" w:eastAsia="仿宋" w:cs="Times New Roman"/>
              <w:sz w:val="32"/>
              <w:szCs w:val="32"/>
            </w:rPr>
            <w:tab/>
          </w:r>
          <w:r>
            <w:rPr>
              <w:rFonts w:hint="default" w:ascii="Times New Roman" w:hAnsi="Times New Roman" w:eastAsia="仿宋" w:cs="Times New Roman"/>
              <w:sz w:val="32"/>
              <w:szCs w:val="32"/>
            </w:rPr>
            <w:fldChar w:fldCharType="begin"/>
          </w:r>
          <w:r>
            <w:rPr>
              <w:rFonts w:hint="default" w:ascii="Times New Roman" w:hAnsi="Times New Roman" w:eastAsia="仿宋" w:cs="Times New Roman"/>
              <w:sz w:val="32"/>
              <w:szCs w:val="32"/>
            </w:rPr>
            <w:instrText xml:space="preserve"> PAGEREF _Toc6881 \h </w:instrText>
          </w:r>
          <w:r>
            <w:rPr>
              <w:rFonts w:hint="default" w:ascii="Times New Roman" w:hAnsi="Times New Roman" w:eastAsia="仿宋" w:cs="Times New Roman"/>
              <w:sz w:val="32"/>
              <w:szCs w:val="32"/>
            </w:rPr>
            <w:fldChar w:fldCharType="separate"/>
          </w:r>
          <w:r>
            <w:rPr>
              <w:rFonts w:hint="default" w:ascii="Times New Roman" w:hAnsi="Times New Roman" w:eastAsia="仿宋" w:cs="Times New Roman"/>
              <w:sz w:val="32"/>
              <w:szCs w:val="32"/>
            </w:rPr>
            <w:t>15</w:t>
          </w:r>
          <w:r>
            <w:rPr>
              <w:rFonts w:hint="default" w:ascii="Times New Roman" w:hAnsi="Times New Roman" w:eastAsia="仿宋" w:cs="Times New Roman"/>
              <w:sz w:val="32"/>
              <w:szCs w:val="32"/>
            </w:rPr>
            <w:fldChar w:fldCharType="end"/>
          </w:r>
          <w:r>
            <w:rPr>
              <w:rFonts w:hint="default" w:ascii="Times New Roman" w:hAnsi="Times New Roman" w:eastAsia="仿宋" w:cs="Times New Roman"/>
              <w:sz w:val="32"/>
              <w:szCs w:val="32"/>
              <w:lang w:val="en-US" w:eastAsia="zh-CN"/>
            </w:rPr>
            <w:fldChar w:fldCharType="end"/>
          </w:r>
        </w:p>
        <w:p>
          <w:pPr>
            <w:pStyle w:val="11"/>
            <w:keepNext w:val="0"/>
            <w:keepLines w:val="0"/>
            <w:pageBreakBefore w:val="0"/>
            <w:tabs>
              <w:tab w:val="right" w:leader="dot" w:pos="8306"/>
            </w:tabs>
            <w:kinsoku/>
            <w:wordWrap/>
            <w:overflowPunct/>
            <w:topLinePunct w:val="0"/>
            <w:autoSpaceDE/>
            <w:autoSpaceDN/>
            <w:bidi w:val="0"/>
            <w:adjustRightInd/>
            <w:snapToGrid/>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lang w:val="en-US" w:eastAsia="zh-CN"/>
            </w:rPr>
            <w:fldChar w:fldCharType="begin"/>
          </w:r>
          <w:r>
            <w:rPr>
              <w:rFonts w:hint="default" w:ascii="Times New Roman" w:hAnsi="Times New Roman" w:eastAsia="仿宋" w:cs="Times New Roman"/>
              <w:sz w:val="32"/>
              <w:szCs w:val="32"/>
              <w:lang w:val="en-US" w:eastAsia="zh-CN"/>
            </w:rPr>
            <w:instrText xml:space="preserve"> HYPERLINK \l _Toc9237 </w:instrText>
          </w:r>
          <w:r>
            <w:rPr>
              <w:rFonts w:hint="default" w:ascii="Times New Roman" w:hAnsi="Times New Roman" w:eastAsia="仿宋" w:cs="Times New Roman"/>
              <w:sz w:val="32"/>
              <w:szCs w:val="32"/>
              <w:lang w:val="en-US" w:eastAsia="zh-CN"/>
            </w:rPr>
            <w:fldChar w:fldCharType="separate"/>
          </w:r>
          <w:r>
            <w:rPr>
              <w:rFonts w:hint="default" w:ascii="Times New Roman" w:hAnsi="Times New Roman" w:eastAsia="仿宋" w:cs="Times New Roman"/>
              <w:sz w:val="32"/>
              <w:szCs w:val="32"/>
              <w:lang w:val="en-US" w:eastAsia="zh-CN"/>
            </w:rPr>
            <w:t>十一、</w:t>
          </w:r>
          <w:r>
            <w:rPr>
              <w:rFonts w:hint="default" w:ascii="Times New Roman" w:hAnsi="Times New Roman" w:eastAsia="仿宋" w:cs="Times New Roman"/>
              <w:sz w:val="32"/>
              <w:szCs w:val="32"/>
              <w:highlight w:val="none"/>
              <w:lang w:val="en-US" w:eastAsia="zh-CN"/>
            </w:rPr>
            <w:t>预期的经济、社会效益</w:t>
          </w:r>
          <w:r>
            <w:rPr>
              <w:rFonts w:hint="default" w:ascii="Times New Roman" w:hAnsi="Times New Roman" w:eastAsia="仿宋" w:cs="Times New Roman"/>
              <w:sz w:val="32"/>
              <w:szCs w:val="32"/>
            </w:rPr>
            <w:tab/>
          </w:r>
          <w:r>
            <w:rPr>
              <w:rFonts w:hint="default" w:ascii="Times New Roman" w:hAnsi="Times New Roman" w:eastAsia="仿宋" w:cs="Times New Roman"/>
              <w:sz w:val="32"/>
              <w:szCs w:val="32"/>
            </w:rPr>
            <w:fldChar w:fldCharType="begin"/>
          </w:r>
          <w:r>
            <w:rPr>
              <w:rFonts w:hint="default" w:ascii="Times New Roman" w:hAnsi="Times New Roman" w:eastAsia="仿宋" w:cs="Times New Roman"/>
              <w:sz w:val="32"/>
              <w:szCs w:val="32"/>
            </w:rPr>
            <w:instrText xml:space="preserve"> PAGEREF _Toc9237 \h </w:instrText>
          </w:r>
          <w:r>
            <w:rPr>
              <w:rFonts w:hint="default" w:ascii="Times New Roman" w:hAnsi="Times New Roman" w:eastAsia="仿宋" w:cs="Times New Roman"/>
              <w:sz w:val="32"/>
              <w:szCs w:val="32"/>
            </w:rPr>
            <w:fldChar w:fldCharType="separate"/>
          </w:r>
          <w:r>
            <w:rPr>
              <w:rFonts w:hint="default" w:ascii="Times New Roman" w:hAnsi="Times New Roman" w:eastAsia="仿宋" w:cs="Times New Roman"/>
              <w:sz w:val="32"/>
              <w:szCs w:val="32"/>
            </w:rPr>
            <w:t>15</w:t>
          </w:r>
          <w:r>
            <w:rPr>
              <w:rFonts w:hint="default" w:ascii="Times New Roman" w:hAnsi="Times New Roman" w:eastAsia="仿宋" w:cs="Times New Roman"/>
              <w:sz w:val="32"/>
              <w:szCs w:val="32"/>
            </w:rPr>
            <w:fldChar w:fldCharType="end"/>
          </w:r>
          <w:r>
            <w:rPr>
              <w:rFonts w:hint="default" w:ascii="Times New Roman" w:hAnsi="Times New Roman" w:eastAsia="仿宋" w:cs="Times New Roman"/>
              <w:sz w:val="32"/>
              <w:szCs w:val="32"/>
              <w:lang w:val="en-US" w:eastAsia="zh-CN"/>
            </w:rPr>
            <w:fldChar w:fldCharType="end"/>
          </w:r>
        </w:p>
        <w:p>
          <w:pPr>
            <w:keepNext w:val="0"/>
            <w:keepLines w:val="0"/>
            <w:pageBreakBefore w:val="0"/>
            <w:kinsoku/>
            <w:wordWrap/>
            <w:overflowPunct/>
            <w:topLinePunct w:val="0"/>
            <w:autoSpaceDE/>
            <w:autoSpaceDN/>
            <w:bidi w:val="0"/>
            <w:adjustRightInd/>
            <w:snapToGrid/>
            <w:textAlignment w:val="auto"/>
            <w:rPr>
              <w:rFonts w:hint="eastAsia"/>
              <w:lang w:val="en-US" w:eastAsia="zh-CN"/>
            </w:rPr>
            <w:sectPr>
              <w:pgSz w:w="11906" w:h="16838"/>
              <w:pgMar w:top="1440" w:right="1800" w:bottom="1440" w:left="1800" w:header="851" w:footer="992" w:gutter="0"/>
              <w:cols w:space="425" w:num="1"/>
              <w:docGrid w:type="lines" w:linePitch="312" w:charSpace="0"/>
            </w:sectPr>
          </w:pPr>
          <w:r>
            <w:rPr>
              <w:rFonts w:hint="default" w:ascii="Times New Roman" w:hAnsi="Times New Roman" w:eastAsia="仿宋" w:cs="Times New Roman"/>
              <w:sz w:val="32"/>
              <w:szCs w:val="32"/>
              <w:lang w:val="en-US" w:eastAsia="zh-CN"/>
            </w:rPr>
            <w:fldChar w:fldCharType="end"/>
          </w:r>
        </w:p>
      </w:sdtContent>
    </w:sdt>
    <w:p>
      <w:pPr>
        <w:pStyle w:val="2"/>
        <w:bidi w:val="0"/>
      </w:pPr>
      <w:bookmarkStart w:id="3" w:name="_Toc32239"/>
      <w:r>
        <w:t>一</w:t>
      </w:r>
      <w:r>
        <w:rPr>
          <w:rFonts w:hint="eastAsia"/>
        </w:rPr>
        <w:t>、制定标准的目的和意义</w:t>
      </w:r>
      <w:bookmarkEnd w:id="3"/>
    </w:p>
    <w:p>
      <w:pPr>
        <w:bidi w:val="0"/>
      </w:pPr>
      <w:r>
        <w:t>作为我国核桃主产区之一，四川省为核桃传统种植区，具有广泛的种植面积和悠久的栽培历史。二十世纪末，随着全国早实薄皮核桃产业的发展，成都市也逐步开始种植早实薄皮核桃，将核桃作为产业结构调整的重要组成部分被列入林业产业发展规划当中，并作为林业主导产业之一。</w:t>
      </w:r>
    </w:p>
    <w:p>
      <w:pPr>
        <w:bidi w:val="0"/>
      </w:pPr>
      <w:r>
        <w:t>在产业发展规划的指导下，我市龙泉山、龙门山低山丘陵的核桃种植区大量引进新品种，核桃种植面积发展迅速，在短短的几年内种植面积达20万亩左右。但因诸多因素的影响，出现较大规模核桃低产林，严重限制了产业的发展。首先，品种混杂，质量不高，盲目大</w:t>
      </w:r>
      <w:bookmarkStart w:id="30" w:name="_GoBack"/>
      <w:bookmarkEnd w:id="30"/>
      <w:r>
        <w:t>量引种栽植造成生长表现良莠不齐，普遍存在适应性差，多年不结果或结果量少，产量和品质低，病虫害严重；其次，引种多偏重于早实核桃，且栽植立地条件差，造成核桃产量和品质远远不能达到预期；第三，长期以来适宜成都市的核桃栽培管理技术及相应技术规范/标准的缺乏，栽培技术落后全国平均水平，对核桃生长的施肥种类、施肥规律、病虫害防治研究缺乏系统总结。</w:t>
      </w:r>
    </w:p>
    <w:p>
      <w:pPr>
        <w:bidi w:val="0"/>
      </w:pPr>
      <w:r>
        <w:t>因此，制定适宜成都本地的核桃低产林改造技术规程，解决核桃产业发展过程中关键共性技术瓶颈，为核桃低产林改造提供系统的技术保障。通过对现有的核桃低产林进行高效改造，提高核桃坚果产量，进一步增强果农种植核桃的热情和能力，使产业发展再显生机，对促进农民增收、乡村振兴、推进产业健康发展具有重要意义。</w:t>
      </w:r>
    </w:p>
    <w:p>
      <w:pPr>
        <w:pStyle w:val="2"/>
        <w:bidi w:val="0"/>
      </w:pPr>
      <w:bookmarkStart w:id="4" w:name="_Toc12510"/>
      <w:r>
        <w:rPr>
          <w:rFonts w:hint="eastAsia"/>
        </w:rPr>
        <w:t>二</w:t>
      </w:r>
      <w:r>
        <w:t>、</w:t>
      </w:r>
      <w:r>
        <w:rPr>
          <w:rFonts w:hint="eastAsia"/>
        </w:rPr>
        <w:t>任务来源</w:t>
      </w:r>
      <w:bookmarkEnd w:id="4"/>
    </w:p>
    <w:p>
      <w:pPr>
        <w:bidi w:val="0"/>
      </w:pPr>
      <w:r>
        <w:t>核桃作为成都市生态产业主导产业之一，高峰期种植面积约20万亩。然而，盲目的引种和缺乏针对性的技术规程，造成大面积的核桃低产林，降低了核桃种植效益，挫伤了农户种植核桃的积极性，制约着核桃产业的发展。为进一步规范成都市核桃低产林改造技术，成都市农林科学院联合成都市标准化研究院、成都兴宏苗木责任有限公司向成都市市场监督管理局申请《低产核桃改造技术规程》成都市地方标准立项。2021年6月，成都市市场监督管理局《关于下达2021年度地方标准制定项目立项计划（第三批）的通知》（成市监办〔2021〕216号）批准《低产核桃改造技术规程》立项。标准文本起草过程中，标准起草组</w:t>
      </w:r>
      <w:r>
        <w:rPr>
          <w:rFonts w:hint="eastAsia"/>
        </w:rPr>
        <w:t>经讨论认为将核桃低产林作为改造对象更为合理，最终形成了</w:t>
      </w:r>
      <w:r>
        <w:t>《核桃低产林改造技术规程》（</w:t>
      </w:r>
      <w:r>
        <w:rPr>
          <w:rFonts w:hint="eastAsia"/>
        </w:rPr>
        <w:t>征求意见稿</w:t>
      </w:r>
      <w:r>
        <w:t>）。</w:t>
      </w:r>
    </w:p>
    <w:p>
      <w:pPr>
        <w:pStyle w:val="2"/>
        <w:bidi w:val="0"/>
      </w:pPr>
      <w:bookmarkStart w:id="5" w:name="_Toc26058"/>
      <w:r>
        <w:t>三、</w:t>
      </w:r>
      <w:r>
        <w:rPr>
          <w:rFonts w:hint="eastAsia"/>
        </w:rPr>
        <w:t>工作简况</w:t>
      </w:r>
      <w:bookmarkEnd w:id="5"/>
    </w:p>
    <w:p>
      <w:pPr>
        <w:pStyle w:val="3"/>
        <w:bidi w:val="0"/>
      </w:pPr>
      <w:bookmarkStart w:id="6" w:name="_Toc10742"/>
      <w:r>
        <w:t>（一）成立</w:t>
      </w:r>
      <w:r>
        <w:rPr>
          <w:rFonts w:hint="eastAsia"/>
          <w:lang w:val="en-US" w:eastAsia="zh-CN"/>
        </w:rPr>
        <w:t>标准起草工作</w:t>
      </w:r>
      <w:r>
        <w:t>组</w:t>
      </w:r>
      <w:bookmarkEnd w:id="6"/>
    </w:p>
    <w:p>
      <w:pPr>
        <w:bidi w:val="0"/>
      </w:pPr>
      <w:r>
        <w:t>2021年6月，收到立项通知后立即成立由成都市农林科学院、成都市标准化研究院、成都市金堂县兴宏苗木有限责任公司组成的标准起草</w:t>
      </w:r>
      <w:r>
        <w:rPr>
          <w:rFonts w:hint="eastAsia"/>
          <w:lang w:val="en-US" w:eastAsia="zh-CN"/>
        </w:rPr>
        <w:t>工作</w:t>
      </w:r>
      <w:r>
        <w:t>组，</w:t>
      </w:r>
      <w:r>
        <w:rPr>
          <w:rFonts w:hint="eastAsia"/>
        </w:rPr>
        <w:t>共同研制地方标准的相关事宜，</w:t>
      </w:r>
      <w:r>
        <w:rPr>
          <w:rFonts w:hint="eastAsia"/>
          <w:lang w:val="en-US" w:eastAsia="zh-CN"/>
        </w:rPr>
        <w:t>并</w:t>
      </w:r>
      <w:r>
        <w:t>对标准起草工作进行总体部署。标准起草组按照项目要求，明确了标准的使用范围、主要框架内容、编制时间节点、任务分工以及工作方案等。</w:t>
      </w:r>
    </w:p>
    <w:p>
      <w:pPr>
        <w:bidi w:val="0"/>
        <w:rPr>
          <w:rFonts w:eastAsia="方正仿宋_GBK" w:cs="Times New Roman"/>
          <w:szCs w:val="32"/>
        </w:rPr>
      </w:pPr>
      <w:r>
        <w:t>本标准主要起草人员包括：肖前刚、谢忠安、刘运科、曾珍、刘尉、谢文娟、张达江、张勃龙、张捷、黄倩颖、蒋丽琼、黄良伟、庄丽、姜丽琼、唐洪、唐仕力。主要起草人员任务分工见表1。</w:t>
      </w:r>
    </w:p>
    <w:p>
      <w:pPr>
        <w:bidi w:val="0"/>
        <w:jc w:val="center"/>
        <w:rPr>
          <w:sz w:val="28"/>
          <w:szCs w:val="28"/>
        </w:rPr>
      </w:pPr>
      <w:r>
        <w:rPr>
          <w:sz w:val="28"/>
          <w:szCs w:val="28"/>
        </w:rPr>
        <w:t>表1 标准主要起草人员任务分工</w:t>
      </w:r>
    </w:p>
    <w:tbl>
      <w:tblPr>
        <w:tblStyle w:val="8"/>
        <w:tblW w:w="90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5"/>
        <w:gridCol w:w="1037"/>
        <w:gridCol w:w="1263"/>
        <w:gridCol w:w="1512"/>
        <w:gridCol w:w="1613"/>
        <w:gridCol w:w="28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trPr>
        <w:tc>
          <w:tcPr>
            <w:tcW w:w="75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bCs w:val="0"/>
                <w:sz w:val="24"/>
                <w:szCs w:val="24"/>
              </w:rPr>
            </w:pPr>
            <w:r>
              <w:rPr>
                <w:rFonts w:hint="eastAsia" w:ascii="仿宋" w:hAnsi="仿宋" w:eastAsia="仿宋" w:cs="仿宋"/>
                <w:b/>
                <w:bCs w:val="0"/>
                <w:sz w:val="24"/>
                <w:szCs w:val="24"/>
              </w:rPr>
              <w:t>序号</w:t>
            </w:r>
          </w:p>
        </w:tc>
        <w:tc>
          <w:tcPr>
            <w:tcW w:w="103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bCs w:val="0"/>
                <w:sz w:val="24"/>
                <w:szCs w:val="24"/>
              </w:rPr>
            </w:pPr>
            <w:r>
              <w:rPr>
                <w:rFonts w:hint="eastAsia" w:ascii="仿宋" w:hAnsi="仿宋" w:eastAsia="仿宋" w:cs="仿宋"/>
                <w:b/>
                <w:bCs w:val="0"/>
                <w:sz w:val="24"/>
                <w:szCs w:val="24"/>
              </w:rPr>
              <w:t>姓名</w:t>
            </w:r>
          </w:p>
        </w:tc>
        <w:tc>
          <w:tcPr>
            <w:tcW w:w="1263"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bCs w:val="0"/>
                <w:sz w:val="24"/>
                <w:szCs w:val="24"/>
              </w:rPr>
            </w:pPr>
            <w:r>
              <w:rPr>
                <w:rFonts w:hint="eastAsia" w:ascii="仿宋" w:hAnsi="仿宋" w:eastAsia="仿宋" w:cs="仿宋"/>
                <w:b/>
                <w:bCs w:val="0"/>
                <w:sz w:val="24"/>
                <w:szCs w:val="24"/>
              </w:rPr>
              <w:t>单位</w:t>
            </w:r>
          </w:p>
        </w:tc>
        <w:tc>
          <w:tcPr>
            <w:tcW w:w="1512"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bCs w:val="0"/>
                <w:sz w:val="24"/>
                <w:szCs w:val="24"/>
              </w:rPr>
            </w:pPr>
            <w:r>
              <w:rPr>
                <w:rFonts w:hint="eastAsia" w:ascii="仿宋" w:hAnsi="仿宋" w:eastAsia="仿宋" w:cs="仿宋"/>
                <w:b/>
                <w:bCs w:val="0"/>
                <w:sz w:val="24"/>
                <w:szCs w:val="24"/>
              </w:rPr>
              <w:t>职务/职称</w:t>
            </w:r>
          </w:p>
        </w:tc>
        <w:tc>
          <w:tcPr>
            <w:tcW w:w="1613"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bCs w:val="0"/>
                <w:sz w:val="24"/>
                <w:szCs w:val="24"/>
                <w:lang w:val="en-US" w:eastAsia="zh-CN"/>
              </w:rPr>
            </w:pPr>
            <w:r>
              <w:rPr>
                <w:rFonts w:hint="eastAsia" w:ascii="仿宋" w:hAnsi="仿宋" w:eastAsia="仿宋" w:cs="仿宋"/>
                <w:b/>
                <w:bCs w:val="0"/>
                <w:sz w:val="24"/>
                <w:szCs w:val="24"/>
                <w:lang w:val="en-US" w:eastAsia="zh-CN"/>
              </w:rPr>
              <w:t>联系电话</w:t>
            </w:r>
          </w:p>
        </w:tc>
        <w:tc>
          <w:tcPr>
            <w:tcW w:w="287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bCs w:val="0"/>
                <w:sz w:val="24"/>
                <w:szCs w:val="24"/>
              </w:rPr>
            </w:pPr>
            <w:r>
              <w:rPr>
                <w:rFonts w:hint="eastAsia" w:ascii="仿宋" w:hAnsi="仿宋" w:eastAsia="仿宋" w:cs="仿宋"/>
                <w:b/>
                <w:bCs w:val="0"/>
                <w:sz w:val="24"/>
                <w:szCs w:val="24"/>
              </w:rPr>
              <w:t>任务分工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5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sz w:val="24"/>
                <w:szCs w:val="24"/>
              </w:rPr>
            </w:pPr>
            <w:r>
              <w:rPr>
                <w:rFonts w:hint="eastAsia" w:ascii="仿宋" w:hAnsi="仿宋" w:eastAsia="仿宋" w:cs="仿宋"/>
                <w:sz w:val="24"/>
                <w:szCs w:val="24"/>
              </w:rPr>
              <w:t>1</w:t>
            </w:r>
          </w:p>
        </w:tc>
        <w:tc>
          <w:tcPr>
            <w:tcW w:w="103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sz w:val="24"/>
                <w:szCs w:val="24"/>
              </w:rPr>
            </w:pPr>
            <w:r>
              <w:rPr>
                <w:rFonts w:hint="eastAsia" w:ascii="仿宋" w:hAnsi="仿宋" w:eastAsia="仿宋" w:cs="仿宋"/>
                <w:sz w:val="24"/>
                <w:szCs w:val="24"/>
              </w:rPr>
              <w:t>肖前刚</w:t>
            </w:r>
          </w:p>
        </w:tc>
        <w:tc>
          <w:tcPr>
            <w:tcW w:w="1263"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sz w:val="24"/>
                <w:szCs w:val="24"/>
              </w:rPr>
            </w:pPr>
            <w:r>
              <w:rPr>
                <w:rFonts w:hint="eastAsia" w:ascii="仿宋" w:hAnsi="仿宋" w:eastAsia="仿宋" w:cs="仿宋"/>
                <w:sz w:val="24"/>
                <w:szCs w:val="24"/>
              </w:rPr>
              <w:t>成都市农林科学院</w:t>
            </w:r>
          </w:p>
        </w:tc>
        <w:tc>
          <w:tcPr>
            <w:tcW w:w="1512"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仿宋" w:hAnsi="仿宋" w:eastAsia="仿宋" w:cs="仿宋"/>
                <w:sz w:val="24"/>
                <w:szCs w:val="24"/>
              </w:rPr>
            </w:pPr>
            <w:r>
              <w:rPr>
                <w:rFonts w:hint="eastAsia" w:ascii="仿宋" w:hAnsi="仿宋" w:eastAsia="仿宋" w:cs="仿宋"/>
                <w:sz w:val="24"/>
                <w:szCs w:val="24"/>
              </w:rPr>
              <w:t>所长/高级工程师</w:t>
            </w:r>
          </w:p>
        </w:tc>
        <w:tc>
          <w:tcPr>
            <w:tcW w:w="1613"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仿宋" w:hAnsi="仿宋" w:eastAsia="仿宋" w:cs="仿宋"/>
                <w:sz w:val="24"/>
                <w:szCs w:val="24"/>
                <w:lang w:val="en-US" w:eastAsia="zh-CN"/>
              </w:rPr>
            </w:pPr>
            <w:r>
              <w:rPr>
                <w:rFonts w:hint="eastAsia" w:ascii="仿宋" w:hAnsi="仿宋" w:cs="仿宋"/>
                <w:sz w:val="24"/>
                <w:szCs w:val="24"/>
                <w:lang w:val="en-US" w:eastAsia="zh-CN"/>
              </w:rPr>
              <w:t>13980002896</w:t>
            </w:r>
          </w:p>
        </w:tc>
        <w:tc>
          <w:tcPr>
            <w:tcW w:w="287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仿宋" w:hAnsi="仿宋" w:eastAsia="仿宋" w:cs="仿宋"/>
                <w:sz w:val="24"/>
                <w:szCs w:val="24"/>
              </w:rPr>
            </w:pPr>
            <w:r>
              <w:rPr>
                <w:rFonts w:hint="eastAsia" w:ascii="仿宋" w:hAnsi="仿宋" w:eastAsia="仿宋" w:cs="仿宋"/>
                <w:sz w:val="24"/>
                <w:szCs w:val="24"/>
              </w:rPr>
              <w:t>标准制定负责人、负责统筹协调和标准框架制定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5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sz w:val="24"/>
                <w:szCs w:val="24"/>
              </w:rPr>
            </w:pPr>
            <w:r>
              <w:rPr>
                <w:rFonts w:hint="eastAsia" w:ascii="仿宋" w:hAnsi="仿宋" w:eastAsia="仿宋" w:cs="仿宋"/>
                <w:sz w:val="24"/>
                <w:szCs w:val="24"/>
              </w:rPr>
              <w:t>2</w:t>
            </w:r>
          </w:p>
        </w:tc>
        <w:tc>
          <w:tcPr>
            <w:tcW w:w="103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sz w:val="24"/>
                <w:szCs w:val="24"/>
              </w:rPr>
            </w:pPr>
            <w:r>
              <w:rPr>
                <w:rFonts w:hint="eastAsia" w:ascii="仿宋" w:hAnsi="仿宋" w:eastAsia="仿宋" w:cs="仿宋"/>
                <w:sz w:val="24"/>
                <w:szCs w:val="24"/>
              </w:rPr>
              <w:t>谢忠安</w:t>
            </w:r>
          </w:p>
        </w:tc>
        <w:tc>
          <w:tcPr>
            <w:tcW w:w="1263"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sz w:val="24"/>
                <w:szCs w:val="24"/>
              </w:rPr>
            </w:pPr>
            <w:r>
              <w:rPr>
                <w:rFonts w:hint="eastAsia" w:ascii="仿宋" w:hAnsi="仿宋" w:eastAsia="仿宋" w:cs="仿宋"/>
                <w:sz w:val="24"/>
                <w:szCs w:val="24"/>
              </w:rPr>
              <w:t>成都市农林科学院</w:t>
            </w:r>
          </w:p>
        </w:tc>
        <w:tc>
          <w:tcPr>
            <w:tcW w:w="1512"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仿宋" w:hAnsi="仿宋" w:eastAsia="仿宋" w:cs="仿宋"/>
                <w:sz w:val="24"/>
                <w:szCs w:val="24"/>
              </w:rPr>
            </w:pPr>
            <w:r>
              <w:rPr>
                <w:rFonts w:hint="eastAsia" w:ascii="仿宋" w:hAnsi="仿宋" w:eastAsia="仿宋" w:cs="仿宋"/>
                <w:sz w:val="24"/>
                <w:szCs w:val="24"/>
              </w:rPr>
              <w:t>副主任/高级工程师</w:t>
            </w:r>
          </w:p>
        </w:tc>
        <w:tc>
          <w:tcPr>
            <w:tcW w:w="1613"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仿宋" w:hAnsi="仿宋" w:eastAsia="仿宋" w:cs="仿宋"/>
                <w:sz w:val="24"/>
                <w:szCs w:val="24"/>
                <w:lang w:val="en-US" w:eastAsia="zh-CN"/>
              </w:rPr>
            </w:pPr>
            <w:r>
              <w:rPr>
                <w:rFonts w:hint="eastAsia" w:ascii="仿宋" w:hAnsi="仿宋" w:cs="仿宋"/>
                <w:sz w:val="24"/>
                <w:szCs w:val="24"/>
                <w:lang w:val="en-US" w:eastAsia="zh-CN"/>
              </w:rPr>
              <w:t>13408640466</w:t>
            </w:r>
          </w:p>
        </w:tc>
        <w:tc>
          <w:tcPr>
            <w:tcW w:w="287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仿宋" w:hAnsi="仿宋" w:eastAsia="仿宋" w:cs="仿宋"/>
                <w:sz w:val="24"/>
                <w:szCs w:val="24"/>
              </w:rPr>
            </w:pPr>
            <w:r>
              <w:rPr>
                <w:rFonts w:hint="eastAsia" w:ascii="仿宋" w:hAnsi="仿宋" w:eastAsia="仿宋" w:cs="仿宋"/>
                <w:sz w:val="24"/>
                <w:szCs w:val="24"/>
              </w:rPr>
              <w:t>参与标准框架制定和负责标准文本内容编制的技术保障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5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sz w:val="24"/>
                <w:szCs w:val="24"/>
              </w:rPr>
            </w:pPr>
            <w:r>
              <w:rPr>
                <w:rFonts w:hint="eastAsia" w:ascii="仿宋" w:hAnsi="仿宋" w:eastAsia="仿宋" w:cs="仿宋"/>
                <w:sz w:val="24"/>
                <w:szCs w:val="24"/>
              </w:rPr>
              <w:t>3</w:t>
            </w:r>
          </w:p>
        </w:tc>
        <w:tc>
          <w:tcPr>
            <w:tcW w:w="103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sz w:val="24"/>
                <w:szCs w:val="24"/>
              </w:rPr>
            </w:pPr>
            <w:r>
              <w:rPr>
                <w:rFonts w:hint="eastAsia" w:ascii="仿宋" w:hAnsi="仿宋" w:eastAsia="仿宋" w:cs="仿宋"/>
                <w:sz w:val="24"/>
                <w:szCs w:val="24"/>
              </w:rPr>
              <w:t>刘运科</w:t>
            </w:r>
          </w:p>
        </w:tc>
        <w:tc>
          <w:tcPr>
            <w:tcW w:w="1263"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sz w:val="24"/>
                <w:szCs w:val="24"/>
              </w:rPr>
            </w:pPr>
            <w:r>
              <w:rPr>
                <w:rFonts w:hint="eastAsia" w:ascii="仿宋" w:hAnsi="仿宋" w:eastAsia="仿宋" w:cs="仿宋"/>
                <w:sz w:val="24"/>
                <w:szCs w:val="24"/>
              </w:rPr>
              <w:t>成都市农林科学院</w:t>
            </w:r>
          </w:p>
        </w:tc>
        <w:tc>
          <w:tcPr>
            <w:tcW w:w="1512"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仿宋" w:hAnsi="仿宋" w:eastAsia="仿宋" w:cs="仿宋"/>
                <w:sz w:val="24"/>
                <w:szCs w:val="24"/>
              </w:rPr>
            </w:pPr>
            <w:r>
              <w:rPr>
                <w:rFonts w:hint="eastAsia" w:ascii="仿宋" w:hAnsi="仿宋" w:eastAsia="仿宋" w:cs="仿宋"/>
                <w:sz w:val="24"/>
                <w:szCs w:val="24"/>
              </w:rPr>
              <w:t>副主任/高级工程师</w:t>
            </w:r>
          </w:p>
        </w:tc>
        <w:tc>
          <w:tcPr>
            <w:tcW w:w="1613"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仿宋" w:hAnsi="仿宋" w:eastAsia="仿宋" w:cs="仿宋"/>
                <w:sz w:val="24"/>
                <w:szCs w:val="24"/>
                <w:lang w:val="en-US" w:eastAsia="zh-CN"/>
              </w:rPr>
            </w:pPr>
            <w:r>
              <w:rPr>
                <w:rFonts w:hint="eastAsia" w:ascii="仿宋" w:hAnsi="仿宋" w:cs="仿宋"/>
                <w:sz w:val="24"/>
                <w:szCs w:val="24"/>
                <w:lang w:val="en-US" w:eastAsia="zh-CN"/>
              </w:rPr>
              <w:t>13540067027</w:t>
            </w:r>
          </w:p>
        </w:tc>
        <w:tc>
          <w:tcPr>
            <w:tcW w:w="287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仿宋" w:hAnsi="仿宋" w:eastAsia="仿宋" w:cs="仿宋"/>
                <w:sz w:val="24"/>
                <w:szCs w:val="24"/>
              </w:rPr>
            </w:pPr>
            <w:r>
              <w:rPr>
                <w:rFonts w:hint="eastAsia" w:ascii="仿宋" w:hAnsi="仿宋" w:eastAsia="仿宋" w:cs="仿宋"/>
                <w:sz w:val="24"/>
                <w:szCs w:val="24"/>
              </w:rPr>
              <w:t>标准文本和编制说明起草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5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sz w:val="24"/>
                <w:szCs w:val="24"/>
              </w:rPr>
            </w:pPr>
            <w:r>
              <w:rPr>
                <w:rFonts w:hint="eastAsia" w:ascii="仿宋" w:hAnsi="仿宋" w:eastAsia="仿宋" w:cs="仿宋"/>
                <w:sz w:val="24"/>
                <w:szCs w:val="24"/>
              </w:rPr>
              <w:t>4</w:t>
            </w:r>
          </w:p>
        </w:tc>
        <w:tc>
          <w:tcPr>
            <w:tcW w:w="103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sz w:val="24"/>
                <w:szCs w:val="24"/>
              </w:rPr>
            </w:pPr>
            <w:r>
              <w:rPr>
                <w:rFonts w:hint="eastAsia" w:ascii="仿宋" w:hAnsi="仿宋" w:eastAsia="仿宋" w:cs="仿宋"/>
                <w:sz w:val="24"/>
                <w:szCs w:val="24"/>
              </w:rPr>
              <w:t>曾  珍</w:t>
            </w:r>
          </w:p>
        </w:tc>
        <w:tc>
          <w:tcPr>
            <w:tcW w:w="1263"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sz w:val="24"/>
                <w:szCs w:val="24"/>
              </w:rPr>
            </w:pPr>
            <w:r>
              <w:rPr>
                <w:rFonts w:hint="eastAsia" w:ascii="仿宋" w:hAnsi="仿宋" w:eastAsia="仿宋" w:cs="仿宋"/>
                <w:sz w:val="24"/>
                <w:szCs w:val="24"/>
              </w:rPr>
              <w:t>成都市农林科学院</w:t>
            </w:r>
          </w:p>
        </w:tc>
        <w:tc>
          <w:tcPr>
            <w:tcW w:w="1512"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仿宋" w:hAnsi="仿宋" w:eastAsia="仿宋" w:cs="仿宋"/>
                <w:sz w:val="24"/>
                <w:szCs w:val="24"/>
              </w:rPr>
            </w:pPr>
            <w:r>
              <w:rPr>
                <w:rFonts w:hint="eastAsia" w:ascii="仿宋" w:hAnsi="仿宋" w:eastAsia="仿宋" w:cs="仿宋"/>
                <w:sz w:val="24"/>
                <w:szCs w:val="24"/>
              </w:rPr>
              <w:t>主任/高级工程师</w:t>
            </w:r>
          </w:p>
        </w:tc>
        <w:tc>
          <w:tcPr>
            <w:tcW w:w="1613"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仿宋" w:hAnsi="仿宋" w:eastAsia="仿宋" w:cs="仿宋"/>
                <w:sz w:val="24"/>
                <w:szCs w:val="24"/>
                <w:lang w:val="en-US" w:eastAsia="zh-CN"/>
              </w:rPr>
            </w:pPr>
            <w:r>
              <w:rPr>
                <w:rFonts w:hint="eastAsia" w:ascii="仿宋" w:hAnsi="仿宋" w:cs="仿宋"/>
                <w:sz w:val="24"/>
                <w:szCs w:val="24"/>
                <w:lang w:val="en-US" w:eastAsia="zh-CN"/>
              </w:rPr>
              <w:t>15882215544</w:t>
            </w:r>
          </w:p>
        </w:tc>
        <w:tc>
          <w:tcPr>
            <w:tcW w:w="287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仿宋" w:hAnsi="仿宋" w:eastAsia="仿宋" w:cs="仿宋"/>
                <w:sz w:val="24"/>
                <w:szCs w:val="24"/>
              </w:rPr>
            </w:pPr>
            <w:r>
              <w:rPr>
                <w:rFonts w:hint="eastAsia" w:ascii="仿宋" w:hAnsi="仿宋" w:eastAsia="仿宋" w:cs="仿宋"/>
                <w:sz w:val="24"/>
                <w:szCs w:val="24"/>
              </w:rPr>
              <w:t>参与标准文本和编制说明讨论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5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sz w:val="24"/>
                <w:szCs w:val="24"/>
              </w:rPr>
            </w:pPr>
            <w:r>
              <w:rPr>
                <w:rFonts w:hint="eastAsia" w:ascii="仿宋" w:hAnsi="仿宋" w:eastAsia="仿宋" w:cs="仿宋"/>
                <w:sz w:val="24"/>
                <w:szCs w:val="24"/>
              </w:rPr>
              <w:t>5</w:t>
            </w:r>
          </w:p>
        </w:tc>
        <w:tc>
          <w:tcPr>
            <w:tcW w:w="103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sz w:val="24"/>
                <w:szCs w:val="24"/>
              </w:rPr>
            </w:pPr>
            <w:r>
              <w:rPr>
                <w:rFonts w:hint="eastAsia" w:ascii="仿宋" w:hAnsi="仿宋" w:eastAsia="仿宋" w:cs="仿宋"/>
                <w:sz w:val="24"/>
                <w:szCs w:val="24"/>
              </w:rPr>
              <w:t>刘  尉</w:t>
            </w:r>
          </w:p>
        </w:tc>
        <w:tc>
          <w:tcPr>
            <w:tcW w:w="1263"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sz w:val="24"/>
                <w:szCs w:val="24"/>
              </w:rPr>
            </w:pPr>
            <w:r>
              <w:rPr>
                <w:rFonts w:hint="eastAsia" w:ascii="仿宋" w:hAnsi="仿宋" w:eastAsia="仿宋" w:cs="仿宋"/>
                <w:sz w:val="24"/>
                <w:szCs w:val="24"/>
              </w:rPr>
              <w:t>成都市农林科学院</w:t>
            </w:r>
          </w:p>
        </w:tc>
        <w:tc>
          <w:tcPr>
            <w:tcW w:w="1512"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仿宋" w:hAnsi="仿宋" w:eastAsia="仿宋" w:cs="仿宋"/>
                <w:sz w:val="24"/>
                <w:szCs w:val="24"/>
              </w:rPr>
            </w:pPr>
            <w:r>
              <w:rPr>
                <w:rFonts w:hint="eastAsia" w:ascii="仿宋" w:hAnsi="仿宋" w:eastAsia="仿宋" w:cs="仿宋"/>
                <w:sz w:val="24"/>
                <w:szCs w:val="24"/>
              </w:rPr>
              <w:t>高级工程师</w:t>
            </w:r>
          </w:p>
        </w:tc>
        <w:tc>
          <w:tcPr>
            <w:tcW w:w="1613"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仿宋" w:hAnsi="仿宋" w:eastAsia="仿宋" w:cs="仿宋"/>
                <w:sz w:val="24"/>
                <w:szCs w:val="24"/>
                <w:lang w:val="en-US" w:eastAsia="zh-CN"/>
              </w:rPr>
            </w:pPr>
            <w:r>
              <w:rPr>
                <w:rFonts w:hint="eastAsia" w:ascii="仿宋" w:hAnsi="仿宋" w:cs="仿宋"/>
                <w:sz w:val="24"/>
                <w:szCs w:val="24"/>
                <w:lang w:val="en-US" w:eastAsia="zh-CN"/>
              </w:rPr>
              <w:t>13882439752</w:t>
            </w:r>
          </w:p>
        </w:tc>
        <w:tc>
          <w:tcPr>
            <w:tcW w:w="287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仿宋" w:hAnsi="仿宋" w:eastAsia="仿宋" w:cs="仿宋"/>
                <w:sz w:val="24"/>
                <w:szCs w:val="24"/>
              </w:rPr>
            </w:pPr>
            <w:r>
              <w:rPr>
                <w:rFonts w:hint="eastAsia" w:ascii="仿宋" w:hAnsi="仿宋" w:eastAsia="仿宋" w:cs="仿宋"/>
                <w:sz w:val="24"/>
                <w:szCs w:val="24"/>
              </w:rPr>
              <w:t>前期研究整理汇总、参与标准文本和编制说明讨论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5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sz w:val="24"/>
                <w:szCs w:val="24"/>
              </w:rPr>
            </w:pPr>
            <w:r>
              <w:rPr>
                <w:rFonts w:hint="eastAsia" w:ascii="仿宋" w:hAnsi="仿宋" w:eastAsia="仿宋" w:cs="仿宋"/>
                <w:sz w:val="24"/>
                <w:szCs w:val="24"/>
              </w:rPr>
              <w:t>6</w:t>
            </w:r>
          </w:p>
        </w:tc>
        <w:tc>
          <w:tcPr>
            <w:tcW w:w="103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sz w:val="24"/>
                <w:szCs w:val="24"/>
              </w:rPr>
            </w:pPr>
            <w:r>
              <w:rPr>
                <w:rFonts w:hint="eastAsia" w:ascii="仿宋" w:hAnsi="仿宋" w:eastAsia="仿宋" w:cs="仿宋"/>
                <w:sz w:val="24"/>
                <w:szCs w:val="24"/>
              </w:rPr>
              <w:t>谢文娟</w:t>
            </w:r>
          </w:p>
        </w:tc>
        <w:tc>
          <w:tcPr>
            <w:tcW w:w="1263"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sz w:val="24"/>
                <w:szCs w:val="24"/>
              </w:rPr>
            </w:pPr>
            <w:r>
              <w:rPr>
                <w:rFonts w:hint="eastAsia" w:ascii="仿宋" w:hAnsi="仿宋" w:eastAsia="仿宋" w:cs="仿宋"/>
                <w:sz w:val="24"/>
                <w:szCs w:val="24"/>
              </w:rPr>
              <w:t>成都市农林科学院</w:t>
            </w:r>
          </w:p>
        </w:tc>
        <w:tc>
          <w:tcPr>
            <w:tcW w:w="1512"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仿宋" w:hAnsi="仿宋" w:eastAsia="仿宋" w:cs="仿宋"/>
                <w:sz w:val="24"/>
                <w:szCs w:val="24"/>
              </w:rPr>
            </w:pPr>
            <w:r>
              <w:rPr>
                <w:rFonts w:hint="eastAsia" w:ascii="仿宋" w:hAnsi="仿宋" w:eastAsia="仿宋" w:cs="仿宋"/>
                <w:sz w:val="24"/>
                <w:szCs w:val="24"/>
              </w:rPr>
              <w:t>高级工程师</w:t>
            </w:r>
          </w:p>
        </w:tc>
        <w:tc>
          <w:tcPr>
            <w:tcW w:w="1613"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仿宋" w:hAnsi="仿宋" w:eastAsia="仿宋" w:cs="仿宋"/>
                <w:sz w:val="24"/>
                <w:szCs w:val="24"/>
                <w:lang w:val="en-US" w:eastAsia="zh-CN"/>
              </w:rPr>
            </w:pPr>
            <w:r>
              <w:rPr>
                <w:rFonts w:hint="eastAsia" w:ascii="仿宋" w:hAnsi="仿宋" w:cs="仿宋"/>
                <w:sz w:val="24"/>
                <w:szCs w:val="24"/>
                <w:lang w:val="en-US" w:eastAsia="zh-CN"/>
              </w:rPr>
              <w:t>13980683953</w:t>
            </w:r>
          </w:p>
        </w:tc>
        <w:tc>
          <w:tcPr>
            <w:tcW w:w="287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仿宋" w:hAnsi="仿宋" w:eastAsia="仿宋" w:cs="仿宋"/>
                <w:sz w:val="24"/>
                <w:szCs w:val="24"/>
              </w:rPr>
            </w:pPr>
            <w:r>
              <w:rPr>
                <w:rFonts w:hint="eastAsia" w:ascii="仿宋" w:hAnsi="仿宋" w:eastAsia="仿宋" w:cs="仿宋"/>
                <w:sz w:val="24"/>
                <w:szCs w:val="24"/>
              </w:rPr>
              <w:t>参与标准文本和编制说明讨论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5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sz w:val="24"/>
                <w:szCs w:val="24"/>
              </w:rPr>
            </w:pPr>
            <w:r>
              <w:rPr>
                <w:rFonts w:hint="eastAsia" w:ascii="仿宋" w:hAnsi="仿宋" w:eastAsia="仿宋" w:cs="仿宋"/>
                <w:sz w:val="24"/>
                <w:szCs w:val="24"/>
              </w:rPr>
              <w:t>7</w:t>
            </w:r>
          </w:p>
        </w:tc>
        <w:tc>
          <w:tcPr>
            <w:tcW w:w="103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sz w:val="24"/>
                <w:szCs w:val="24"/>
              </w:rPr>
            </w:pPr>
            <w:r>
              <w:rPr>
                <w:rFonts w:hint="eastAsia" w:ascii="仿宋" w:hAnsi="仿宋" w:eastAsia="仿宋" w:cs="仿宋"/>
                <w:sz w:val="24"/>
                <w:szCs w:val="24"/>
              </w:rPr>
              <w:t>张达江</w:t>
            </w:r>
          </w:p>
        </w:tc>
        <w:tc>
          <w:tcPr>
            <w:tcW w:w="1263"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sz w:val="24"/>
                <w:szCs w:val="24"/>
              </w:rPr>
            </w:pPr>
            <w:r>
              <w:rPr>
                <w:rFonts w:hint="eastAsia" w:ascii="仿宋" w:hAnsi="仿宋" w:eastAsia="仿宋" w:cs="仿宋"/>
                <w:sz w:val="24"/>
                <w:szCs w:val="24"/>
              </w:rPr>
              <w:t>成都市农林科学院</w:t>
            </w:r>
          </w:p>
        </w:tc>
        <w:tc>
          <w:tcPr>
            <w:tcW w:w="1512"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仿宋" w:hAnsi="仿宋" w:eastAsia="仿宋" w:cs="仿宋"/>
                <w:sz w:val="24"/>
                <w:szCs w:val="24"/>
              </w:rPr>
            </w:pPr>
            <w:r>
              <w:rPr>
                <w:rFonts w:hint="eastAsia" w:ascii="仿宋" w:hAnsi="仿宋" w:eastAsia="仿宋" w:cs="仿宋"/>
                <w:sz w:val="24"/>
                <w:szCs w:val="24"/>
              </w:rPr>
              <w:t>主任/高级工程师</w:t>
            </w:r>
          </w:p>
        </w:tc>
        <w:tc>
          <w:tcPr>
            <w:tcW w:w="1613"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仿宋" w:hAnsi="仿宋" w:eastAsia="仿宋" w:cs="仿宋"/>
                <w:sz w:val="24"/>
                <w:szCs w:val="24"/>
                <w:lang w:val="en-US" w:eastAsia="zh-CN"/>
              </w:rPr>
            </w:pPr>
            <w:r>
              <w:rPr>
                <w:rFonts w:hint="eastAsia" w:ascii="仿宋" w:hAnsi="仿宋" w:cs="仿宋"/>
                <w:sz w:val="24"/>
                <w:szCs w:val="24"/>
                <w:lang w:val="en-US" w:eastAsia="zh-CN"/>
              </w:rPr>
              <w:t>13880829297</w:t>
            </w:r>
          </w:p>
        </w:tc>
        <w:tc>
          <w:tcPr>
            <w:tcW w:w="287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仿宋" w:hAnsi="仿宋" w:eastAsia="仿宋" w:cs="仿宋"/>
                <w:sz w:val="24"/>
                <w:szCs w:val="24"/>
              </w:rPr>
            </w:pPr>
            <w:r>
              <w:rPr>
                <w:rFonts w:hint="eastAsia" w:ascii="仿宋" w:hAnsi="仿宋" w:eastAsia="仿宋" w:cs="仿宋"/>
                <w:sz w:val="24"/>
                <w:szCs w:val="24"/>
              </w:rPr>
              <w:t>参与前期调研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5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sz w:val="24"/>
                <w:szCs w:val="24"/>
              </w:rPr>
            </w:pPr>
            <w:r>
              <w:rPr>
                <w:rFonts w:hint="eastAsia" w:ascii="仿宋" w:hAnsi="仿宋" w:eastAsia="仿宋" w:cs="仿宋"/>
                <w:sz w:val="24"/>
                <w:szCs w:val="24"/>
              </w:rPr>
              <w:t>8</w:t>
            </w:r>
          </w:p>
        </w:tc>
        <w:tc>
          <w:tcPr>
            <w:tcW w:w="103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sz w:val="24"/>
                <w:szCs w:val="24"/>
              </w:rPr>
            </w:pPr>
            <w:r>
              <w:rPr>
                <w:rFonts w:hint="eastAsia" w:ascii="仿宋" w:hAnsi="仿宋" w:eastAsia="仿宋" w:cs="仿宋"/>
                <w:sz w:val="24"/>
                <w:szCs w:val="24"/>
              </w:rPr>
              <w:t>张勃龙</w:t>
            </w:r>
          </w:p>
        </w:tc>
        <w:tc>
          <w:tcPr>
            <w:tcW w:w="1263"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sz w:val="24"/>
                <w:szCs w:val="24"/>
              </w:rPr>
            </w:pPr>
            <w:r>
              <w:rPr>
                <w:rFonts w:hint="eastAsia" w:ascii="仿宋" w:hAnsi="仿宋" w:eastAsia="仿宋" w:cs="仿宋"/>
                <w:sz w:val="24"/>
                <w:szCs w:val="24"/>
              </w:rPr>
              <w:t>成都市农林科学院</w:t>
            </w:r>
          </w:p>
        </w:tc>
        <w:tc>
          <w:tcPr>
            <w:tcW w:w="1512"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仿宋" w:hAnsi="仿宋" w:eastAsia="仿宋" w:cs="仿宋"/>
                <w:sz w:val="24"/>
                <w:szCs w:val="24"/>
              </w:rPr>
            </w:pPr>
            <w:r>
              <w:rPr>
                <w:rFonts w:hint="eastAsia" w:ascii="仿宋" w:hAnsi="仿宋" w:eastAsia="仿宋" w:cs="仿宋"/>
                <w:sz w:val="24"/>
                <w:szCs w:val="24"/>
              </w:rPr>
              <w:t>副主任/高级工程师</w:t>
            </w:r>
          </w:p>
        </w:tc>
        <w:tc>
          <w:tcPr>
            <w:tcW w:w="1613"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仿宋" w:hAnsi="仿宋" w:eastAsia="仿宋" w:cs="仿宋"/>
                <w:sz w:val="24"/>
                <w:szCs w:val="24"/>
                <w:lang w:val="en-US" w:eastAsia="zh-CN"/>
              </w:rPr>
            </w:pPr>
            <w:r>
              <w:rPr>
                <w:rFonts w:hint="eastAsia" w:ascii="仿宋" w:hAnsi="仿宋" w:cs="仿宋"/>
                <w:sz w:val="24"/>
                <w:szCs w:val="24"/>
                <w:lang w:val="en-US" w:eastAsia="zh-CN"/>
              </w:rPr>
              <w:t>18728412966</w:t>
            </w:r>
          </w:p>
        </w:tc>
        <w:tc>
          <w:tcPr>
            <w:tcW w:w="287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仿宋" w:hAnsi="仿宋" w:eastAsia="仿宋" w:cs="仿宋"/>
                <w:sz w:val="24"/>
                <w:szCs w:val="24"/>
              </w:rPr>
            </w:pPr>
            <w:r>
              <w:rPr>
                <w:rFonts w:hint="eastAsia" w:ascii="仿宋" w:hAnsi="仿宋" w:eastAsia="仿宋" w:cs="仿宋"/>
                <w:sz w:val="24"/>
                <w:szCs w:val="24"/>
              </w:rPr>
              <w:t>参与前期调研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5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sz w:val="24"/>
                <w:szCs w:val="24"/>
              </w:rPr>
            </w:pPr>
            <w:r>
              <w:rPr>
                <w:rFonts w:hint="eastAsia" w:ascii="仿宋" w:hAnsi="仿宋" w:eastAsia="仿宋" w:cs="仿宋"/>
                <w:sz w:val="24"/>
                <w:szCs w:val="24"/>
              </w:rPr>
              <w:t>9</w:t>
            </w:r>
          </w:p>
        </w:tc>
        <w:tc>
          <w:tcPr>
            <w:tcW w:w="103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sz w:val="24"/>
                <w:szCs w:val="24"/>
              </w:rPr>
            </w:pPr>
            <w:r>
              <w:rPr>
                <w:rFonts w:hint="eastAsia" w:ascii="仿宋" w:hAnsi="仿宋" w:eastAsia="仿宋" w:cs="仿宋"/>
                <w:sz w:val="24"/>
                <w:szCs w:val="24"/>
              </w:rPr>
              <w:t>张  捷</w:t>
            </w:r>
          </w:p>
        </w:tc>
        <w:tc>
          <w:tcPr>
            <w:tcW w:w="1263"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sz w:val="24"/>
                <w:szCs w:val="24"/>
              </w:rPr>
            </w:pPr>
            <w:r>
              <w:rPr>
                <w:rFonts w:hint="eastAsia" w:ascii="仿宋" w:hAnsi="仿宋" w:eastAsia="仿宋" w:cs="仿宋"/>
                <w:sz w:val="24"/>
                <w:szCs w:val="24"/>
              </w:rPr>
              <w:t>成都市农林科学院</w:t>
            </w:r>
          </w:p>
        </w:tc>
        <w:tc>
          <w:tcPr>
            <w:tcW w:w="1512"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仿宋" w:hAnsi="仿宋" w:eastAsia="仿宋" w:cs="仿宋"/>
                <w:sz w:val="24"/>
                <w:szCs w:val="24"/>
              </w:rPr>
            </w:pPr>
            <w:r>
              <w:rPr>
                <w:rFonts w:hint="eastAsia" w:ascii="仿宋" w:hAnsi="仿宋" w:eastAsia="仿宋" w:cs="仿宋"/>
                <w:sz w:val="24"/>
                <w:szCs w:val="24"/>
              </w:rPr>
              <w:t>工程师</w:t>
            </w:r>
          </w:p>
        </w:tc>
        <w:tc>
          <w:tcPr>
            <w:tcW w:w="1613"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仿宋" w:hAnsi="仿宋" w:eastAsia="仿宋" w:cs="仿宋"/>
                <w:sz w:val="24"/>
                <w:szCs w:val="24"/>
                <w:lang w:val="en-US" w:eastAsia="zh-CN"/>
              </w:rPr>
            </w:pPr>
            <w:r>
              <w:rPr>
                <w:rFonts w:hint="eastAsia" w:ascii="仿宋" w:hAnsi="仿宋" w:cs="仿宋"/>
                <w:sz w:val="24"/>
                <w:szCs w:val="24"/>
                <w:lang w:val="en-US" w:eastAsia="zh-CN"/>
              </w:rPr>
              <w:t>13880274530</w:t>
            </w:r>
          </w:p>
        </w:tc>
        <w:tc>
          <w:tcPr>
            <w:tcW w:w="287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仿宋" w:hAnsi="仿宋" w:eastAsia="仿宋" w:cs="仿宋"/>
                <w:sz w:val="24"/>
                <w:szCs w:val="24"/>
              </w:rPr>
            </w:pPr>
            <w:r>
              <w:rPr>
                <w:rFonts w:hint="eastAsia" w:ascii="仿宋" w:hAnsi="仿宋" w:eastAsia="仿宋" w:cs="仿宋"/>
                <w:sz w:val="24"/>
                <w:szCs w:val="24"/>
              </w:rPr>
              <w:t>参与前期调研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5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sz w:val="24"/>
                <w:szCs w:val="24"/>
              </w:rPr>
            </w:pPr>
            <w:r>
              <w:rPr>
                <w:rFonts w:hint="eastAsia" w:ascii="仿宋" w:hAnsi="仿宋" w:eastAsia="仿宋" w:cs="仿宋"/>
                <w:sz w:val="24"/>
                <w:szCs w:val="24"/>
              </w:rPr>
              <w:t>10</w:t>
            </w:r>
          </w:p>
        </w:tc>
        <w:tc>
          <w:tcPr>
            <w:tcW w:w="103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sz w:val="24"/>
                <w:szCs w:val="24"/>
              </w:rPr>
            </w:pPr>
            <w:r>
              <w:rPr>
                <w:rFonts w:hint="eastAsia" w:ascii="仿宋" w:hAnsi="仿宋" w:eastAsia="仿宋" w:cs="仿宋"/>
                <w:sz w:val="24"/>
                <w:szCs w:val="24"/>
              </w:rPr>
              <w:t>黄倩颖</w:t>
            </w:r>
          </w:p>
        </w:tc>
        <w:tc>
          <w:tcPr>
            <w:tcW w:w="1263"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sz w:val="24"/>
                <w:szCs w:val="24"/>
              </w:rPr>
            </w:pPr>
            <w:r>
              <w:rPr>
                <w:rFonts w:hint="eastAsia" w:ascii="仿宋" w:hAnsi="仿宋" w:eastAsia="仿宋" w:cs="仿宋"/>
                <w:sz w:val="24"/>
                <w:szCs w:val="24"/>
              </w:rPr>
              <w:t>成都市农林科学院</w:t>
            </w:r>
          </w:p>
        </w:tc>
        <w:tc>
          <w:tcPr>
            <w:tcW w:w="1512"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仿宋" w:hAnsi="仿宋" w:eastAsia="仿宋" w:cs="仿宋"/>
                <w:sz w:val="24"/>
                <w:szCs w:val="24"/>
              </w:rPr>
            </w:pPr>
            <w:r>
              <w:rPr>
                <w:rFonts w:hint="eastAsia" w:ascii="仿宋" w:hAnsi="仿宋" w:eastAsia="仿宋" w:cs="仿宋"/>
                <w:sz w:val="24"/>
                <w:szCs w:val="24"/>
              </w:rPr>
              <w:t>副主任/工程师</w:t>
            </w:r>
          </w:p>
        </w:tc>
        <w:tc>
          <w:tcPr>
            <w:tcW w:w="1613"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仿宋" w:hAnsi="仿宋" w:eastAsia="仿宋" w:cs="仿宋"/>
                <w:sz w:val="24"/>
                <w:szCs w:val="24"/>
                <w:lang w:val="en-US" w:eastAsia="zh-CN"/>
              </w:rPr>
            </w:pPr>
            <w:r>
              <w:rPr>
                <w:rFonts w:hint="eastAsia" w:ascii="仿宋" w:hAnsi="仿宋" w:cs="仿宋"/>
                <w:sz w:val="24"/>
                <w:szCs w:val="24"/>
                <w:lang w:val="en-US" w:eastAsia="zh-CN"/>
              </w:rPr>
              <w:t>18011505031</w:t>
            </w:r>
          </w:p>
        </w:tc>
        <w:tc>
          <w:tcPr>
            <w:tcW w:w="287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仿宋" w:hAnsi="仿宋" w:eastAsia="仿宋" w:cs="仿宋"/>
                <w:sz w:val="24"/>
                <w:szCs w:val="24"/>
              </w:rPr>
            </w:pPr>
            <w:r>
              <w:rPr>
                <w:rFonts w:hint="eastAsia" w:ascii="仿宋" w:hAnsi="仿宋" w:eastAsia="仿宋" w:cs="仿宋"/>
                <w:sz w:val="24"/>
                <w:szCs w:val="24"/>
              </w:rPr>
              <w:t>参与前期调研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5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sz w:val="24"/>
                <w:szCs w:val="24"/>
              </w:rPr>
            </w:pPr>
            <w:r>
              <w:rPr>
                <w:rFonts w:hint="eastAsia" w:ascii="仿宋" w:hAnsi="仿宋" w:eastAsia="仿宋" w:cs="仿宋"/>
                <w:sz w:val="24"/>
                <w:szCs w:val="24"/>
              </w:rPr>
              <w:t>11</w:t>
            </w:r>
          </w:p>
        </w:tc>
        <w:tc>
          <w:tcPr>
            <w:tcW w:w="103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sz w:val="24"/>
                <w:szCs w:val="24"/>
              </w:rPr>
            </w:pPr>
            <w:r>
              <w:rPr>
                <w:rFonts w:hint="eastAsia" w:ascii="仿宋" w:hAnsi="仿宋" w:eastAsia="仿宋" w:cs="仿宋"/>
                <w:sz w:val="24"/>
                <w:szCs w:val="24"/>
              </w:rPr>
              <w:t>蒋丽琼</w:t>
            </w:r>
          </w:p>
        </w:tc>
        <w:tc>
          <w:tcPr>
            <w:tcW w:w="1263"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sz w:val="24"/>
                <w:szCs w:val="24"/>
              </w:rPr>
            </w:pPr>
            <w:r>
              <w:rPr>
                <w:rFonts w:hint="eastAsia" w:ascii="仿宋" w:hAnsi="仿宋" w:eastAsia="仿宋" w:cs="仿宋"/>
                <w:sz w:val="24"/>
                <w:szCs w:val="24"/>
              </w:rPr>
              <w:t>成都市标准化研究院</w:t>
            </w:r>
          </w:p>
        </w:tc>
        <w:tc>
          <w:tcPr>
            <w:tcW w:w="1512"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仿宋" w:hAnsi="仿宋" w:eastAsia="仿宋" w:cs="仿宋"/>
                <w:sz w:val="24"/>
                <w:szCs w:val="24"/>
                <w:lang w:val="en-US" w:eastAsia="zh-CN"/>
              </w:rPr>
            </w:pPr>
            <w:r>
              <w:rPr>
                <w:rFonts w:hint="eastAsia" w:ascii="仿宋" w:hAnsi="仿宋" w:cs="仿宋"/>
                <w:sz w:val="24"/>
                <w:szCs w:val="24"/>
                <w:lang w:val="en-US" w:eastAsia="zh-CN"/>
              </w:rPr>
              <w:t>主任</w:t>
            </w:r>
          </w:p>
        </w:tc>
        <w:tc>
          <w:tcPr>
            <w:tcW w:w="1613"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仿宋" w:hAnsi="仿宋" w:eastAsia="仿宋" w:cs="仿宋"/>
                <w:sz w:val="24"/>
                <w:szCs w:val="24"/>
                <w:lang w:val="en-US" w:eastAsia="zh-CN"/>
              </w:rPr>
            </w:pPr>
            <w:r>
              <w:rPr>
                <w:rFonts w:hint="eastAsia" w:ascii="仿宋" w:hAnsi="仿宋" w:cs="仿宋"/>
                <w:sz w:val="24"/>
                <w:szCs w:val="24"/>
                <w:lang w:val="en-US" w:eastAsia="zh-CN"/>
              </w:rPr>
              <w:t>13550103756</w:t>
            </w:r>
          </w:p>
        </w:tc>
        <w:tc>
          <w:tcPr>
            <w:tcW w:w="287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仿宋" w:hAnsi="仿宋" w:eastAsia="仿宋" w:cs="仿宋"/>
                <w:sz w:val="24"/>
                <w:szCs w:val="24"/>
                <w:lang w:eastAsia="zh-CN"/>
              </w:rPr>
            </w:pPr>
            <w:r>
              <w:rPr>
                <w:rFonts w:hint="eastAsia" w:ascii="仿宋" w:hAnsi="仿宋" w:eastAsia="仿宋" w:cs="仿宋"/>
                <w:sz w:val="24"/>
                <w:szCs w:val="24"/>
              </w:rPr>
              <w:t>参与标准文本</w:t>
            </w:r>
            <w:r>
              <w:rPr>
                <w:rFonts w:hint="eastAsia" w:ascii="仿宋" w:hAnsi="仿宋" w:cs="仿宋"/>
                <w:sz w:val="24"/>
                <w:szCs w:val="24"/>
                <w:lang w:val="en-US" w:eastAsia="zh-CN"/>
              </w:rPr>
              <w:t>质量控制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5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12</w:t>
            </w:r>
          </w:p>
        </w:tc>
        <w:tc>
          <w:tcPr>
            <w:tcW w:w="103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黄良伟</w:t>
            </w:r>
          </w:p>
        </w:tc>
        <w:tc>
          <w:tcPr>
            <w:tcW w:w="1263"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sz w:val="24"/>
                <w:szCs w:val="24"/>
              </w:rPr>
            </w:pPr>
            <w:r>
              <w:rPr>
                <w:rFonts w:hint="eastAsia" w:ascii="仿宋" w:hAnsi="仿宋" w:eastAsia="仿宋" w:cs="仿宋"/>
                <w:sz w:val="24"/>
                <w:szCs w:val="24"/>
              </w:rPr>
              <w:t>成都市标准化研究院</w:t>
            </w:r>
          </w:p>
        </w:tc>
        <w:tc>
          <w:tcPr>
            <w:tcW w:w="1512"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仿宋" w:hAnsi="仿宋" w:eastAsia="仿宋" w:cs="仿宋"/>
                <w:sz w:val="24"/>
                <w:szCs w:val="24"/>
                <w:lang w:eastAsia="zh-CN"/>
              </w:rPr>
            </w:pPr>
            <w:r>
              <w:rPr>
                <w:rFonts w:hint="eastAsia" w:ascii="仿宋" w:hAnsi="仿宋" w:cs="仿宋"/>
                <w:sz w:val="24"/>
                <w:szCs w:val="24"/>
                <w:lang w:val="en-US" w:eastAsia="zh-CN"/>
              </w:rPr>
              <w:t>农艺师</w:t>
            </w:r>
          </w:p>
        </w:tc>
        <w:tc>
          <w:tcPr>
            <w:tcW w:w="1613"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仿宋" w:hAnsi="仿宋" w:eastAsia="仿宋" w:cs="仿宋"/>
                <w:sz w:val="24"/>
                <w:szCs w:val="24"/>
                <w:lang w:val="en-US" w:eastAsia="zh-CN"/>
              </w:rPr>
            </w:pPr>
            <w:r>
              <w:rPr>
                <w:rFonts w:hint="eastAsia" w:ascii="仿宋" w:hAnsi="仿宋" w:cs="仿宋"/>
                <w:sz w:val="24"/>
                <w:szCs w:val="24"/>
                <w:lang w:val="en-US" w:eastAsia="zh-CN"/>
              </w:rPr>
              <w:t>13699048302</w:t>
            </w:r>
          </w:p>
        </w:tc>
        <w:tc>
          <w:tcPr>
            <w:tcW w:w="287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仿宋" w:hAnsi="仿宋" w:eastAsia="仿宋" w:cs="仿宋"/>
                <w:sz w:val="24"/>
                <w:szCs w:val="24"/>
                <w:lang w:val="en-US" w:eastAsia="zh-CN"/>
              </w:rPr>
            </w:pPr>
            <w:r>
              <w:rPr>
                <w:rFonts w:hint="eastAsia" w:ascii="仿宋" w:hAnsi="仿宋" w:eastAsia="仿宋" w:cs="仿宋"/>
                <w:sz w:val="24"/>
                <w:szCs w:val="24"/>
              </w:rPr>
              <w:t>参与标准文本讨论</w:t>
            </w:r>
            <w:r>
              <w:rPr>
                <w:rFonts w:hint="eastAsia" w:ascii="仿宋" w:hAnsi="仿宋" w:cs="仿宋"/>
                <w:sz w:val="24"/>
                <w:szCs w:val="24"/>
                <w:lang w:val="en-US" w:eastAsia="zh-CN"/>
              </w:rPr>
              <w:t>和质量控制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5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sz w:val="24"/>
                <w:szCs w:val="24"/>
              </w:rPr>
            </w:pPr>
            <w:r>
              <w:rPr>
                <w:rFonts w:hint="eastAsia" w:ascii="仿宋" w:hAnsi="仿宋" w:eastAsia="仿宋" w:cs="仿宋"/>
                <w:sz w:val="24"/>
                <w:szCs w:val="24"/>
              </w:rPr>
              <w:t>13</w:t>
            </w:r>
          </w:p>
        </w:tc>
        <w:tc>
          <w:tcPr>
            <w:tcW w:w="103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sz w:val="24"/>
                <w:szCs w:val="24"/>
              </w:rPr>
            </w:pPr>
            <w:r>
              <w:rPr>
                <w:rFonts w:hint="eastAsia" w:ascii="仿宋" w:hAnsi="仿宋" w:eastAsia="仿宋" w:cs="仿宋"/>
                <w:sz w:val="24"/>
                <w:szCs w:val="24"/>
              </w:rPr>
              <w:t>庄  丽</w:t>
            </w:r>
          </w:p>
        </w:tc>
        <w:tc>
          <w:tcPr>
            <w:tcW w:w="1263"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sz w:val="24"/>
                <w:szCs w:val="24"/>
              </w:rPr>
            </w:pPr>
            <w:r>
              <w:rPr>
                <w:rFonts w:hint="eastAsia" w:ascii="仿宋" w:hAnsi="仿宋" w:eastAsia="仿宋" w:cs="仿宋"/>
                <w:sz w:val="24"/>
                <w:szCs w:val="24"/>
              </w:rPr>
              <w:t>成都市农林科学院</w:t>
            </w:r>
          </w:p>
        </w:tc>
        <w:tc>
          <w:tcPr>
            <w:tcW w:w="1512"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仿宋" w:hAnsi="仿宋" w:eastAsia="仿宋" w:cs="仿宋"/>
                <w:sz w:val="24"/>
                <w:szCs w:val="24"/>
              </w:rPr>
            </w:pPr>
            <w:r>
              <w:rPr>
                <w:rFonts w:hint="eastAsia" w:ascii="仿宋" w:hAnsi="仿宋" w:eastAsia="仿宋" w:cs="仿宋"/>
                <w:sz w:val="24"/>
                <w:szCs w:val="24"/>
              </w:rPr>
              <w:t>高级工程师</w:t>
            </w:r>
          </w:p>
        </w:tc>
        <w:tc>
          <w:tcPr>
            <w:tcW w:w="1613"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仿宋" w:hAnsi="仿宋" w:eastAsia="仿宋" w:cs="仿宋"/>
                <w:sz w:val="24"/>
                <w:szCs w:val="24"/>
                <w:lang w:val="en-US" w:eastAsia="zh-CN"/>
              </w:rPr>
            </w:pPr>
            <w:r>
              <w:rPr>
                <w:rFonts w:hint="eastAsia" w:ascii="仿宋" w:hAnsi="仿宋" w:cs="仿宋"/>
                <w:sz w:val="24"/>
                <w:szCs w:val="24"/>
                <w:lang w:val="en-US" w:eastAsia="zh-CN"/>
              </w:rPr>
              <w:t>18010643106</w:t>
            </w:r>
          </w:p>
        </w:tc>
        <w:tc>
          <w:tcPr>
            <w:tcW w:w="287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仿宋" w:hAnsi="仿宋" w:eastAsia="仿宋" w:cs="仿宋"/>
                <w:sz w:val="24"/>
                <w:szCs w:val="24"/>
              </w:rPr>
            </w:pPr>
            <w:r>
              <w:rPr>
                <w:rFonts w:hint="eastAsia" w:ascii="仿宋" w:hAnsi="仿宋" w:eastAsia="仿宋" w:cs="仿宋"/>
                <w:sz w:val="24"/>
                <w:szCs w:val="24"/>
              </w:rPr>
              <w:t>收集汇总行业专家、主管部门、业主等的征求意见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5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sz w:val="24"/>
                <w:szCs w:val="24"/>
              </w:rPr>
            </w:pPr>
            <w:r>
              <w:rPr>
                <w:rFonts w:hint="eastAsia" w:ascii="仿宋" w:hAnsi="仿宋" w:eastAsia="仿宋" w:cs="仿宋"/>
                <w:sz w:val="24"/>
                <w:szCs w:val="24"/>
              </w:rPr>
              <w:t>14</w:t>
            </w:r>
          </w:p>
        </w:tc>
        <w:tc>
          <w:tcPr>
            <w:tcW w:w="103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sz w:val="24"/>
                <w:szCs w:val="24"/>
              </w:rPr>
            </w:pPr>
            <w:r>
              <w:rPr>
                <w:rFonts w:hint="eastAsia" w:ascii="仿宋" w:hAnsi="仿宋" w:eastAsia="仿宋" w:cs="仿宋"/>
                <w:sz w:val="24"/>
                <w:szCs w:val="24"/>
              </w:rPr>
              <w:t>姜丽琼</w:t>
            </w:r>
          </w:p>
        </w:tc>
        <w:tc>
          <w:tcPr>
            <w:tcW w:w="1263"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sz w:val="24"/>
                <w:szCs w:val="24"/>
              </w:rPr>
            </w:pPr>
            <w:r>
              <w:rPr>
                <w:rFonts w:hint="eastAsia" w:ascii="仿宋" w:hAnsi="仿宋" w:eastAsia="仿宋" w:cs="仿宋"/>
                <w:sz w:val="24"/>
                <w:szCs w:val="24"/>
              </w:rPr>
              <w:t>成都市农林科学院</w:t>
            </w:r>
          </w:p>
        </w:tc>
        <w:tc>
          <w:tcPr>
            <w:tcW w:w="1512"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仿宋" w:hAnsi="仿宋" w:eastAsia="仿宋" w:cs="仿宋"/>
                <w:sz w:val="24"/>
                <w:szCs w:val="24"/>
              </w:rPr>
            </w:pPr>
            <w:r>
              <w:rPr>
                <w:rFonts w:hint="eastAsia" w:ascii="仿宋" w:hAnsi="仿宋" w:eastAsia="仿宋" w:cs="仿宋"/>
                <w:sz w:val="24"/>
                <w:szCs w:val="24"/>
              </w:rPr>
              <w:t>高级工程师</w:t>
            </w:r>
          </w:p>
        </w:tc>
        <w:tc>
          <w:tcPr>
            <w:tcW w:w="1613"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仿宋" w:hAnsi="仿宋" w:eastAsia="仿宋" w:cs="仿宋"/>
                <w:sz w:val="24"/>
                <w:szCs w:val="24"/>
                <w:lang w:val="en-US" w:eastAsia="zh-CN"/>
              </w:rPr>
            </w:pPr>
            <w:r>
              <w:rPr>
                <w:rFonts w:hint="eastAsia" w:ascii="仿宋" w:hAnsi="仿宋" w:cs="仿宋"/>
                <w:sz w:val="24"/>
                <w:szCs w:val="24"/>
                <w:lang w:val="en-US" w:eastAsia="zh-CN"/>
              </w:rPr>
              <w:t>13980429980</w:t>
            </w:r>
          </w:p>
        </w:tc>
        <w:tc>
          <w:tcPr>
            <w:tcW w:w="287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仿宋" w:hAnsi="仿宋" w:eastAsia="仿宋" w:cs="仿宋"/>
                <w:sz w:val="24"/>
                <w:szCs w:val="24"/>
              </w:rPr>
            </w:pPr>
            <w:r>
              <w:rPr>
                <w:rFonts w:hint="eastAsia" w:ascii="仿宋" w:hAnsi="仿宋" w:eastAsia="仿宋" w:cs="仿宋"/>
                <w:sz w:val="24"/>
                <w:szCs w:val="24"/>
              </w:rPr>
              <w:t>收集汇总行业专家、主管部门、业主等的征求意见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5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sz w:val="24"/>
                <w:szCs w:val="24"/>
              </w:rPr>
            </w:pPr>
            <w:r>
              <w:rPr>
                <w:rFonts w:hint="eastAsia" w:ascii="仿宋" w:hAnsi="仿宋" w:eastAsia="仿宋" w:cs="仿宋"/>
                <w:sz w:val="24"/>
                <w:szCs w:val="24"/>
              </w:rPr>
              <w:t>15</w:t>
            </w:r>
          </w:p>
        </w:tc>
        <w:tc>
          <w:tcPr>
            <w:tcW w:w="103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sz w:val="24"/>
                <w:szCs w:val="24"/>
              </w:rPr>
            </w:pPr>
            <w:r>
              <w:rPr>
                <w:rFonts w:hint="eastAsia" w:ascii="仿宋" w:hAnsi="仿宋" w:eastAsia="仿宋" w:cs="仿宋"/>
                <w:sz w:val="24"/>
                <w:szCs w:val="24"/>
              </w:rPr>
              <w:t>唐  洪</w:t>
            </w:r>
          </w:p>
        </w:tc>
        <w:tc>
          <w:tcPr>
            <w:tcW w:w="1263"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sz w:val="24"/>
                <w:szCs w:val="24"/>
              </w:rPr>
            </w:pPr>
            <w:r>
              <w:rPr>
                <w:rFonts w:hint="eastAsia" w:ascii="仿宋" w:hAnsi="仿宋" w:eastAsia="仿宋" w:cs="仿宋"/>
                <w:sz w:val="24"/>
                <w:szCs w:val="24"/>
              </w:rPr>
              <w:t>成都市金堂县兴宏苗木有限责任公司</w:t>
            </w:r>
          </w:p>
        </w:tc>
        <w:tc>
          <w:tcPr>
            <w:tcW w:w="1512"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仿宋" w:hAnsi="仿宋" w:eastAsia="仿宋" w:cs="仿宋"/>
                <w:sz w:val="24"/>
                <w:szCs w:val="24"/>
              </w:rPr>
            </w:pPr>
            <w:r>
              <w:rPr>
                <w:rFonts w:hint="eastAsia" w:ascii="仿宋" w:hAnsi="仿宋" w:eastAsia="仿宋" w:cs="仿宋"/>
                <w:sz w:val="24"/>
                <w:szCs w:val="24"/>
              </w:rPr>
              <w:t>董事长</w:t>
            </w:r>
          </w:p>
        </w:tc>
        <w:tc>
          <w:tcPr>
            <w:tcW w:w="1613"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仿宋" w:hAnsi="仿宋" w:eastAsia="仿宋" w:cs="仿宋"/>
                <w:sz w:val="24"/>
                <w:szCs w:val="24"/>
                <w:lang w:val="en-US" w:eastAsia="zh-CN"/>
              </w:rPr>
            </w:pPr>
            <w:r>
              <w:rPr>
                <w:rFonts w:hint="eastAsia" w:ascii="仿宋" w:hAnsi="仿宋" w:cs="仿宋"/>
                <w:sz w:val="24"/>
                <w:szCs w:val="24"/>
                <w:lang w:val="en-US" w:eastAsia="zh-CN"/>
              </w:rPr>
              <w:t>13648029730</w:t>
            </w:r>
          </w:p>
        </w:tc>
        <w:tc>
          <w:tcPr>
            <w:tcW w:w="287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仿宋" w:hAnsi="仿宋" w:eastAsia="仿宋" w:cs="仿宋"/>
                <w:sz w:val="24"/>
                <w:szCs w:val="24"/>
              </w:rPr>
            </w:pPr>
            <w:r>
              <w:rPr>
                <w:rFonts w:hint="eastAsia" w:ascii="仿宋" w:hAnsi="仿宋" w:eastAsia="仿宋" w:cs="仿宋"/>
                <w:sz w:val="24"/>
                <w:szCs w:val="24"/>
              </w:rPr>
              <w:t>参与前期调研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5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sz w:val="24"/>
                <w:szCs w:val="24"/>
              </w:rPr>
            </w:pPr>
            <w:r>
              <w:rPr>
                <w:rFonts w:hint="eastAsia" w:ascii="仿宋" w:hAnsi="仿宋" w:eastAsia="仿宋" w:cs="仿宋"/>
                <w:sz w:val="24"/>
                <w:szCs w:val="24"/>
              </w:rPr>
              <w:t>16</w:t>
            </w:r>
          </w:p>
        </w:tc>
        <w:tc>
          <w:tcPr>
            <w:tcW w:w="103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sz w:val="24"/>
                <w:szCs w:val="24"/>
              </w:rPr>
            </w:pPr>
            <w:r>
              <w:rPr>
                <w:rFonts w:hint="eastAsia" w:ascii="仿宋" w:hAnsi="仿宋" w:eastAsia="仿宋" w:cs="仿宋"/>
                <w:sz w:val="24"/>
                <w:szCs w:val="24"/>
              </w:rPr>
              <w:t>唐仕力</w:t>
            </w:r>
          </w:p>
        </w:tc>
        <w:tc>
          <w:tcPr>
            <w:tcW w:w="1263"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sz w:val="24"/>
                <w:szCs w:val="24"/>
              </w:rPr>
            </w:pPr>
            <w:r>
              <w:rPr>
                <w:rFonts w:hint="eastAsia" w:ascii="仿宋" w:hAnsi="仿宋" w:eastAsia="仿宋" w:cs="仿宋"/>
                <w:sz w:val="24"/>
                <w:szCs w:val="24"/>
              </w:rPr>
              <w:t>成都市金堂县兴宏苗木有限责任公司</w:t>
            </w:r>
          </w:p>
        </w:tc>
        <w:tc>
          <w:tcPr>
            <w:tcW w:w="1512"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仿宋" w:hAnsi="仿宋" w:eastAsia="仿宋" w:cs="仿宋"/>
                <w:sz w:val="24"/>
                <w:szCs w:val="24"/>
              </w:rPr>
            </w:pPr>
            <w:r>
              <w:rPr>
                <w:rFonts w:hint="eastAsia" w:ascii="仿宋" w:hAnsi="仿宋" w:eastAsia="仿宋" w:cs="仿宋"/>
                <w:sz w:val="24"/>
                <w:szCs w:val="24"/>
              </w:rPr>
              <w:t>总经理</w:t>
            </w:r>
          </w:p>
        </w:tc>
        <w:tc>
          <w:tcPr>
            <w:tcW w:w="1613"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仿宋" w:hAnsi="仿宋" w:eastAsia="仿宋" w:cs="仿宋"/>
                <w:sz w:val="24"/>
                <w:szCs w:val="24"/>
                <w:lang w:val="en-US" w:eastAsia="zh-CN"/>
              </w:rPr>
            </w:pPr>
            <w:r>
              <w:rPr>
                <w:rFonts w:hint="eastAsia" w:ascii="仿宋" w:hAnsi="仿宋" w:cs="仿宋"/>
                <w:sz w:val="24"/>
                <w:szCs w:val="24"/>
                <w:lang w:val="en-US" w:eastAsia="zh-CN"/>
              </w:rPr>
              <w:t>13881960919</w:t>
            </w:r>
          </w:p>
        </w:tc>
        <w:tc>
          <w:tcPr>
            <w:tcW w:w="287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仿宋" w:hAnsi="仿宋" w:eastAsia="仿宋" w:cs="仿宋"/>
                <w:sz w:val="24"/>
                <w:szCs w:val="24"/>
              </w:rPr>
            </w:pPr>
            <w:r>
              <w:rPr>
                <w:rFonts w:hint="eastAsia" w:ascii="仿宋" w:hAnsi="仿宋" w:eastAsia="仿宋" w:cs="仿宋"/>
                <w:sz w:val="24"/>
                <w:szCs w:val="24"/>
              </w:rPr>
              <w:t>参与前期调研</w:t>
            </w:r>
          </w:p>
        </w:tc>
      </w:tr>
    </w:tbl>
    <w:p>
      <w:pPr>
        <w:pStyle w:val="3"/>
        <w:bidi w:val="0"/>
      </w:pPr>
      <w:bookmarkStart w:id="7" w:name="_Toc26770"/>
      <w:r>
        <w:t>（二）资料收集整理与调研</w:t>
      </w:r>
      <w:bookmarkEnd w:id="7"/>
    </w:p>
    <w:p>
      <w:pPr>
        <w:bidi w:val="0"/>
      </w:pPr>
      <w:r>
        <w:t>2021年6月下旬起，标准起草组广泛收集、分析我国核桃丰产栽培、病虫害防治、低产林改造等方面现有的相关法律法规、政策文件</w:t>
      </w:r>
      <w:r>
        <w:rPr>
          <w:rFonts w:hint="eastAsia"/>
          <w:lang w:eastAsia="zh-CN"/>
        </w:rPr>
        <w:t>、</w:t>
      </w:r>
      <w:r>
        <w:t>标准</w:t>
      </w:r>
      <w:r>
        <w:rPr>
          <w:rFonts w:hint="eastAsia"/>
          <w:lang w:val="en-US" w:eastAsia="zh-CN"/>
        </w:rPr>
        <w:t>化文本、学术论文等资料</w:t>
      </w:r>
      <w:r>
        <w:t>。如《核桃嫁接苗培育和分级标准》（LY/T 3004.3-2018）、《核桃优质丰产栽培技术规程》（LY/T 3004.4-2018）、《核桃坚果丰产指标》（LY/T 3004.7-2018）、《核桃主要病虫害防治技术规程》（DB51/T 2585-2019）等。</w:t>
      </w:r>
    </w:p>
    <w:p>
      <w:pPr>
        <w:bidi w:val="0"/>
      </w:pPr>
      <w:r>
        <w:t>本标准主要起草单位长期从事核桃新优品种的选引、高效丰产栽培技术研究。近年来先后承担了四川省重大科技专项“龙泉山城市森林公园生态防护体系构建关键技术研究”，成都市科技攻关项目“成都林竹新优品种及高效丰产技术研究与示范”“木本油料丰产栽培及产业化利用集成技术研发”“都市现代林产业集成技术创新研发及示范”“特色食用木本油料产业化集成技术研究及应用示范”等省市相关科技项目，先后在金堂高板镇、竹篙镇、温江、崇州等地建立核桃新优品种种质资源圃、高改示范、立体种植、高效安全丰产栽培技术示范基地500余亩，在核桃新优品种选引、品种配置、核桃高改技术及丰产栽培等领域积累了丰富的技术经验与科研基础。</w:t>
      </w:r>
    </w:p>
    <w:p>
      <w:pPr>
        <w:bidi w:val="0"/>
      </w:pPr>
      <w:r>
        <w:t>标准起草组先后对全市核桃产业进行调研，听取相关生产企业、专业合作社、种植大户及行业主管部门的意见和建议。重点针对全市核桃产业发展现状、生产基地建设情况、核桃低产林现状成因以及改造技术瓶颈、未来发展思路等与相关人员深入交流，并就核桃低产林改造关键技术与协作单位技术人员一起进行试验验证、总结归纳。</w:t>
      </w:r>
    </w:p>
    <w:p>
      <w:pPr>
        <w:pStyle w:val="3"/>
        <w:bidi w:val="0"/>
      </w:pPr>
      <w:bookmarkStart w:id="8" w:name="_Toc23128"/>
      <w:r>
        <w:t>（三）标准的起草和修改完善</w:t>
      </w:r>
      <w:bookmarkEnd w:id="8"/>
    </w:p>
    <w:p>
      <w:pPr>
        <w:bidi w:val="0"/>
      </w:pPr>
      <w:r>
        <w:t>2023年</w:t>
      </w:r>
      <w:r>
        <w:rPr>
          <w:rFonts w:hint="eastAsia"/>
          <w:lang w:val="en-US" w:eastAsia="zh-CN"/>
        </w:rPr>
        <w:t>1</w:t>
      </w:r>
      <w:r>
        <w:t>月—</w:t>
      </w:r>
      <w:r>
        <w:rPr>
          <w:rFonts w:hint="eastAsia"/>
          <w:lang w:val="en-US" w:eastAsia="zh-CN"/>
        </w:rPr>
        <w:t>2</w:t>
      </w:r>
      <w:r>
        <w:t>月，标准起草组召开起草组工作会议，就标准的范围、标准的总体框架结构、技术指标的确定等展开研讨与交流，在充分研讨基础上，结合前期资料收集整理和调研情况，经总结、提炼、识别和梳理后，由成都市农林科学院起草形成了本标准的工作组讨论稿，并经工作组内部多次交流修改，一致</w:t>
      </w:r>
      <w:r>
        <w:rPr>
          <w:rFonts w:hint="eastAsia"/>
        </w:rPr>
        <w:t>认为将核桃低产林作为改造对象更为合理，最终形成</w:t>
      </w:r>
      <w:r>
        <w:t>《核桃低产林改造技术规程》征求意见稿文本。</w:t>
      </w:r>
    </w:p>
    <w:p>
      <w:pPr>
        <w:pStyle w:val="3"/>
        <w:bidi w:val="0"/>
      </w:pPr>
      <w:bookmarkStart w:id="9" w:name="_Toc17637"/>
      <w:r>
        <w:t>（四）征求意见</w:t>
      </w:r>
      <w:bookmarkEnd w:id="9"/>
    </w:p>
    <w:p>
      <w:pPr>
        <w:bidi w:val="0"/>
      </w:pPr>
      <w:r>
        <w:t>2023年</w:t>
      </w:r>
      <w:r>
        <w:rPr>
          <w:rFonts w:hint="eastAsia"/>
          <w:lang w:val="en-US" w:eastAsia="zh-CN"/>
        </w:rPr>
        <w:t>3</w:t>
      </w:r>
      <w:r>
        <w:t>月—</w:t>
      </w:r>
      <w:r>
        <w:rPr>
          <w:rFonts w:hint="eastAsia"/>
          <w:lang w:val="en-US" w:eastAsia="zh-CN"/>
        </w:rPr>
        <w:t>4</w:t>
      </w:r>
      <w:r>
        <w:t>月</w:t>
      </w:r>
      <w:r>
        <w:rPr>
          <w:rFonts w:hint="eastAsia"/>
          <w:lang w:eastAsia="zh-CN"/>
        </w:rPr>
        <w:t>，</w:t>
      </w:r>
      <w:r>
        <w:rPr>
          <w:rFonts w:hint="eastAsia"/>
          <w:lang w:val="en-US" w:eastAsia="zh-CN"/>
        </w:rPr>
        <w:t>标准起草组</w:t>
      </w:r>
      <w:r>
        <w:t>分别征求了四川农业大学、四川省林科院、金堂县农业农村局和金堂县民鑫核桃专业合作社等4家单位的相关专家。共计收回意见反馈表4份，反馈意见13条，采纳意见13条。专家反馈意见主要涉及标准文本格式、核桃品种选择、间作植物选择、嫁接管理关键技术措施、成都市核桃常见病虫害及防治方法、附录规范性等，标准起草组根据技术验证和征求意见情况，完成了标准</w:t>
      </w:r>
      <w:r>
        <w:rPr>
          <w:rFonts w:hint="eastAsia"/>
          <w:lang w:val="en-US" w:eastAsia="zh-CN"/>
        </w:rPr>
        <w:t>征求意见</w:t>
      </w:r>
      <w:r>
        <w:t>稿的制定。</w:t>
      </w:r>
    </w:p>
    <w:p>
      <w:pPr>
        <w:bidi w:val="0"/>
        <w:rPr>
          <w:rFonts w:hint="eastAsia"/>
          <w:lang w:val="en-US" w:eastAsia="zh-CN"/>
        </w:rPr>
      </w:pPr>
      <w:r>
        <w:rPr>
          <w:rFonts w:hint="eastAsia"/>
          <w:lang w:val="en-US" w:eastAsia="zh-CN"/>
        </w:rPr>
        <w:t>2023年6月修订后的标准文本（征求意见稿）提交给主管部门。</w:t>
      </w:r>
    </w:p>
    <w:p>
      <w:pPr>
        <w:pStyle w:val="2"/>
        <w:bidi w:val="0"/>
      </w:pPr>
      <w:bookmarkStart w:id="10" w:name="_Toc11149"/>
      <w:bookmarkStart w:id="11" w:name="_Toc25228"/>
      <w:r>
        <w:t>四、制定标准的原则和依据</w:t>
      </w:r>
      <w:bookmarkEnd w:id="10"/>
      <w:bookmarkEnd w:id="11"/>
    </w:p>
    <w:p>
      <w:pPr>
        <w:pStyle w:val="3"/>
        <w:bidi w:val="0"/>
      </w:pPr>
      <w:bookmarkStart w:id="12" w:name="_Toc4829"/>
      <w:r>
        <w:t>（一）制定标准的原则</w:t>
      </w:r>
      <w:bookmarkEnd w:id="12"/>
    </w:p>
    <w:p>
      <w:pPr>
        <w:bidi w:val="0"/>
      </w:pPr>
      <w:r>
        <w:rPr>
          <w:rFonts w:hint="eastAsia"/>
        </w:rPr>
        <w:t>为保证标准编制的科学性、统一性、协调性、适用性、一致性和规范性，确保《</w:t>
      </w:r>
      <w:r>
        <w:t>核桃低产林改造技术规程</w:t>
      </w:r>
      <w:r>
        <w:rPr>
          <w:rFonts w:hint="eastAsia"/>
        </w:rPr>
        <w:t>》编制质量，标准起草工作组在编制过程中坚持以下原则：</w:t>
      </w:r>
    </w:p>
    <w:p>
      <w:pPr>
        <w:bidi w:val="0"/>
      </w:pPr>
      <w:r>
        <w:rPr>
          <w:rFonts w:hint="eastAsia"/>
        </w:rPr>
        <w:t>（1）符合国家及</w:t>
      </w:r>
      <w:r>
        <w:t>地方</w:t>
      </w:r>
      <w:r>
        <w:rPr>
          <w:rFonts w:hint="eastAsia"/>
        </w:rPr>
        <w:t>相关法律、法规、规章和强制性标准；</w:t>
      </w:r>
    </w:p>
    <w:p>
      <w:pPr>
        <w:bidi w:val="0"/>
      </w:pPr>
      <w:r>
        <w:rPr>
          <w:rFonts w:hint="eastAsia"/>
        </w:rPr>
        <w:t>（</w:t>
      </w:r>
      <w:r>
        <w:t>2</w:t>
      </w:r>
      <w:r>
        <w:rPr>
          <w:rFonts w:hint="eastAsia"/>
        </w:rPr>
        <w:t>）符合</w:t>
      </w:r>
      <w:r>
        <w:rPr>
          <w:rFonts w:hint="eastAsia"/>
          <w:lang w:val="en-US" w:eastAsia="zh-CN"/>
        </w:rPr>
        <w:t>成都市</w:t>
      </w:r>
      <w:r>
        <w:t>核桃低产林改造</w:t>
      </w:r>
      <w:r>
        <w:rPr>
          <w:rFonts w:hint="eastAsia"/>
        </w:rPr>
        <w:t>现状和实际。</w:t>
      </w:r>
    </w:p>
    <w:p>
      <w:pPr>
        <w:pStyle w:val="3"/>
        <w:bidi w:val="0"/>
      </w:pPr>
      <w:bookmarkStart w:id="13" w:name="_Toc8329"/>
      <w:r>
        <w:t>（二）制定标准的依据</w:t>
      </w:r>
      <w:bookmarkEnd w:id="13"/>
    </w:p>
    <w:p>
      <w:pPr>
        <w:bidi w:val="0"/>
      </w:pPr>
      <w:r>
        <w:rPr>
          <w:rFonts w:hint="eastAsia"/>
        </w:rPr>
        <w:t>本标准制定过程中所依据的技术性文件包括：</w:t>
      </w:r>
    </w:p>
    <w:p>
      <w:pPr>
        <w:bidi w:val="0"/>
      </w:pPr>
      <w:r>
        <w:t>本标准按照GB/T 1.1-2020《标准化工作导则 第1部分：标准化文件的结构和起草规则》的规则编写。本</w:t>
      </w:r>
      <w:r>
        <w:rPr>
          <w:rFonts w:hint="eastAsia"/>
          <w:lang w:val="en-US" w:eastAsia="zh-CN"/>
        </w:rPr>
        <w:t>标准</w:t>
      </w:r>
      <w:r>
        <w:t>所引用的国家、行业有关规范、规程均为现行且有效的，条文中给出编号，以便于使用时查找。主要参考资料：</w:t>
      </w:r>
    </w:p>
    <w:p>
      <w:pPr>
        <w:bidi w:val="0"/>
      </w:pPr>
      <w:r>
        <w:t>LY/T 3004.3-2018  核桃嫁接苗培育和分级标准</w:t>
      </w:r>
    </w:p>
    <w:p>
      <w:pPr>
        <w:bidi w:val="0"/>
      </w:pPr>
      <w:r>
        <w:t>LY/T 3004.4-2018  核桃优质丰产栽培技术规程</w:t>
      </w:r>
    </w:p>
    <w:p>
      <w:pPr>
        <w:bidi w:val="0"/>
      </w:pPr>
      <w:r>
        <w:t>LY/T 3004.7-2018  核桃坚果丰产指标</w:t>
      </w:r>
    </w:p>
    <w:p>
      <w:pPr>
        <w:bidi w:val="0"/>
        <w:rPr>
          <w:rFonts w:eastAsia="方正仿宋_GBK" w:cs="Times New Roman"/>
          <w:szCs w:val="32"/>
        </w:rPr>
      </w:pPr>
      <w:r>
        <w:t>DB51/T 2585-2019  核桃主要病虫害防治技术规程</w:t>
      </w:r>
    </w:p>
    <w:p>
      <w:pPr>
        <w:pStyle w:val="2"/>
        <w:bidi w:val="0"/>
      </w:pPr>
      <w:bookmarkStart w:id="14" w:name="_Toc11064"/>
      <w:bookmarkStart w:id="15" w:name="_Toc19370"/>
      <w:r>
        <w:t>五、</w:t>
      </w:r>
      <w:bookmarkEnd w:id="14"/>
      <w:r>
        <w:rPr>
          <w:rFonts w:hint="eastAsia"/>
        </w:rPr>
        <w:t>主要技术内容的确定依据</w:t>
      </w:r>
      <w:bookmarkEnd w:id="15"/>
    </w:p>
    <w:p>
      <w:pPr>
        <w:pStyle w:val="3"/>
        <w:bidi w:val="0"/>
      </w:pPr>
      <w:bookmarkStart w:id="16" w:name="_Toc17606"/>
      <w:r>
        <w:t>（一）标准结构</w:t>
      </w:r>
      <w:bookmarkEnd w:id="16"/>
    </w:p>
    <w:p>
      <w:pPr>
        <w:bidi w:val="0"/>
      </w:pPr>
      <w:r>
        <w:t>本标准共有7个章节，包括范围、规范性引用文件、定义和术语、核桃低产林分类、改造方式、改造技术措施以及附录。详细的描述了有关技术的具体操作技术措施等内容。标准结构见表2。</w:t>
      </w:r>
    </w:p>
    <w:p>
      <w:pPr>
        <w:bidi w:val="0"/>
        <w:jc w:val="center"/>
        <w:rPr>
          <w:rFonts w:ascii="方正仿宋_GBK" w:eastAsia="方正仿宋_GBK" w:cs="Times New Roman"/>
          <w:sz w:val="28"/>
          <w:szCs w:val="28"/>
        </w:rPr>
      </w:pPr>
      <w:r>
        <w:rPr>
          <w:rFonts w:hint="eastAsia"/>
          <w:sz w:val="28"/>
          <w:szCs w:val="28"/>
        </w:rPr>
        <w:t>表2 低产核桃改造技术规程标准结构</w:t>
      </w:r>
    </w:p>
    <w:tbl>
      <w:tblPr>
        <w:tblStyle w:val="8"/>
        <w:tblW w:w="8429" w:type="dxa"/>
        <w:tblInd w:w="93" w:type="dxa"/>
        <w:tblLayout w:type="fixed"/>
        <w:tblCellMar>
          <w:top w:w="0" w:type="dxa"/>
          <w:left w:w="108" w:type="dxa"/>
          <w:bottom w:w="0" w:type="dxa"/>
          <w:right w:w="108" w:type="dxa"/>
        </w:tblCellMar>
      </w:tblPr>
      <w:tblGrid>
        <w:gridCol w:w="1187"/>
        <w:gridCol w:w="5162"/>
        <w:gridCol w:w="2080"/>
      </w:tblGrid>
      <w:tr>
        <w:tblPrEx>
          <w:tblCellMar>
            <w:top w:w="0" w:type="dxa"/>
            <w:left w:w="108" w:type="dxa"/>
            <w:bottom w:w="0" w:type="dxa"/>
            <w:right w:w="108" w:type="dxa"/>
          </w:tblCellMar>
        </w:tblPrEx>
        <w:trPr>
          <w:trHeight w:val="492" w:hRule="atLeast"/>
          <w:tblHeader/>
        </w:trPr>
        <w:tc>
          <w:tcPr>
            <w:tcW w:w="11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b/>
                <w:bCs/>
                <w:sz w:val="24"/>
                <w:szCs w:val="24"/>
              </w:rPr>
            </w:pPr>
            <w:r>
              <w:rPr>
                <w:rFonts w:hint="eastAsia"/>
                <w:b/>
                <w:bCs/>
                <w:sz w:val="24"/>
                <w:szCs w:val="24"/>
              </w:rPr>
              <w:t>总体内容</w:t>
            </w:r>
          </w:p>
        </w:tc>
        <w:tc>
          <w:tcPr>
            <w:tcW w:w="51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b/>
                <w:bCs/>
                <w:sz w:val="24"/>
                <w:szCs w:val="24"/>
              </w:rPr>
            </w:pPr>
            <w:r>
              <w:rPr>
                <w:rFonts w:hint="eastAsia"/>
                <w:b/>
                <w:bCs/>
                <w:sz w:val="24"/>
                <w:szCs w:val="24"/>
              </w:rPr>
              <w:t>分项内容</w:t>
            </w:r>
          </w:p>
        </w:tc>
        <w:tc>
          <w:tcPr>
            <w:tcW w:w="2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b/>
                <w:bCs/>
                <w:sz w:val="24"/>
                <w:szCs w:val="24"/>
              </w:rPr>
            </w:pPr>
            <w:r>
              <w:rPr>
                <w:rFonts w:hint="eastAsia"/>
                <w:b/>
                <w:bCs/>
                <w:sz w:val="24"/>
                <w:szCs w:val="24"/>
              </w:rPr>
              <w:t>细分内容</w:t>
            </w:r>
          </w:p>
        </w:tc>
      </w:tr>
      <w:tr>
        <w:tblPrEx>
          <w:tblCellMar>
            <w:top w:w="0" w:type="dxa"/>
            <w:left w:w="108" w:type="dxa"/>
            <w:bottom w:w="0" w:type="dxa"/>
            <w:right w:w="108" w:type="dxa"/>
          </w:tblCellMar>
        </w:tblPrEx>
        <w:trPr>
          <w:trHeight w:val="270" w:hRule="atLeast"/>
        </w:trPr>
        <w:tc>
          <w:tcPr>
            <w:tcW w:w="11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sz w:val="24"/>
                <w:szCs w:val="24"/>
              </w:rPr>
            </w:pPr>
            <w:r>
              <w:rPr>
                <w:sz w:val="24"/>
                <w:szCs w:val="24"/>
              </w:rPr>
              <w:t>低产核桃改造技术规程</w:t>
            </w:r>
          </w:p>
        </w:tc>
        <w:tc>
          <w:tcPr>
            <w:tcW w:w="51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sz w:val="24"/>
                <w:szCs w:val="24"/>
              </w:rPr>
            </w:pPr>
            <w:r>
              <w:rPr>
                <w:sz w:val="24"/>
                <w:szCs w:val="24"/>
              </w:rPr>
              <w:t>范围</w:t>
            </w:r>
          </w:p>
        </w:tc>
        <w:tc>
          <w:tcPr>
            <w:tcW w:w="2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sz w:val="24"/>
                <w:szCs w:val="24"/>
              </w:rPr>
            </w:pPr>
          </w:p>
        </w:tc>
      </w:tr>
      <w:tr>
        <w:tblPrEx>
          <w:tblCellMar>
            <w:top w:w="0" w:type="dxa"/>
            <w:left w:w="108" w:type="dxa"/>
            <w:bottom w:w="0" w:type="dxa"/>
            <w:right w:w="108" w:type="dxa"/>
          </w:tblCellMar>
        </w:tblPrEx>
        <w:trPr>
          <w:trHeight w:val="270" w:hRule="atLeast"/>
        </w:trPr>
        <w:tc>
          <w:tcPr>
            <w:tcW w:w="11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sz w:val="24"/>
                <w:szCs w:val="24"/>
              </w:rPr>
            </w:pPr>
          </w:p>
        </w:tc>
        <w:tc>
          <w:tcPr>
            <w:tcW w:w="51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sz w:val="24"/>
                <w:szCs w:val="24"/>
              </w:rPr>
            </w:pPr>
            <w:r>
              <w:rPr>
                <w:sz w:val="24"/>
                <w:szCs w:val="24"/>
              </w:rPr>
              <w:t>规范性引用文件</w:t>
            </w:r>
          </w:p>
        </w:tc>
        <w:tc>
          <w:tcPr>
            <w:tcW w:w="2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sz w:val="24"/>
                <w:szCs w:val="24"/>
              </w:rPr>
            </w:pPr>
          </w:p>
        </w:tc>
      </w:tr>
      <w:tr>
        <w:tblPrEx>
          <w:tblCellMar>
            <w:top w:w="0" w:type="dxa"/>
            <w:left w:w="108" w:type="dxa"/>
            <w:bottom w:w="0" w:type="dxa"/>
            <w:right w:w="108" w:type="dxa"/>
          </w:tblCellMar>
        </w:tblPrEx>
        <w:trPr>
          <w:trHeight w:val="270" w:hRule="atLeast"/>
        </w:trPr>
        <w:tc>
          <w:tcPr>
            <w:tcW w:w="11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sz w:val="24"/>
                <w:szCs w:val="24"/>
              </w:rPr>
            </w:pPr>
          </w:p>
        </w:tc>
        <w:tc>
          <w:tcPr>
            <w:tcW w:w="51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sz w:val="24"/>
                <w:szCs w:val="24"/>
              </w:rPr>
            </w:pPr>
            <w:r>
              <w:rPr>
                <w:sz w:val="24"/>
                <w:szCs w:val="24"/>
              </w:rPr>
              <w:t>定义和术语</w:t>
            </w:r>
          </w:p>
        </w:tc>
        <w:tc>
          <w:tcPr>
            <w:tcW w:w="2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sz w:val="24"/>
                <w:szCs w:val="24"/>
              </w:rPr>
            </w:pPr>
            <w:r>
              <w:rPr>
                <w:sz w:val="24"/>
                <w:szCs w:val="24"/>
              </w:rPr>
              <w:t>核桃低产林</w:t>
            </w:r>
          </w:p>
        </w:tc>
      </w:tr>
      <w:tr>
        <w:tblPrEx>
          <w:tblCellMar>
            <w:top w:w="0" w:type="dxa"/>
            <w:left w:w="108" w:type="dxa"/>
            <w:bottom w:w="0" w:type="dxa"/>
            <w:right w:w="108" w:type="dxa"/>
          </w:tblCellMar>
        </w:tblPrEx>
        <w:trPr>
          <w:trHeight w:val="270" w:hRule="atLeast"/>
        </w:trPr>
        <w:tc>
          <w:tcPr>
            <w:tcW w:w="11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sz w:val="24"/>
                <w:szCs w:val="24"/>
              </w:rPr>
            </w:pPr>
          </w:p>
        </w:tc>
        <w:tc>
          <w:tcPr>
            <w:tcW w:w="516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sz w:val="24"/>
                <w:szCs w:val="24"/>
              </w:rPr>
            </w:pPr>
            <w:r>
              <w:rPr>
                <w:sz w:val="24"/>
                <w:szCs w:val="24"/>
              </w:rPr>
              <w:t>核桃低产林分类</w:t>
            </w:r>
          </w:p>
        </w:tc>
        <w:tc>
          <w:tcPr>
            <w:tcW w:w="2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sz w:val="24"/>
                <w:szCs w:val="24"/>
              </w:rPr>
            </w:pPr>
            <w:r>
              <w:rPr>
                <w:sz w:val="24"/>
                <w:szCs w:val="24"/>
              </w:rPr>
              <w:t>栽培品种不当型</w:t>
            </w:r>
          </w:p>
        </w:tc>
      </w:tr>
      <w:tr>
        <w:tblPrEx>
          <w:tblCellMar>
            <w:top w:w="0" w:type="dxa"/>
            <w:left w:w="108" w:type="dxa"/>
            <w:bottom w:w="0" w:type="dxa"/>
            <w:right w:w="108" w:type="dxa"/>
          </w:tblCellMar>
        </w:tblPrEx>
        <w:trPr>
          <w:trHeight w:val="270" w:hRule="atLeast"/>
        </w:trPr>
        <w:tc>
          <w:tcPr>
            <w:tcW w:w="11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sz w:val="24"/>
                <w:szCs w:val="24"/>
              </w:rPr>
            </w:pPr>
          </w:p>
        </w:tc>
        <w:tc>
          <w:tcPr>
            <w:tcW w:w="516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sz w:val="24"/>
                <w:szCs w:val="24"/>
              </w:rPr>
            </w:pPr>
          </w:p>
        </w:tc>
        <w:tc>
          <w:tcPr>
            <w:tcW w:w="2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sz w:val="24"/>
                <w:szCs w:val="24"/>
              </w:rPr>
            </w:pPr>
            <w:r>
              <w:rPr>
                <w:sz w:val="24"/>
                <w:szCs w:val="24"/>
              </w:rPr>
              <w:t>立地条件制约型</w:t>
            </w:r>
          </w:p>
        </w:tc>
      </w:tr>
      <w:tr>
        <w:tblPrEx>
          <w:tblCellMar>
            <w:top w:w="0" w:type="dxa"/>
            <w:left w:w="108" w:type="dxa"/>
            <w:bottom w:w="0" w:type="dxa"/>
            <w:right w:w="108" w:type="dxa"/>
          </w:tblCellMar>
        </w:tblPrEx>
        <w:trPr>
          <w:trHeight w:val="270" w:hRule="atLeast"/>
        </w:trPr>
        <w:tc>
          <w:tcPr>
            <w:tcW w:w="11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sz w:val="24"/>
                <w:szCs w:val="24"/>
              </w:rPr>
            </w:pPr>
          </w:p>
        </w:tc>
        <w:tc>
          <w:tcPr>
            <w:tcW w:w="516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sz w:val="24"/>
                <w:szCs w:val="24"/>
              </w:rPr>
            </w:pPr>
          </w:p>
        </w:tc>
        <w:tc>
          <w:tcPr>
            <w:tcW w:w="2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sz w:val="24"/>
                <w:szCs w:val="24"/>
              </w:rPr>
            </w:pPr>
            <w:r>
              <w:rPr>
                <w:sz w:val="24"/>
                <w:szCs w:val="24"/>
              </w:rPr>
              <w:t>栽培管理不当型</w:t>
            </w:r>
          </w:p>
        </w:tc>
      </w:tr>
      <w:tr>
        <w:tblPrEx>
          <w:tblCellMar>
            <w:top w:w="0" w:type="dxa"/>
            <w:left w:w="108" w:type="dxa"/>
            <w:bottom w:w="0" w:type="dxa"/>
            <w:right w:w="108" w:type="dxa"/>
          </w:tblCellMar>
        </w:tblPrEx>
        <w:trPr>
          <w:trHeight w:val="270" w:hRule="atLeast"/>
        </w:trPr>
        <w:tc>
          <w:tcPr>
            <w:tcW w:w="11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sz w:val="24"/>
                <w:szCs w:val="24"/>
              </w:rPr>
            </w:pPr>
          </w:p>
        </w:tc>
        <w:tc>
          <w:tcPr>
            <w:tcW w:w="516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sz w:val="24"/>
                <w:szCs w:val="24"/>
              </w:rPr>
            </w:pPr>
            <w:r>
              <w:rPr>
                <w:sz w:val="24"/>
                <w:szCs w:val="24"/>
              </w:rPr>
              <w:t>改造方式</w:t>
            </w:r>
          </w:p>
        </w:tc>
        <w:tc>
          <w:tcPr>
            <w:tcW w:w="2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sz w:val="24"/>
                <w:szCs w:val="24"/>
              </w:rPr>
            </w:pPr>
            <w:r>
              <w:rPr>
                <w:sz w:val="24"/>
                <w:szCs w:val="24"/>
              </w:rPr>
              <w:t>栽培品种不当型改造方式</w:t>
            </w:r>
          </w:p>
        </w:tc>
      </w:tr>
      <w:tr>
        <w:tblPrEx>
          <w:tblCellMar>
            <w:top w:w="0" w:type="dxa"/>
            <w:left w:w="108" w:type="dxa"/>
            <w:bottom w:w="0" w:type="dxa"/>
            <w:right w:w="108" w:type="dxa"/>
          </w:tblCellMar>
        </w:tblPrEx>
        <w:trPr>
          <w:trHeight w:val="270" w:hRule="atLeast"/>
        </w:trPr>
        <w:tc>
          <w:tcPr>
            <w:tcW w:w="11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sz w:val="24"/>
                <w:szCs w:val="24"/>
              </w:rPr>
            </w:pPr>
          </w:p>
        </w:tc>
        <w:tc>
          <w:tcPr>
            <w:tcW w:w="516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sz w:val="24"/>
                <w:szCs w:val="24"/>
              </w:rPr>
            </w:pPr>
          </w:p>
        </w:tc>
        <w:tc>
          <w:tcPr>
            <w:tcW w:w="2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sz w:val="24"/>
                <w:szCs w:val="24"/>
              </w:rPr>
            </w:pPr>
            <w:r>
              <w:rPr>
                <w:sz w:val="24"/>
                <w:szCs w:val="24"/>
              </w:rPr>
              <w:t>立地条件制约型改造方式</w:t>
            </w:r>
          </w:p>
        </w:tc>
      </w:tr>
      <w:tr>
        <w:tblPrEx>
          <w:tblCellMar>
            <w:top w:w="0" w:type="dxa"/>
            <w:left w:w="108" w:type="dxa"/>
            <w:bottom w:w="0" w:type="dxa"/>
            <w:right w:w="108" w:type="dxa"/>
          </w:tblCellMar>
        </w:tblPrEx>
        <w:trPr>
          <w:trHeight w:val="270" w:hRule="atLeast"/>
        </w:trPr>
        <w:tc>
          <w:tcPr>
            <w:tcW w:w="11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sz w:val="24"/>
                <w:szCs w:val="24"/>
              </w:rPr>
            </w:pPr>
          </w:p>
        </w:tc>
        <w:tc>
          <w:tcPr>
            <w:tcW w:w="516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sz w:val="24"/>
                <w:szCs w:val="24"/>
              </w:rPr>
            </w:pPr>
          </w:p>
        </w:tc>
        <w:tc>
          <w:tcPr>
            <w:tcW w:w="2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sz w:val="24"/>
                <w:szCs w:val="24"/>
              </w:rPr>
            </w:pPr>
            <w:r>
              <w:rPr>
                <w:sz w:val="24"/>
                <w:szCs w:val="24"/>
              </w:rPr>
              <w:t>栽培管理不当型改造方式</w:t>
            </w:r>
          </w:p>
        </w:tc>
      </w:tr>
      <w:tr>
        <w:tblPrEx>
          <w:tblCellMar>
            <w:top w:w="0" w:type="dxa"/>
            <w:left w:w="108" w:type="dxa"/>
            <w:bottom w:w="0" w:type="dxa"/>
            <w:right w:w="108" w:type="dxa"/>
          </w:tblCellMar>
        </w:tblPrEx>
        <w:trPr>
          <w:trHeight w:val="270" w:hRule="atLeast"/>
        </w:trPr>
        <w:tc>
          <w:tcPr>
            <w:tcW w:w="11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sz w:val="24"/>
                <w:szCs w:val="24"/>
              </w:rPr>
            </w:pPr>
          </w:p>
        </w:tc>
        <w:tc>
          <w:tcPr>
            <w:tcW w:w="516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sz w:val="24"/>
                <w:szCs w:val="24"/>
              </w:rPr>
            </w:pPr>
            <w:r>
              <w:rPr>
                <w:sz w:val="24"/>
                <w:szCs w:val="24"/>
              </w:rPr>
              <w:t>改造技术措施</w:t>
            </w:r>
          </w:p>
        </w:tc>
        <w:tc>
          <w:tcPr>
            <w:tcW w:w="2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sz w:val="24"/>
                <w:szCs w:val="24"/>
              </w:rPr>
            </w:pPr>
            <w:r>
              <w:rPr>
                <w:sz w:val="24"/>
                <w:szCs w:val="24"/>
              </w:rPr>
              <w:t>高接换优</w:t>
            </w:r>
          </w:p>
        </w:tc>
      </w:tr>
      <w:tr>
        <w:tblPrEx>
          <w:tblCellMar>
            <w:top w:w="0" w:type="dxa"/>
            <w:left w:w="108" w:type="dxa"/>
            <w:bottom w:w="0" w:type="dxa"/>
            <w:right w:w="108" w:type="dxa"/>
          </w:tblCellMar>
        </w:tblPrEx>
        <w:trPr>
          <w:trHeight w:val="270" w:hRule="atLeast"/>
        </w:trPr>
        <w:tc>
          <w:tcPr>
            <w:tcW w:w="11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sz w:val="24"/>
                <w:szCs w:val="24"/>
              </w:rPr>
            </w:pPr>
          </w:p>
        </w:tc>
        <w:tc>
          <w:tcPr>
            <w:tcW w:w="516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sz w:val="24"/>
                <w:szCs w:val="24"/>
              </w:rPr>
            </w:pPr>
          </w:p>
        </w:tc>
        <w:tc>
          <w:tcPr>
            <w:tcW w:w="2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sz w:val="24"/>
                <w:szCs w:val="24"/>
              </w:rPr>
            </w:pPr>
            <w:r>
              <w:rPr>
                <w:sz w:val="24"/>
                <w:szCs w:val="24"/>
              </w:rPr>
              <w:t>耕翻与清除灌草</w:t>
            </w:r>
          </w:p>
        </w:tc>
      </w:tr>
      <w:tr>
        <w:tblPrEx>
          <w:tblCellMar>
            <w:top w:w="0" w:type="dxa"/>
            <w:left w:w="108" w:type="dxa"/>
            <w:bottom w:w="0" w:type="dxa"/>
            <w:right w:w="108" w:type="dxa"/>
          </w:tblCellMar>
        </w:tblPrEx>
        <w:trPr>
          <w:trHeight w:val="270" w:hRule="atLeast"/>
        </w:trPr>
        <w:tc>
          <w:tcPr>
            <w:tcW w:w="11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sz w:val="24"/>
                <w:szCs w:val="24"/>
              </w:rPr>
            </w:pPr>
          </w:p>
        </w:tc>
        <w:tc>
          <w:tcPr>
            <w:tcW w:w="516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sz w:val="24"/>
                <w:szCs w:val="24"/>
              </w:rPr>
            </w:pPr>
          </w:p>
        </w:tc>
        <w:tc>
          <w:tcPr>
            <w:tcW w:w="2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sz w:val="24"/>
                <w:szCs w:val="24"/>
              </w:rPr>
            </w:pPr>
            <w:r>
              <w:rPr>
                <w:sz w:val="24"/>
                <w:szCs w:val="24"/>
              </w:rPr>
              <w:t>施肥</w:t>
            </w:r>
          </w:p>
        </w:tc>
      </w:tr>
      <w:tr>
        <w:tblPrEx>
          <w:tblCellMar>
            <w:top w:w="0" w:type="dxa"/>
            <w:left w:w="108" w:type="dxa"/>
            <w:bottom w:w="0" w:type="dxa"/>
            <w:right w:w="108" w:type="dxa"/>
          </w:tblCellMar>
        </w:tblPrEx>
        <w:trPr>
          <w:trHeight w:val="270" w:hRule="atLeast"/>
        </w:trPr>
        <w:tc>
          <w:tcPr>
            <w:tcW w:w="11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sz w:val="24"/>
                <w:szCs w:val="24"/>
              </w:rPr>
            </w:pPr>
          </w:p>
        </w:tc>
        <w:tc>
          <w:tcPr>
            <w:tcW w:w="516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sz w:val="24"/>
                <w:szCs w:val="24"/>
              </w:rPr>
            </w:pPr>
          </w:p>
        </w:tc>
        <w:tc>
          <w:tcPr>
            <w:tcW w:w="2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sz w:val="24"/>
                <w:szCs w:val="24"/>
              </w:rPr>
            </w:pPr>
            <w:r>
              <w:rPr>
                <w:sz w:val="24"/>
                <w:szCs w:val="24"/>
              </w:rPr>
              <w:t>灌水与排涝</w:t>
            </w:r>
          </w:p>
        </w:tc>
      </w:tr>
      <w:tr>
        <w:tblPrEx>
          <w:tblCellMar>
            <w:top w:w="0" w:type="dxa"/>
            <w:left w:w="108" w:type="dxa"/>
            <w:bottom w:w="0" w:type="dxa"/>
            <w:right w:w="108" w:type="dxa"/>
          </w:tblCellMar>
        </w:tblPrEx>
        <w:trPr>
          <w:trHeight w:val="270" w:hRule="atLeast"/>
        </w:trPr>
        <w:tc>
          <w:tcPr>
            <w:tcW w:w="11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sz w:val="24"/>
                <w:szCs w:val="24"/>
              </w:rPr>
            </w:pPr>
          </w:p>
        </w:tc>
        <w:tc>
          <w:tcPr>
            <w:tcW w:w="516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sz w:val="24"/>
                <w:szCs w:val="24"/>
              </w:rPr>
            </w:pPr>
          </w:p>
        </w:tc>
        <w:tc>
          <w:tcPr>
            <w:tcW w:w="2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sz w:val="24"/>
                <w:szCs w:val="24"/>
              </w:rPr>
            </w:pPr>
            <w:r>
              <w:rPr>
                <w:sz w:val="24"/>
                <w:szCs w:val="24"/>
              </w:rPr>
              <w:t>间作绿肥</w:t>
            </w:r>
          </w:p>
        </w:tc>
      </w:tr>
      <w:tr>
        <w:tblPrEx>
          <w:tblCellMar>
            <w:top w:w="0" w:type="dxa"/>
            <w:left w:w="108" w:type="dxa"/>
            <w:bottom w:w="0" w:type="dxa"/>
            <w:right w:w="108" w:type="dxa"/>
          </w:tblCellMar>
        </w:tblPrEx>
        <w:trPr>
          <w:trHeight w:val="270" w:hRule="atLeast"/>
        </w:trPr>
        <w:tc>
          <w:tcPr>
            <w:tcW w:w="11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sz w:val="24"/>
                <w:szCs w:val="24"/>
              </w:rPr>
            </w:pPr>
          </w:p>
        </w:tc>
        <w:tc>
          <w:tcPr>
            <w:tcW w:w="516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sz w:val="24"/>
                <w:szCs w:val="24"/>
              </w:rPr>
            </w:pPr>
          </w:p>
        </w:tc>
        <w:tc>
          <w:tcPr>
            <w:tcW w:w="2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sz w:val="24"/>
                <w:szCs w:val="24"/>
              </w:rPr>
            </w:pPr>
            <w:r>
              <w:rPr>
                <w:sz w:val="24"/>
                <w:szCs w:val="24"/>
              </w:rPr>
              <w:t>整形修剪</w:t>
            </w:r>
          </w:p>
        </w:tc>
      </w:tr>
      <w:tr>
        <w:tblPrEx>
          <w:tblCellMar>
            <w:top w:w="0" w:type="dxa"/>
            <w:left w:w="108" w:type="dxa"/>
            <w:bottom w:w="0" w:type="dxa"/>
            <w:right w:w="108" w:type="dxa"/>
          </w:tblCellMar>
        </w:tblPrEx>
        <w:trPr>
          <w:trHeight w:val="270" w:hRule="atLeast"/>
        </w:trPr>
        <w:tc>
          <w:tcPr>
            <w:tcW w:w="11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sz w:val="24"/>
                <w:szCs w:val="24"/>
              </w:rPr>
            </w:pPr>
          </w:p>
        </w:tc>
        <w:tc>
          <w:tcPr>
            <w:tcW w:w="516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sz w:val="24"/>
                <w:szCs w:val="24"/>
              </w:rPr>
            </w:pPr>
          </w:p>
        </w:tc>
        <w:tc>
          <w:tcPr>
            <w:tcW w:w="2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sz w:val="24"/>
                <w:szCs w:val="24"/>
              </w:rPr>
            </w:pPr>
            <w:r>
              <w:rPr>
                <w:sz w:val="24"/>
                <w:szCs w:val="24"/>
              </w:rPr>
              <w:t>有害生物防治</w:t>
            </w:r>
          </w:p>
        </w:tc>
      </w:tr>
      <w:tr>
        <w:tblPrEx>
          <w:tblCellMar>
            <w:top w:w="0" w:type="dxa"/>
            <w:left w:w="108" w:type="dxa"/>
            <w:bottom w:w="0" w:type="dxa"/>
            <w:right w:w="108" w:type="dxa"/>
          </w:tblCellMar>
        </w:tblPrEx>
        <w:trPr>
          <w:trHeight w:val="270" w:hRule="atLeast"/>
        </w:trPr>
        <w:tc>
          <w:tcPr>
            <w:tcW w:w="11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sz w:val="24"/>
                <w:szCs w:val="24"/>
              </w:rPr>
            </w:pPr>
          </w:p>
        </w:tc>
        <w:tc>
          <w:tcPr>
            <w:tcW w:w="516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sz w:val="24"/>
                <w:szCs w:val="24"/>
              </w:rPr>
            </w:pPr>
          </w:p>
        </w:tc>
        <w:tc>
          <w:tcPr>
            <w:tcW w:w="2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sz w:val="24"/>
                <w:szCs w:val="24"/>
              </w:rPr>
            </w:pPr>
            <w:r>
              <w:rPr>
                <w:sz w:val="24"/>
                <w:szCs w:val="24"/>
              </w:rPr>
              <w:t>更新改造</w:t>
            </w:r>
          </w:p>
        </w:tc>
      </w:tr>
      <w:tr>
        <w:tblPrEx>
          <w:tblCellMar>
            <w:top w:w="0" w:type="dxa"/>
            <w:left w:w="108" w:type="dxa"/>
            <w:bottom w:w="0" w:type="dxa"/>
            <w:right w:w="108" w:type="dxa"/>
          </w:tblCellMar>
        </w:tblPrEx>
        <w:trPr>
          <w:trHeight w:val="270" w:hRule="atLeast"/>
        </w:trPr>
        <w:tc>
          <w:tcPr>
            <w:tcW w:w="11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sz w:val="24"/>
                <w:szCs w:val="24"/>
              </w:rPr>
            </w:pPr>
          </w:p>
        </w:tc>
        <w:tc>
          <w:tcPr>
            <w:tcW w:w="516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sz w:val="24"/>
                <w:szCs w:val="24"/>
              </w:rPr>
            </w:pPr>
          </w:p>
        </w:tc>
        <w:tc>
          <w:tcPr>
            <w:tcW w:w="2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sz w:val="24"/>
                <w:szCs w:val="24"/>
              </w:rPr>
            </w:pPr>
            <w:r>
              <w:rPr>
                <w:sz w:val="24"/>
                <w:szCs w:val="24"/>
              </w:rPr>
              <w:t>密度调整</w:t>
            </w:r>
          </w:p>
        </w:tc>
      </w:tr>
      <w:tr>
        <w:tblPrEx>
          <w:tblCellMar>
            <w:top w:w="0" w:type="dxa"/>
            <w:left w:w="108" w:type="dxa"/>
            <w:bottom w:w="0" w:type="dxa"/>
            <w:right w:w="108" w:type="dxa"/>
          </w:tblCellMar>
        </w:tblPrEx>
        <w:trPr>
          <w:trHeight w:val="270" w:hRule="atLeast"/>
        </w:trPr>
        <w:tc>
          <w:tcPr>
            <w:tcW w:w="11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sz w:val="24"/>
                <w:szCs w:val="24"/>
              </w:rPr>
            </w:pPr>
          </w:p>
        </w:tc>
        <w:tc>
          <w:tcPr>
            <w:tcW w:w="516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sz w:val="24"/>
                <w:szCs w:val="24"/>
              </w:rPr>
            </w:pPr>
          </w:p>
        </w:tc>
        <w:tc>
          <w:tcPr>
            <w:tcW w:w="2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sz w:val="24"/>
                <w:szCs w:val="24"/>
              </w:rPr>
            </w:pPr>
            <w:r>
              <w:rPr>
                <w:sz w:val="24"/>
                <w:szCs w:val="24"/>
              </w:rPr>
              <w:t>林下间作</w:t>
            </w:r>
          </w:p>
        </w:tc>
      </w:tr>
      <w:tr>
        <w:tblPrEx>
          <w:tblCellMar>
            <w:top w:w="0" w:type="dxa"/>
            <w:left w:w="108" w:type="dxa"/>
            <w:bottom w:w="0" w:type="dxa"/>
            <w:right w:w="108" w:type="dxa"/>
          </w:tblCellMar>
        </w:tblPrEx>
        <w:trPr>
          <w:trHeight w:val="270" w:hRule="atLeast"/>
        </w:trPr>
        <w:tc>
          <w:tcPr>
            <w:tcW w:w="11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sz w:val="24"/>
                <w:szCs w:val="24"/>
              </w:rPr>
            </w:pPr>
          </w:p>
        </w:tc>
        <w:tc>
          <w:tcPr>
            <w:tcW w:w="51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sz w:val="24"/>
                <w:szCs w:val="24"/>
              </w:rPr>
            </w:pPr>
            <w:r>
              <w:rPr>
                <w:sz w:val="24"/>
                <w:szCs w:val="24"/>
              </w:rPr>
              <w:t>附录A</w:t>
            </w:r>
            <w:r>
              <w:rPr>
                <w:rFonts w:hint="eastAsia"/>
                <w:sz w:val="24"/>
                <w:szCs w:val="24"/>
              </w:rPr>
              <w:t xml:space="preserve"> </w:t>
            </w:r>
            <w:r>
              <w:rPr>
                <w:sz w:val="24"/>
                <w:szCs w:val="24"/>
              </w:rPr>
              <w:t>成都市早实核桃低产林指标</w:t>
            </w:r>
          </w:p>
        </w:tc>
        <w:tc>
          <w:tcPr>
            <w:tcW w:w="2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sz w:val="24"/>
                <w:szCs w:val="24"/>
              </w:rPr>
            </w:pPr>
          </w:p>
        </w:tc>
      </w:tr>
      <w:tr>
        <w:tblPrEx>
          <w:tblCellMar>
            <w:top w:w="0" w:type="dxa"/>
            <w:left w:w="108" w:type="dxa"/>
            <w:bottom w:w="0" w:type="dxa"/>
            <w:right w:w="108" w:type="dxa"/>
          </w:tblCellMar>
        </w:tblPrEx>
        <w:trPr>
          <w:trHeight w:val="270" w:hRule="atLeast"/>
        </w:trPr>
        <w:tc>
          <w:tcPr>
            <w:tcW w:w="11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sz w:val="24"/>
                <w:szCs w:val="24"/>
              </w:rPr>
            </w:pPr>
          </w:p>
        </w:tc>
        <w:tc>
          <w:tcPr>
            <w:tcW w:w="51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sz w:val="24"/>
                <w:szCs w:val="24"/>
              </w:rPr>
            </w:pPr>
            <w:r>
              <w:rPr>
                <w:sz w:val="24"/>
                <w:szCs w:val="24"/>
              </w:rPr>
              <w:t>附录B</w:t>
            </w:r>
            <w:r>
              <w:rPr>
                <w:rFonts w:hint="eastAsia"/>
                <w:sz w:val="24"/>
                <w:szCs w:val="24"/>
              </w:rPr>
              <w:t xml:space="preserve"> </w:t>
            </w:r>
            <w:r>
              <w:rPr>
                <w:sz w:val="24"/>
                <w:szCs w:val="24"/>
              </w:rPr>
              <w:t>成都市适宜栽培的核桃优良品种及特性</w:t>
            </w:r>
          </w:p>
        </w:tc>
        <w:tc>
          <w:tcPr>
            <w:tcW w:w="2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sz w:val="24"/>
                <w:szCs w:val="24"/>
              </w:rPr>
            </w:pPr>
          </w:p>
        </w:tc>
      </w:tr>
      <w:tr>
        <w:tblPrEx>
          <w:tblCellMar>
            <w:top w:w="0" w:type="dxa"/>
            <w:left w:w="108" w:type="dxa"/>
            <w:bottom w:w="0" w:type="dxa"/>
            <w:right w:w="108" w:type="dxa"/>
          </w:tblCellMar>
        </w:tblPrEx>
        <w:trPr>
          <w:trHeight w:val="270" w:hRule="atLeast"/>
        </w:trPr>
        <w:tc>
          <w:tcPr>
            <w:tcW w:w="11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sz w:val="24"/>
                <w:szCs w:val="24"/>
              </w:rPr>
            </w:pPr>
          </w:p>
        </w:tc>
        <w:tc>
          <w:tcPr>
            <w:tcW w:w="51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sz w:val="24"/>
                <w:szCs w:val="24"/>
              </w:rPr>
            </w:pPr>
            <w:r>
              <w:rPr>
                <w:sz w:val="24"/>
                <w:szCs w:val="24"/>
              </w:rPr>
              <w:t>附录C</w:t>
            </w:r>
            <w:r>
              <w:rPr>
                <w:rFonts w:hint="eastAsia"/>
                <w:sz w:val="24"/>
                <w:szCs w:val="24"/>
              </w:rPr>
              <w:t xml:space="preserve"> </w:t>
            </w:r>
            <w:r>
              <w:rPr>
                <w:sz w:val="24"/>
                <w:szCs w:val="24"/>
              </w:rPr>
              <w:t>核桃主要病虫害及防治</w:t>
            </w:r>
          </w:p>
        </w:tc>
        <w:tc>
          <w:tcPr>
            <w:tcW w:w="2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sz w:val="24"/>
                <w:szCs w:val="24"/>
              </w:rPr>
            </w:pPr>
          </w:p>
        </w:tc>
      </w:tr>
    </w:tbl>
    <w:p>
      <w:pPr>
        <w:pStyle w:val="3"/>
        <w:bidi w:val="0"/>
      </w:pPr>
      <w:bookmarkStart w:id="17" w:name="_Toc32327"/>
      <w:r>
        <w:t>（二）</w:t>
      </w:r>
      <w:bookmarkEnd w:id="17"/>
      <w:r>
        <w:t>标准的适用范围</w:t>
      </w:r>
    </w:p>
    <w:p>
      <w:pPr>
        <w:bidi w:val="0"/>
      </w:pPr>
      <w:r>
        <w:t>本标准规定了核桃低产</w:t>
      </w:r>
      <w:r>
        <w:rPr>
          <w:rFonts w:hint="eastAsia"/>
          <w:lang w:val="en-US" w:eastAsia="zh-CN"/>
        </w:rPr>
        <w:t>林</w:t>
      </w:r>
      <w:r>
        <w:t>改造技术的术语和定义、核桃低产林分类、改造方式和改造技术措施等技术要求。</w:t>
      </w:r>
    </w:p>
    <w:p>
      <w:pPr>
        <w:bidi w:val="0"/>
      </w:pPr>
      <w:r>
        <w:t>本标准适用于成都市及生态相似区域的核桃生产区。</w:t>
      </w:r>
    </w:p>
    <w:p>
      <w:pPr>
        <w:pStyle w:val="3"/>
        <w:bidi w:val="0"/>
      </w:pPr>
      <w:r>
        <w:rPr>
          <w:rFonts w:hint="eastAsia"/>
          <w:lang w:eastAsia="zh-CN"/>
        </w:rPr>
        <w:t>（</w:t>
      </w:r>
      <w:r>
        <w:rPr>
          <w:rFonts w:hint="eastAsia"/>
          <w:lang w:val="en-US" w:eastAsia="zh-CN"/>
        </w:rPr>
        <w:t>三</w:t>
      </w:r>
      <w:r>
        <w:rPr>
          <w:rFonts w:hint="eastAsia"/>
          <w:lang w:eastAsia="zh-CN"/>
        </w:rPr>
        <w:t>）</w:t>
      </w:r>
      <w:r>
        <w:t>定义和术语</w:t>
      </w:r>
    </w:p>
    <w:p>
      <w:pPr>
        <w:bidi w:val="0"/>
      </w:pPr>
      <w:r>
        <w:t>本标准中的定义和术语参照了《核桃坚果丰产指标》（LY/T 3004.7-2018），确定了核桃低产林的评价标准。所谓核桃低产林，它是与核桃丰产林相比较存在的一个概念，是指单位面积干果年产量低于该核桃树龄段标准量值的核桃林，或品种退化已不适应市场需求的核桃林。</w:t>
      </w:r>
    </w:p>
    <w:p>
      <w:pPr>
        <w:pStyle w:val="3"/>
        <w:bidi w:val="0"/>
      </w:pPr>
      <w:r>
        <w:rPr>
          <w:rFonts w:hint="eastAsia"/>
          <w:lang w:eastAsia="zh-CN"/>
        </w:rPr>
        <w:t>（</w:t>
      </w:r>
      <w:r>
        <w:rPr>
          <w:rFonts w:hint="eastAsia"/>
          <w:lang w:val="en-US" w:eastAsia="zh-CN"/>
        </w:rPr>
        <w:t>四</w:t>
      </w:r>
      <w:r>
        <w:rPr>
          <w:rFonts w:hint="eastAsia"/>
          <w:lang w:eastAsia="zh-CN"/>
        </w:rPr>
        <w:t>）</w:t>
      </w:r>
      <w:r>
        <w:t>核桃低产林分类</w:t>
      </w:r>
    </w:p>
    <w:p>
      <w:pPr>
        <w:bidi w:val="0"/>
      </w:pPr>
      <w:r>
        <w:t>通过对成都核桃主产区实地调查，包括核桃种植园立地环境、核桃品种、树龄、种植密度、平均冠幅、平均产量（单株/亩产）、管理措施等因子。分析造成低产林的原因，按照可操作性优先原则，在总结各地核桃低产情况的基础上，指标重点选择品种、管理措施和立地环境等将核桃低产林划分为3个大类，即栽培品种不当型、立地条件制约型和栽培管理不当型三类。</w:t>
      </w:r>
    </w:p>
    <w:p>
      <w:pPr>
        <w:bidi w:val="0"/>
      </w:pPr>
      <w:r>
        <w:t>栽培品种不当型：品种选择不当、定植实生苗木或品质低劣苗木，造成核桃品质低劣、产量低、病虫害严重。</w:t>
      </w:r>
    </w:p>
    <w:p>
      <w:pPr>
        <w:bidi w:val="0"/>
      </w:pPr>
      <w:r>
        <w:t>立地条件制约型：立地条件差，土壤贫瘠，造成树体生长不良，长势衰弱，结果能力差。</w:t>
      </w:r>
    </w:p>
    <w:p>
      <w:pPr>
        <w:bidi w:val="0"/>
      </w:pPr>
      <w:r>
        <w:t>栽培管理不当型：栽培管理粗放，重栽轻管，造成产量低下。</w:t>
      </w:r>
    </w:p>
    <w:p>
      <w:pPr>
        <w:pStyle w:val="3"/>
        <w:bidi w:val="0"/>
      </w:pPr>
      <w:r>
        <w:rPr>
          <w:rFonts w:hint="eastAsia"/>
          <w:lang w:eastAsia="zh-CN"/>
        </w:rPr>
        <w:t>（</w:t>
      </w:r>
      <w:r>
        <w:rPr>
          <w:rFonts w:hint="eastAsia"/>
          <w:lang w:val="en-US" w:eastAsia="zh-CN"/>
        </w:rPr>
        <w:t>五</w:t>
      </w:r>
      <w:r>
        <w:rPr>
          <w:rFonts w:hint="eastAsia"/>
          <w:lang w:eastAsia="zh-CN"/>
        </w:rPr>
        <w:t>）</w:t>
      </w:r>
      <w:r>
        <w:t>改造方式</w:t>
      </w:r>
    </w:p>
    <w:p>
      <w:pPr>
        <w:bidi w:val="0"/>
      </w:pPr>
      <w:r>
        <w:t>核桃低产林改造方式，本规程采用在类型划分的基础上分类选择低改方式，按类规定主要技术措施。本规程对核桃低产林在改造中涉及的各项措施都是经过生产检验的技术，主要规定了各项措施实施的主要步骤和时间。</w:t>
      </w:r>
    </w:p>
    <w:p>
      <w:pPr>
        <w:bidi w:val="0"/>
      </w:pPr>
      <w:r>
        <w:t>项目组采用试验基地改造及测定数据分析比较法确定每一项技术措施的具体操作，综合运用各项</w:t>
      </w:r>
      <w:r>
        <w:rPr>
          <w:rFonts w:hint="eastAsia"/>
          <w:lang w:val="en-US" w:eastAsia="zh-CN"/>
        </w:rPr>
        <w:t>核桃</w:t>
      </w:r>
      <w:r>
        <w:t>低产林改造技术措施，以达到提高核桃坚果产量的最终目的，同时使本规程具有先进性和可操作性。为验证技术操作规程的可操作性，根据不同类型的低产林建立了核桃低产林改造试验示范点。主要采用技术为：高接换种、林地垦复、合理施肥、整形修枝、林下间作、更新改造</w:t>
      </w:r>
      <w:r>
        <w:rPr>
          <w:rFonts w:hint="eastAsia"/>
          <w:lang w:val="en-US" w:eastAsia="zh-CN"/>
        </w:rPr>
        <w:t>等</w:t>
      </w:r>
      <w:r>
        <w:t xml:space="preserve">。改造后，经现场查验和测产，核桃林树体结构良好，长势旺盛，初果期核桃平均株产2kg以上，改造3年后平均亩产60kg以上，改造5年后平均亩产100kg以上，高于LY/T </w:t>
      </w:r>
      <w:r>
        <w:rPr>
          <w:rFonts w:hint="eastAsia"/>
        </w:rPr>
        <w:t>3004.7-2018</w:t>
      </w:r>
      <w:r>
        <w:t>中关于核桃丰产的要求。</w:t>
      </w:r>
    </w:p>
    <w:p>
      <w:pPr>
        <w:pStyle w:val="3"/>
        <w:bidi w:val="0"/>
      </w:pPr>
      <w:r>
        <w:rPr>
          <w:rFonts w:hint="eastAsia"/>
          <w:lang w:eastAsia="zh-CN"/>
        </w:rPr>
        <w:t>（</w:t>
      </w:r>
      <w:r>
        <w:rPr>
          <w:rFonts w:hint="eastAsia"/>
          <w:lang w:val="en-US" w:eastAsia="zh-CN"/>
        </w:rPr>
        <w:t>六</w:t>
      </w:r>
      <w:r>
        <w:rPr>
          <w:rFonts w:hint="eastAsia"/>
          <w:lang w:eastAsia="zh-CN"/>
        </w:rPr>
        <w:t>）</w:t>
      </w:r>
      <w:r>
        <w:t>品种选择</w:t>
      </w:r>
    </w:p>
    <w:p>
      <w:pPr>
        <w:bidi w:val="0"/>
        <w:rPr>
          <w:rFonts w:eastAsia="方正仿宋_GBK" w:cs="Times New Roman"/>
          <w:szCs w:val="32"/>
        </w:rPr>
      </w:pPr>
      <w:r>
        <w:t>选择经四川省林木良种审定委员会或国家林业和草原局林木品种审定委员会审（认）定，适宜成都地区栽培的核桃优良品种，或在当地表现早实、丰产、质优的优良品系。包括但不限于表3中所列品种。</w:t>
      </w:r>
    </w:p>
    <w:p>
      <w:pPr>
        <w:bidi w:val="0"/>
        <w:jc w:val="center"/>
        <w:rPr>
          <w:sz w:val="28"/>
          <w:szCs w:val="28"/>
        </w:rPr>
      </w:pPr>
      <w:r>
        <w:rPr>
          <w:sz w:val="28"/>
          <w:szCs w:val="28"/>
        </w:rPr>
        <w:t xml:space="preserve">表3 </w:t>
      </w:r>
      <w:bookmarkStart w:id="18" w:name="_Toc10600"/>
      <w:r>
        <w:rPr>
          <w:sz w:val="28"/>
          <w:szCs w:val="28"/>
        </w:rPr>
        <w:t>成都市适宜栽培的核桃优良品种及特性</w:t>
      </w:r>
      <w:bookmarkEnd w:id="18"/>
    </w:p>
    <w:tbl>
      <w:tblPr>
        <w:tblStyle w:val="8"/>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85"/>
        <w:gridCol w:w="4495"/>
        <w:gridCol w:w="28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blHeader/>
        </w:trPr>
        <w:tc>
          <w:tcPr>
            <w:tcW w:w="696"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 w:cs="Times New Roman"/>
                <w:b/>
                <w:bCs w:val="0"/>
                <w:sz w:val="24"/>
                <w:szCs w:val="24"/>
              </w:rPr>
            </w:pPr>
            <w:r>
              <w:rPr>
                <w:rFonts w:hint="default" w:ascii="Times New Roman" w:hAnsi="Times New Roman" w:eastAsia="仿宋" w:cs="Times New Roman"/>
                <w:b/>
                <w:bCs w:val="0"/>
                <w:sz w:val="24"/>
                <w:szCs w:val="24"/>
              </w:rPr>
              <w:t>品种名称</w:t>
            </w:r>
          </w:p>
        </w:tc>
        <w:tc>
          <w:tcPr>
            <w:tcW w:w="2638"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 w:cs="Times New Roman"/>
                <w:b/>
                <w:bCs w:val="0"/>
                <w:sz w:val="24"/>
                <w:szCs w:val="24"/>
              </w:rPr>
            </w:pPr>
            <w:r>
              <w:rPr>
                <w:rFonts w:hint="default" w:ascii="Times New Roman" w:hAnsi="Times New Roman" w:eastAsia="仿宋" w:cs="Times New Roman"/>
                <w:b/>
                <w:bCs w:val="0"/>
                <w:sz w:val="24"/>
                <w:szCs w:val="24"/>
              </w:rPr>
              <w:t>品种特性</w:t>
            </w:r>
          </w:p>
        </w:tc>
        <w:tc>
          <w:tcPr>
            <w:tcW w:w="1665"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 w:cs="Times New Roman"/>
                <w:b/>
                <w:bCs w:val="0"/>
                <w:sz w:val="24"/>
                <w:szCs w:val="24"/>
              </w:rPr>
            </w:pPr>
            <w:r>
              <w:rPr>
                <w:rFonts w:hint="default" w:ascii="Times New Roman" w:hAnsi="Times New Roman" w:eastAsia="仿宋" w:cs="Times New Roman"/>
                <w:b/>
                <w:bCs w:val="0"/>
                <w:sz w:val="24"/>
                <w:szCs w:val="24"/>
              </w:rPr>
              <w:t>适宜种植范围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2" w:hRule="atLeast"/>
        </w:trPr>
        <w:tc>
          <w:tcPr>
            <w:tcW w:w="696"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仿宋" w:cs="Times New Roman"/>
                <w:sz w:val="24"/>
                <w:szCs w:val="24"/>
              </w:rPr>
            </w:pPr>
            <w:r>
              <w:rPr>
                <w:rFonts w:hint="default" w:ascii="Times New Roman" w:hAnsi="Times New Roman" w:eastAsia="仿宋" w:cs="Times New Roman"/>
                <w:sz w:val="24"/>
                <w:szCs w:val="24"/>
              </w:rPr>
              <w:t>双早</w:t>
            </w:r>
          </w:p>
        </w:tc>
        <w:tc>
          <w:tcPr>
            <w:tcW w:w="2638"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仿宋" w:cs="Times New Roman"/>
                <w:sz w:val="24"/>
                <w:szCs w:val="24"/>
              </w:rPr>
            </w:pPr>
            <w:r>
              <w:rPr>
                <w:rFonts w:hint="default" w:ascii="Times New Roman" w:hAnsi="Times New Roman" w:eastAsia="仿宋" w:cs="Times New Roman"/>
                <w:sz w:val="24"/>
                <w:szCs w:val="24"/>
              </w:rPr>
              <w:t>树势中庸偏强，树形自然开心形；坚果近圆形，腹径3.44cm、缝径3.41cm、果高4.07cm，单果质量11.3g、出仁率55.4%；在四川盆地3月上旬萌芽，3月下旬展叶，7月底至8月上旬果实成熟；幼树生长旺盛，成枝力强，以中短果枝结果为主。定植1年开花结果，2年投产，4年进入盛产期。</w:t>
            </w:r>
          </w:p>
        </w:tc>
        <w:tc>
          <w:tcPr>
            <w:tcW w:w="1665"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仿宋" w:cs="Times New Roman"/>
                <w:sz w:val="24"/>
                <w:szCs w:val="24"/>
              </w:rPr>
            </w:pPr>
            <w:r>
              <w:rPr>
                <w:rFonts w:hint="default" w:ascii="Times New Roman" w:hAnsi="Times New Roman" w:eastAsia="仿宋" w:cs="Times New Roman"/>
                <w:sz w:val="24"/>
                <w:szCs w:val="24"/>
              </w:rPr>
              <w:t>适于成渝两地海拔1300m以下、土壤pH 6.5～7.5、土层厚度50cm以上的山区丘陵区栽培。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6"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仿宋" w:cs="Times New Roman"/>
                <w:sz w:val="24"/>
                <w:szCs w:val="24"/>
              </w:rPr>
            </w:pPr>
            <w:r>
              <w:rPr>
                <w:rFonts w:hint="default" w:ascii="Times New Roman" w:hAnsi="Times New Roman" w:eastAsia="仿宋" w:cs="Times New Roman"/>
                <w:sz w:val="24"/>
                <w:szCs w:val="24"/>
              </w:rPr>
              <w:t>川早1号</w:t>
            </w:r>
          </w:p>
        </w:tc>
        <w:tc>
          <w:tcPr>
            <w:tcW w:w="2638"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仿宋" w:cs="Times New Roman"/>
                <w:sz w:val="24"/>
                <w:szCs w:val="24"/>
              </w:rPr>
            </w:pPr>
            <w:r>
              <w:rPr>
                <w:rFonts w:hint="default" w:ascii="Times New Roman" w:hAnsi="Times New Roman" w:eastAsia="仿宋" w:cs="Times New Roman"/>
                <w:sz w:val="24"/>
                <w:szCs w:val="24"/>
              </w:rPr>
              <w:t>幼树生长旺盛，抽枝力强；四川盆地3月上旬发芽，3月下旬展叶，果实8月下旬成熟；中短结果枝为主；坚果扁圆形，壳面较光滑，平均单果重12.1g，出仁率51.6%。</w:t>
            </w:r>
          </w:p>
        </w:tc>
        <w:tc>
          <w:tcPr>
            <w:tcW w:w="1665"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仿宋" w:cs="Times New Roman"/>
                <w:sz w:val="24"/>
                <w:szCs w:val="24"/>
              </w:rPr>
            </w:pPr>
            <w:r>
              <w:rPr>
                <w:rFonts w:hint="default" w:ascii="Times New Roman" w:hAnsi="Times New Roman" w:eastAsia="仿宋" w:cs="Times New Roman"/>
                <w:sz w:val="24"/>
                <w:szCs w:val="24"/>
              </w:rPr>
              <w:t>较耐干旱，适于四川丘陵山区土壤疏松肥沃、土层厚度1 m以上，土壤pH 6.0～7.5的丘陵山区栽植。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6"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仿宋" w:cs="Times New Roman"/>
                <w:sz w:val="24"/>
                <w:szCs w:val="24"/>
              </w:rPr>
            </w:pPr>
            <w:r>
              <w:rPr>
                <w:rFonts w:hint="default" w:ascii="Times New Roman" w:hAnsi="Times New Roman" w:eastAsia="仿宋" w:cs="Times New Roman"/>
                <w:sz w:val="24"/>
                <w:szCs w:val="24"/>
              </w:rPr>
              <w:t>川早2号</w:t>
            </w:r>
          </w:p>
        </w:tc>
        <w:tc>
          <w:tcPr>
            <w:tcW w:w="2638"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仿宋" w:cs="Times New Roman"/>
                <w:sz w:val="24"/>
                <w:szCs w:val="24"/>
              </w:rPr>
            </w:pPr>
            <w:r>
              <w:rPr>
                <w:rFonts w:hint="default" w:ascii="Times New Roman" w:hAnsi="Times New Roman" w:eastAsia="仿宋" w:cs="Times New Roman"/>
                <w:sz w:val="24"/>
                <w:szCs w:val="24"/>
              </w:rPr>
              <w:t>幼树生长旺盛，抽枝力强；在四川盆地8月底至9月初果实成熟；坚果椭圆形，平均单果重12.1g，核仁较充实饱满，出仁率61%；丰产、稳产性能良好。</w:t>
            </w:r>
          </w:p>
        </w:tc>
        <w:tc>
          <w:tcPr>
            <w:tcW w:w="1665"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仿宋" w:cs="Times New Roman"/>
                <w:sz w:val="24"/>
                <w:szCs w:val="24"/>
              </w:rPr>
            </w:pPr>
            <w:r>
              <w:rPr>
                <w:rFonts w:hint="default" w:ascii="Times New Roman" w:hAnsi="Times New Roman" w:eastAsia="仿宋" w:cs="Times New Roman"/>
                <w:sz w:val="24"/>
                <w:szCs w:val="24"/>
              </w:rPr>
              <w:t>适于四川盆地海拔1300m以下，土层厚度50cm以上，土壤pH 6.5～7.5的丘陵山区栽植。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6" w:hRule="atLeast"/>
        </w:trPr>
        <w:tc>
          <w:tcPr>
            <w:tcW w:w="696"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仿宋" w:cs="Times New Roman"/>
                <w:sz w:val="24"/>
                <w:szCs w:val="24"/>
              </w:rPr>
            </w:pPr>
            <w:r>
              <w:rPr>
                <w:rFonts w:hint="default" w:ascii="Times New Roman" w:hAnsi="Times New Roman" w:eastAsia="仿宋" w:cs="Times New Roman"/>
                <w:sz w:val="24"/>
                <w:szCs w:val="24"/>
              </w:rPr>
              <w:t>川早3号</w:t>
            </w:r>
          </w:p>
        </w:tc>
        <w:tc>
          <w:tcPr>
            <w:tcW w:w="2638"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仿宋" w:cs="Times New Roman"/>
                <w:sz w:val="24"/>
                <w:szCs w:val="24"/>
              </w:rPr>
            </w:pPr>
            <w:r>
              <w:rPr>
                <w:rFonts w:hint="default" w:ascii="Times New Roman" w:hAnsi="Times New Roman" w:eastAsia="仿宋" w:cs="Times New Roman"/>
                <w:sz w:val="24"/>
                <w:szCs w:val="24"/>
              </w:rPr>
              <w:t>树势中庸偏强，树形自然开心形；坚果近圆形，腹径3.80cm，缝径3.72cm，纵径4.41cm，壳面光滑，单果重15.0g，核仁充实饱满，出仁率约61.0%；花期抗倒春寒特点突出。</w:t>
            </w:r>
          </w:p>
        </w:tc>
        <w:tc>
          <w:tcPr>
            <w:tcW w:w="1665"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仿宋" w:cs="Times New Roman"/>
                <w:sz w:val="24"/>
                <w:szCs w:val="24"/>
              </w:rPr>
            </w:pPr>
            <w:r>
              <w:rPr>
                <w:rFonts w:hint="default" w:ascii="Times New Roman" w:hAnsi="Times New Roman" w:eastAsia="仿宋" w:cs="Times New Roman"/>
                <w:sz w:val="24"/>
                <w:szCs w:val="24"/>
              </w:rPr>
              <w:t>适于四川盆地海拔1300m以下，土层厚度50cm以上，土壤pH 6.5～7.5的丘陵山区栽植。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4" w:hRule="atLeast"/>
        </w:trPr>
        <w:tc>
          <w:tcPr>
            <w:tcW w:w="696"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仿宋" w:cs="Times New Roman"/>
                <w:sz w:val="24"/>
                <w:szCs w:val="24"/>
              </w:rPr>
            </w:pPr>
            <w:r>
              <w:rPr>
                <w:rFonts w:hint="default" w:ascii="Times New Roman" w:hAnsi="Times New Roman" w:eastAsia="仿宋" w:cs="Times New Roman"/>
                <w:sz w:val="24"/>
                <w:szCs w:val="24"/>
              </w:rPr>
              <w:t>中核短枝</w:t>
            </w:r>
          </w:p>
        </w:tc>
        <w:tc>
          <w:tcPr>
            <w:tcW w:w="2638"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仿宋" w:cs="Times New Roman"/>
                <w:sz w:val="24"/>
                <w:szCs w:val="24"/>
              </w:rPr>
            </w:pPr>
            <w:r>
              <w:rPr>
                <w:rFonts w:hint="default" w:ascii="Times New Roman" w:hAnsi="Times New Roman" w:eastAsia="仿宋" w:cs="Times New Roman"/>
                <w:sz w:val="24"/>
                <w:szCs w:val="24"/>
              </w:rPr>
              <w:t>树体矮小、树姿直立、枝条粗壮、节间短；坚果椭圆形、光滑、核仁饱满、单果重15g、出仁率63.8%；该品种适应性较强；当年栽植，当年结果。</w:t>
            </w:r>
          </w:p>
        </w:tc>
        <w:tc>
          <w:tcPr>
            <w:tcW w:w="1665"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仿宋" w:cs="Times New Roman"/>
                <w:sz w:val="24"/>
                <w:szCs w:val="24"/>
              </w:rPr>
            </w:pPr>
            <w:r>
              <w:rPr>
                <w:rFonts w:hint="default" w:ascii="Times New Roman" w:hAnsi="Times New Roman" w:eastAsia="仿宋" w:cs="Times New Roman"/>
                <w:sz w:val="24"/>
                <w:szCs w:val="24"/>
              </w:rPr>
              <w:t>品种抗寒、抗旱、耐贫瘠，特丰产，适应性广适宜在山丘土层较厚和干旱少雨地区集约化栽培。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1" w:hRule="atLeast"/>
        </w:trPr>
        <w:tc>
          <w:tcPr>
            <w:tcW w:w="696"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仿宋" w:cs="Times New Roman"/>
                <w:sz w:val="24"/>
                <w:szCs w:val="24"/>
              </w:rPr>
            </w:pPr>
            <w:r>
              <w:rPr>
                <w:rFonts w:hint="default" w:ascii="Times New Roman" w:hAnsi="Times New Roman" w:eastAsia="仿宋" w:cs="Times New Roman"/>
                <w:sz w:val="24"/>
                <w:szCs w:val="24"/>
              </w:rPr>
              <w:t>盐源早</w:t>
            </w:r>
          </w:p>
        </w:tc>
        <w:tc>
          <w:tcPr>
            <w:tcW w:w="2638"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仿宋" w:cs="Times New Roman"/>
                <w:sz w:val="24"/>
                <w:szCs w:val="24"/>
              </w:rPr>
            </w:pPr>
            <w:r>
              <w:rPr>
                <w:rFonts w:hint="default" w:ascii="Times New Roman" w:hAnsi="Times New Roman" w:eastAsia="仿宋" w:cs="Times New Roman"/>
                <w:sz w:val="24"/>
                <w:szCs w:val="24"/>
              </w:rPr>
              <w:t>树势中庸，树冠开张，中短果枝为主，具有侧花结果习性。果实早实型核桃特征显著。坚果中等偏大，椭圆形，腹径3.71cm，缝径3.33cm，果高4.27cm，单果重量17.31 g，缝合线较平；壳厚1.2mm，壳纹较泡核桃浅；出仁率55.64%，取仁容易，核仁饱满，鲜时白色，口感香甜；丰产稳产性好，亩产坚果约200kg。</w:t>
            </w:r>
          </w:p>
        </w:tc>
        <w:tc>
          <w:tcPr>
            <w:tcW w:w="1665"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仿宋" w:cs="Times New Roman"/>
                <w:sz w:val="24"/>
                <w:szCs w:val="24"/>
              </w:rPr>
            </w:pPr>
            <w:r>
              <w:rPr>
                <w:rFonts w:hint="default" w:ascii="Times New Roman" w:hAnsi="Times New Roman" w:eastAsia="仿宋" w:cs="Times New Roman"/>
                <w:sz w:val="24"/>
                <w:szCs w:val="24"/>
              </w:rPr>
              <w:t>适合在四川、云南、重庆、河南、甘肃等省（区）海拔400～2200m的区域以及2200～2500m的阳坡土层深厚区域栽培。</w:t>
            </w:r>
          </w:p>
        </w:tc>
      </w:tr>
    </w:tbl>
    <w:p>
      <w:pPr>
        <w:pStyle w:val="3"/>
        <w:bidi w:val="0"/>
      </w:pPr>
      <w:r>
        <w:rPr>
          <w:rFonts w:hint="eastAsia"/>
          <w:lang w:eastAsia="zh-CN"/>
        </w:rPr>
        <w:t>（</w:t>
      </w:r>
      <w:r>
        <w:rPr>
          <w:rFonts w:hint="eastAsia"/>
          <w:lang w:val="en-US" w:eastAsia="zh-CN"/>
        </w:rPr>
        <w:t>七</w:t>
      </w:r>
      <w:r>
        <w:rPr>
          <w:rFonts w:hint="eastAsia"/>
          <w:lang w:eastAsia="zh-CN"/>
        </w:rPr>
        <w:t>）</w:t>
      </w:r>
      <w:r>
        <w:t>高接换优</w:t>
      </w:r>
    </w:p>
    <w:p>
      <w:pPr>
        <w:bidi w:val="0"/>
      </w:pPr>
      <w:r>
        <w:t>（1）嫁接时期</w:t>
      </w:r>
    </w:p>
    <w:p>
      <w:pPr>
        <w:bidi w:val="0"/>
      </w:pPr>
      <w:r>
        <w:t>在展叶期进行，一般是在3月下旬至4月底，具体时间以树皮能顺利剥离为宜。</w:t>
      </w:r>
    </w:p>
    <w:p>
      <w:pPr>
        <w:bidi w:val="0"/>
      </w:pPr>
      <w:r>
        <w:t>（2）嫁接方法</w:t>
      </w:r>
    </w:p>
    <w:p>
      <w:pPr>
        <w:bidi w:val="0"/>
      </w:pPr>
      <w:r>
        <w:t>采用插皮舌接法。分为砧木放水、断砧、削砧、削穗、切砧插穗、绑扎六个步骤。</w:t>
      </w:r>
    </w:p>
    <w:p>
      <w:pPr>
        <w:bidi w:val="0"/>
      </w:pPr>
      <w:r>
        <w:t>砧木放水：嫁接前2周，距地面20～30 cm处锯螺旋状锯口1～2条或用刀砍2～3刀，深达木质部。</w:t>
      </w:r>
    </w:p>
    <w:p>
      <w:pPr>
        <w:bidi w:val="0"/>
      </w:pPr>
      <w:r>
        <w:t>断砧：选择光滑部位进行截（枝）干。主干嫁接，在0.5～0.8m处截干。</w:t>
      </w:r>
    </w:p>
    <w:p>
      <w:pPr>
        <w:bidi w:val="0"/>
      </w:pPr>
      <w:r>
        <w:t>削砧：用嫁接刀削平锯口，削面里高外低略有斜度。</w:t>
      </w:r>
    </w:p>
    <w:p>
      <w:pPr>
        <w:bidi w:val="0"/>
      </w:pPr>
      <w:r>
        <w:t>削穗：接穗剪成10～15cm，带1～3个芽的枝段，上段保留1～2个饱满芽，下端削成5～8cm左右的马耳形切面，削面平滑，前端削成薄舌状。</w:t>
      </w:r>
    </w:p>
    <w:p>
      <w:pPr>
        <w:bidi w:val="0"/>
      </w:pPr>
      <w:r>
        <w:t>切砧插穗：在断砧口光滑部位斜削2～4cm的月牙形切口，接着沿主干（枝）由下向上至月牙形切口处削去一部分粗老树皮，露出嫩皮大约厚2～3mm，削面呈马耳形，长比接穗削面长1～2cm。将已削好的马耳形穗条前端的皮层剥离木质部，再将接穗的木质部插入已削好的月牙形切口的皮与木质部之间，接穗削离的外皮恰好覆盖在砧木的马耳形削面的嫩皮上，插入深度以接穗斜面与砧木月牙形切面贴紧，压住接穗髓心即可。</w:t>
      </w:r>
    </w:p>
    <w:p>
      <w:pPr>
        <w:bidi w:val="0"/>
      </w:pPr>
      <w:r>
        <w:t>绑扎：用弹性好、拉力较强的塑料薄膜带，自下而上拉紧绑扎接穗。</w:t>
      </w:r>
    </w:p>
    <w:p>
      <w:pPr>
        <w:bidi w:val="0"/>
      </w:pPr>
      <w:r>
        <w:t>（3）接后管理</w:t>
      </w:r>
    </w:p>
    <w:p>
      <w:pPr>
        <w:bidi w:val="0"/>
      </w:pPr>
      <w:r>
        <w:t>除萌：及时抹除砧木上的萌芽。</w:t>
      </w:r>
    </w:p>
    <w:p>
      <w:pPr>
        <w:bidi w:val="0"/>
      </w:pPr>
      <w:r>
        <w:t>防风折：新梢生长到30cm左右时，在主干（枝）上绑2～3根适宜长度的支柱，将新梢轻轻绑在支柱上以防风折，随着新梢的生长绑2～3次。</w:t>
      </w:r>
    </w:p>
    <w:p>
      <w:pPr>
        <w:bidi w:val="0"/>
      </w:pPr>
      <w:r>
        <w:t>解绑：嫁接后3～4个月，根据接穗与砧木愈伤组织形成情况将接口处的捆绑材料解除。</w:t>
      </w:r>
    </w:p>
    <w:p>
      <w:pPr>
        <w:bidi w:val="0"/>
        <w:rPr>
          <w:rFonts w:eastAsia="方正仿宋_GBK" w:cs="Times New Roman"/>
          <w:szCs w:val="32"/>
        </w:rPr>
      </w:pPr>
      <w:r>
        <w:t>疏花整形：嫁接枝萌发后若有花芽萌发，及早疏掉。及时疏除过密、交叉、重叠、下垂、细弱、着生部位不当的枝条，并随树作形。</w:t>
      </w:r>
    </w:p>
    <w:p>
      <w:pPr>
        <w:pStyle w:val="3"/>
        <w:bidi w:val="0"/>
      </w:pPr>
      <w:r>
        <w:rPr>
          <w:rFonts w:hint="eastAsia"/>
          <w:lang w:eastAsia="zh-CN"/>
        </w:rPr>
        <w:t>（</w:t>
      </w:r>
      <w:r>
        <w:rPr>
          <w:rFonts w:hint="eastAsia"/>
          <w:lang w:val="en-US" w:eastAsia="zh-CN"/>
        </w:rPr>
        <w:t>八</w:t>
      </w:r>
      <w:r>
        <w:rPr>
          <w:rFonts w:hint="eastAsia"/>
          <w:lang w:eastAsia="zh-CN"/>
        </w:rPr>
        <w:t>）</w:t>
      </w:r>
      <w:r>
        <w:t>密度调整</w:t>
      </w:r>
    </w:p>
    <w:p>
      <w:pPr>
        <w:bidi w:val="0"/>
      </w:pPr>
      <w:r>
        <w:t>针对林分郁闭度高的低产核桃林，伐除老、劣、病株及品质差植株，保留适宜的株数（以树冠不相互遮盖为宜），分布均匀。调整后郁闭度0.8左右为宜。</w:t>
      </w:r>
    </w:p>
    <w:p>
      <w:pPr>
        <w:pStyle w:val="2"/>
        <w:bidi w:val="0"/>
      </w:pPr>
      <w:bookmarkStart w:id="19" w:name="_Toc7248"/>
      <w:bookmarkStart w:id="20" w:name="_Toc9719"/>
      <w:r>
        <w:t>六、重大分歧意见的处理</w:t>
      </w:r>
      <w:bookmarkEnd w:id="19"/>
      <w:bookmarkEnd w:id="20"/>
    </w:p>
    <w:p>
      <w:pPr>
        <w:bidi w:val="0"/>
      </w:pPr>
      <w:r>
        <w:t>本标准的编写过程无重大分歧意见产生。</w:t>
      </w:r>
    </w:p>
    <w:p>
      <w:pPr>
        <w:pStyle w:val="2"/>
        <w:bidi w:val="0"/>
      </w:pPr>
      <w:bookmarkStart w:id="21" w:name="_Toc18377"/>
      <w:bookmarkStart w:id="22" w:name="_Toc15935"/>
      <w:r>
        <w:t>七、采用国家标准情况</w:t>
      </w:r>
      <w:bookmarkEnd w:id="21"/>
      <w:bookmarkEnd w:id="22"/>
    </w:p>
    <w:p>
      <w:pPr>
        <w:bidi w:val="0"/>
      </w:pPr>
      <w:r>
        <w:t>由于不同的国情和组织构架，经查询，目前还没有与本标准相关的国际、国外标准。</w:t>
      </w:r>
    </w:p>
    <w:p>
      <w:pPr>
        <w:pStyle w:val="2"/>
        <w:bidi w:val="0"/>
      </w:pPr>
      <w:bookmarkStart w:id="23" w:name="_Toc26829"/>
      <w:bookmarkStart w:id="24" w:name="_Toc25484"/>
      <w:r>
        <w:t>八、</w:t>
      </w:r>
      <w:r>
        <w:rPr>
          <w:rFonts w:hint="eastAsia"/>
        </w:rPr>
        <w:t>与现行法律法规和强制性标准的关系</w:t>
      </w:r>
      <w:bookmarkEnd w:id="23"/>
    </w:p>
    <w:p>
      <w:pPr>
        <w:bidi w:val="0"/>
      </w:pPr>
      <w:r>
        <w:t>本标准遵循国家现行法律、法规及国家标准、行业标准、地方标准，结合成都市实际情况，从可操作性、科学性细化标准内容。</w:t>
      </w:r>
    </w:p>
    <w:p>
      <w:pPr>
        <w:bidi w:val="0"/>
      </w:pPr>
      <w:r>
        <w:t>目前，与核桃低产林改造相关的现行国家标准和行业标准有《核桃标准综合体》（LY/T 3004-2018），其中与本规程相关的有《核桃嫁接苗培育和分级标准》、《核桃优质丰产栽培技术规程》、《核桃改劣换优技术规程》、《核桃坚果丰产指标》等。四川省内现行与核桃低产林改造相关的地方标准有《核桃营造林地施肥技术规程》（DB51/T 2029-2015）、《核桃丰产栽培技术规程》（DB51/T 2638-2019）、《核桃主要病虫害防治技术规程》（DB51/T 2585-2019）、《核桃低产园改造技术规程》（DB51/T 2295-2016）等。本标准与上述现行国家标准、行业标准、地方标准的关联作以下说明。</w:t>
      </w:r>
    </w:p>
    <w:p>
      <w:pPr>
        <w:bidi w:val="0"/>
      </w:pPr>
      <w:r>
        <w:t>（1）核桃低</w:t>
      </w:r>
      <w:r>
        <w:rPr>
          <w:rFonts w:hint="eastAsia"/>
          <w:lang w:val="en-US" w:eastAsia="zh-CN"/>
        </w:rPr>
        <w:t>产</w:t>
      </w:r>
      <w:r>
        <w:t>林评价指标选择：《核桃坚果丰产指标》从早实核桃和晚实核桃在对应树龄时的平均产量作为衡量丰产的评价标准，本标准参照其对核桃低产林进行了量化评定，部分树龄产量数据根据项目组多年测定数据进行了修正。《核桃改劣换优技术规程》（LY/T 3004.5-2018）中对核桃低产林平均产量的量值过低，不符合本地大多数种植户对核桃种植效益的期望。《核桃低产园改造技术规程》（DB51/T 2295-2016）中低产园的评价标准为平均单位面积产量（干重）低于150</w:t>
      </w:r>
      <w:r>
        <w:rPr>
          <w:rFonts w:hint="eastAsia"/>
          <w:lang w:val="en-US" w:eastAsia="zh-CN"/>
        </w:rPr>
        <w:t xml:space="preserve"> </w:t>
      </w:r>
      <w:r>
        <w:t>kg/hm</w:t>
      </w:r>
      <w:r>
        <w:rPr>
          <w:vertAlign w:val="superscript"/>
        </w:rPr>
        <w:t>2</w:t>
      </w:r>
      <w:r>
        <w:t>的核桃园，忽略了核桃产量与树龄的关联，本标准中根据成都实际予以细化。</w:t>
      </w:r>
    </w:p>
    <w:p>
      <w:pPr>
        <w:bidi w:val="0"/>
      </w:pPr>
      <w:r>
        <w:t>（2）核桃低</w:t>
      </w:r>
      <w:r>
        <w:rPr>
          <w:rFonts w:hint="eastAsia"/>
          <w:lang w:val="en-US" w:eastAsia="zh-CN"/>
        </w:rPr>
        <w:t>产</w:t>
      </w:r>
      <w:r>
        <w:t>林分类：在现行了《核桃改劣换优技术规程》（LY/T 3004.5-2018）和《核桃低产园改造技术规程》（DB51/T 2295-2016）中均未对核桃低产林形成原因进行详细的分类，按照每个类别分别针对性的提出相应的改造措施。本标准根据成都市核桃低产林成因，分为栽培品种不当型、立地条件制约型和栽培管理不当型三类，并针对性地规范了每种类型改造方式和技术措施。</w:t>
      </w:r>
    </w:p>
    <w:p>
      <w:pPr>
        <w:bidi w:val="0"/>
      </w:pPr>
      <w:r>
        <w:t>（3）改造核桃品种的选择：在现行的国家和地方标准中均未针对成都市详细列举出可用核桃品种。本标准附录B中罗列了适合成都核桃产业发展的核桃品种6个，对产业发展和标准的应用更具指导性。</w:t>
      </w:r>
    </w:p>
    <w:p>
      <w:pPr>
        <w:bidi w:val="0"/>
      </w:pPr>
      <w:r>
        <w:t>（4）核桃有害生物防治：重点对成都市常见有害生物提出更为合理的防治方法。相对《核桃主要病虫害防治技术规程》（DB51/T 2585-2019）、《核桃低产园改造技术规程》（DB51/T 2295-2016）增加了小吉丁虫、蚧壳虫等的防治方法。同时删除掉现行标准中氧化乐果、溴甲烷等剧毒、高残毒及致癌化学药品的使用。</w:t>
      </w:r>
    </w:p>
    <w:p>
      <w:pPr>
        <w:pStyle w:val="2"/>
        <w:bidi w:val="0"/>
      </w:pPr>
      <w:bookmarkStart w:id="25" w:name="_Toc26725"/>
      <w:r>
        <w:t>九、标准</w:t>
      </w:r>
      <w:r>
        <w:rPr>
          <w:rFonts w:hint="eastAsia"/>
          <w:lang w:val="en-US" w:eastAsia="zh-CN"/>
        </w:rPr>
        <w:t>实施的</w:t>
      </w:r>
      <w:r>
        <w:t>建议</w:t>
      </w:r>
      <w:bookmarkEnd w:id="24"/>
      <w:bookmarkEnd w:id="25"/>
    </w:p>
    <w:p>
      <w:pPr>
        <w:pStyle w:val="3"/>
        <w:bidi w:val="0"/>
        <w:rPr>
          <w:rFonts w:hint="eastAsia"/>
        </w:rPr>
      </w:pPr>
      <w:r>
        <w:rPr>
          <w:rFonts w:hint="eastAsia"/>
        </w:rPr>
        <w:t>（一）实施标准的要求</w:t>
      </w:r>
    </w:p>
    <w:p>
      <w:pPr>
        <w:bidi w:val="0"/>
        <w:rPr>
          <w:rFonts w:hint="eastAsia"/>
        </w:rPr>
      </w:pPr>
      <w:r>
        <w:rPr>
          <w:rFonts w:hint="eastAsia"/>
        </w:rPr>
        <w:t>本文件一经发布即实施，建议采用适宜的方式及时对相关管理部门和实施机构的负责人进行宣贯，并做好相关培训记录，使标准的关联方能及时、准确的按标准要求开展工作。</w:t>
      </w:r>
    </w:p>
    <w:p>
      <w:pPr>
        <w:pStyle w:val="3"/>
        <w:bidi w:val="0"/>
        <w:rPr>
          <w:rFonts w:hint="eastAsia" w:eastAsia="方正仿宋_GBK" w:cs="Times New Roman"/>
          <w:szCs w:val="32"/>
        </w:rPr>
      </w:pPr>
      <w:r>
        <w:rPr>
          <w:rFonts w:hint="eastAsia"/>
        </w:rPr>
        <w:t>（二）组织措施、技术措施</w:t>
      </w:r>
    </w:p>
    <w:p>
      <w:pPr>
        <w:bidi w:val="0"/>
        <w:rPr>
          <w:rFonts w:hint="eastAsia"/>
        </w:rPr>
      </w:pPr>
      <w:r>
        <w:t>低产核桃改造技术规程的推广和实施，须有一套健全的机制来推进。政府推动，市场引导，企业带动，农户实施。从核桃低产林类别划分、改造方式、改造技术措施的各个环节，建立起来全过程完善的标准化体系，实现按标生产，促进核桃低产林改造标准实施。</w:t>
      </w:r>
    </w:p>
    <w:p>
      <w:pPr>
        <w:pStyle w:val="3"/>
        <w:bidi w:val="0"/>
        <w:rPr>
          <w:rFonts w:hint="eastAsia"/>
        </w:rPr>
      </w:pPr>
      <w:r>
        <w:rPr>
          <w:rFonts w:hint="eastAsia"/>
        </w:rPr>
        <w:t>（三）过渡期和实施日期的建议</w:t>
      </w:r>
    </w:p>
    <w:p>
      <w:pPr>
        <w:bidi w:val="0"/>
        <w:rPr>
          <w:rFonts w:eastAsia="方正仿宋_GBK" w:cs="Times New Roman"/>
          <w:szCs w:val="32"/>
        </w:rPr>
      </w:pPr>
      <w:r>
        <w:rPr>
          <w:rFonts w:hint="eastAsia"/>
        </w:rPr>
        <w:t>本标准为制定标准无过渡期建议；因生产企业、合作社等相关单位亟待</w:t>
      </w:r>
      <w:r>
        <w:rPr>
          <w:rFonts w:hint="eastAsia"/>
          <w:lang w:val="en-US" w:eastAsia="zh-CN"/>
        </w:rPr>
        <w:t>标准发布</w:t>
      </w:r>
      <w:r>
        <w:rPr>
          <w:rFonts w:hint="eastAsia"/>
        </w:rPr>
        <w:t>，因此建议标准在完成标准化主管部门合法、合规流程后，尽快实施。</w:t>
      </w:r>
    </w:p>
    <w:p>
      <w:pPr>
        <w:pStyle w:val="2"/>
        <w:bidi w:val="0"/>
      </w:pPr>
      <w:bookmarkStart w:id="26" w:name="_Toc5288"/>
      <w:bookmarkStart w:id="27" w:name="_Toc6881"/>
      <w:r>
        <w:t>十、涉及专利的有关说明</w:t>
      </w:r>
      <w:bookmarkEnd w:id="26"/>
      <w:bookmarkEnd w:id="27"/>
    </w:p>
    <w:p>
      <w:pPr>
        <w:bidi w:val="0"/>
      </w:pPr>
      <w:r>
        <w:t>本标准不涉及专利问题。</w:t>
      </w:r>
    </w:p>
    <w:p>
      <w:pPr>
        <w:pStyle w:val="2"/>
        <w:bidi w:val="0"/>
      </w:pPr>
      <w:bookmarkStart w:id="28" w:name="_Toc9237"/>
      <w:bookmarkStart w:id="29" w:name="_Toc7161"/>
      <w:r>
        <w:rPr>
          <w:rFonts w:hint="eastAsia"/>
          <w:lang w:val="en-US" w:eastAsia="zh-CN"/>
        </w:rPr>
        <w:t>十一、预期的经济、社会效益</w:t>
      </w:r>
      <w:bookmarkEnd w:id="28"/>
      <w:bookmarkEnd w:id="29"/>
    </w:p>
    <w:p>
      <w:pPr>
        <w:bidi w:val="0"/>
      </w:pPr>
      <w:r>
        <w:t>核桃低产林改造技术是短期内提高核桃林效益的重要途径，既能迅速使核桃坚果大幅增产，又不影响果农近期经济收入。因此，制定相应的核桃低产林改造技术规程对核桃低产林的改造具有规范和指导作用，对成都市核桃产业发展具有重要意义。标准发布实施后可使成都市现有核桃低产林改造3年后平均亩产60kg以上，改造5年后平均亩产100kg以上，远高于《核桃坚果丰产指标》（LY/T 3004.7-2018）中丰产标准，可为产业增效、林农增收做出积极贡献。</w:t>
      </w:r>
    </w:p>
    <w:p>
      <w:pPr>
        <w:pStyle w:val="4"/>
        <w:ind w:firstLine="560"/>
        <w:rPr>
          <w:rFonts w:ascii="Times New Roman" w:hAnsi="Times New Roman" w:cs="Times New Roman"/>
          <w:lang w:eastAsia="zh-CN" w:bidi="ar-SA"/>
        </w:rPr>
      </w:pPr>
    </w:p>
    <w:p>
      <w:pPr>
        <w:pStyle w:val="4"/>
        <w:ind w:left="0" w:leftChars="0" w:firstLine="2099" w:firstLineChars="656"/>
        <w:jc w:val="right"/>
        <w:rPr>
          <w:rFonts w:ascii="Times New Roman" w:hAnsi="Times New Roman" w:eastAsia="仿宋" w:cs="Times New Roman"/>
          <w:bCs/>
          <w:sz w:val="32"/>
          <w:szCs w:val="32"/>
          <w:lang w:eastAsia="zh-CN"/>
        </w:rPr>
      </w:pPr>
      <w:r>
        <w:rPr>
          <w:rFonts w:ascii="Times New Roman" w:hAnsi="Times New Roman" w:eastAsia="仿宋" w:cs="Times New Roman"/>
          <w:bCs/>
          <w:sz w:val="32"/>
          <w:szCs w:val="32"/>
          <w:lang w:eastAsia="zh-CN"/>
        </w:rPr>
        <w:t>《核桃低产林改造技术规程》标准起草组</w:t>
      </w:r>
    </w:p>
    <w:p>
      <w:pPr>
        <w:pStyle w:val="4"/>
        <w:ind w:left="0" w:leftChars="0" w:firstLine="4480" w:firstLineChars="1400"/>
        <w:jc w:val="both"/>
        <w:rPr>
          <w:rFonts w:hint="default" w:ascii="Times New Roman" w:hAnsi="Times New Roman" w:eastAsia="仿宋" w:cs="Times New Roman"/>
          <w:sz w:val="32"/>
          <w:szCs w:val="32"/>
          <w:lang w:val="en-US" w:eastAsia="zh-CN" w:bidi="ar-SA"/>
        </w:rPr>
      </w:pPr>
      <w:r>
        <w:rPr>
          <w:rFonts w:ascii="Times New Roman" w:hAnsi="Times New Roman" w:eastAsia="仿宋" w:cs="Times New Roman"/>
          <w:bCs/>
          <w:sz w:val="32"/>
          <w:szCs w:val="32"/>
          <w:lang w:eastAsia="zh-CN"/>
        </w:rPr>
        <w:t>2023年7月</w:t>
      </w:r>
      <w:r>
        <w:rPr>
          <w:rFonts w:hint="eastAsia" w:ascii="Times New Roman" w:hAnsi="Times New Roman" w:cs="Times New Roman"/>
          <w:bCs/>
          <w:sz w:val="32"/>
          <w:szCs w:val="32"/>
          <w:lang w:val="en-US" w:eastAsia="zh-CN"/>
        </w:rPr>
        <w:t>20日</w:t>
      </w:r>
    </w:p>
    <w:p>
      <w:pPr>
        <w:pStyle w:val="4"/>
        <w:ind w:left="0" w:leftChars="0" w:firstLine="640" w:firstLineChars="200"/>
        <w:rPr>
          <w:rFonts w:eastAsia="方正仿宋_GBK" w:cs="Times New Roman"/>
          <w:sz w:val="32"/>
          <w:szCs w:val="32"/>
        </w:rPr>
      </w:pPr>
    </w:p>
    <w:sectPr>
      <w:footerReference r:id="rId11" w:type="default"/>
      <w:pgSz w:w="11906" w:h="16838"/>
      <w:pgMar w:top="1440" w:right="1800" w:bottom="1440" w:left="1800" w:header="851" w:footer="992" w:gutter="0"/>
      <w:pgNumType w:fmt="decimal" w:start="1"/>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640"/>
      </w:pPr>
      <w:r>
        <w:separator/>
      </w:r>
    </w:p>
  </w:endnote>
  <w:endnote w:type="continuationSeparator" w:id="1">
    <w:p>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方正小标宋">
    <w:altName w:val="方正小标宋_GBK"/>
    <w:panose1 w:val="00000000000000000000"/>
    <w:charset w:val="00"/>
    <w:family w:val="roman"/>
    <w:pitch w:val="default"/>
    <w:sig w:usb0="00000000" w:usb1="00000000" w:usb2="00000000" w:usb3="00000000" w:csb0="00040001"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640"/>
      </w:pPr>
      <w:r>
        <w:separator/>
      </w:r>
    </w:p>
  </w:footnote>
  <w:footnote w:type="continuationSeparator" w:id="1">
    <w:p>
      <w:pPr>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Q4YTI5MjMzMzIyZTMzNzc4MDcxN2ZjNjE1ZDQ4NGYifQ=="/>
  </w:docVars>
  <w:rsids>
    <w:rsidRoot w:val="4F38730F"/>
    <w:rsid w:val="04282963"/>
    <w:rsid w:val="223004D7"/>
    <w:rsid w:val="326510AA"/>
    <w:rsid w:val="4F3873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firstLine="420" w:firstLineChars="200"/>
      <w:jc w:val="both"/>
    </w:pPr>
    <w:rPr>
      <w:rFonts w:ascii="Times New Roman" w:hAnsi="Times New Roman" w:eastAsia="仿宋" w:cs="Times New Roman"/>
      <w:kern w:val="2"/>
      <w:sz w:val="32"/>
      <w:szCs w:val="22"/>
      <w:lang w:val="en-US" w:eastAsia="zh-CN" w:bidi="ar-SA"/>
    </w:rPr>
  </w:style>
  <w:style w:type="paragraph" w:styleId="2">
    <w:name w:val="heading 1"/>
    <w:basedOn w:val="1"/>
    <w:next w:val="1"/>
    <w:qFormat/>
    <w:uiPriority w:val="99"/>
    <w:pPr>
      <w:keepNext/>
      <w:keepLines/>
      <w:ind w:firstLine="0" w:firstLineChars="0"/>
      <w:jc w:val="left"/>
      <w:outlineLvl w:val="0"/>
    </w:pPr>
    <w:rPr>
      <w:rFonts w:eastAsia="黑体"/>
      <w:bCs/>
      <w:kern w:val="44"/>
      <w:szCs w:val="32"/>
    </w:rPr>
  </w:style>
  <w:style w:type="paragraph" w:styleId="3">
    <w:name w:val="heading 2"/>
    <w:basedOn w:val="1"/>
    <w:next w:val="1"/>
    <w:qFormat/>
    <w:uiPriority w:val="0"/>
    <w:pPr>
      <w:keepNext/>
      <w:keepLines/>
      <w:adjustRightInd w:val="0"/>
      <w:spacing w:line="240" w:lineRule="auto"/>
      <w:outlineLvl w:val="1"/>
    </w:pPr>
    <w:rPr>
      <w:rFonts w:eastAsia="楷体"/>
      <w:b/>
      <w:bCs/>
      <w:szCs w:val="32"/>
    </w:rPr>
  </w:style>
  <w:style w:type="character" w:default="1" w:styleId="9">
    <w:name w:val="Default Paragraph Font"/>
    <w:semiHidden/>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4">
    <w:name w:val="Normal Indent"/>
    <w:basedOn w:val="1"/>
    <w:unhideWhenUsed/>
    <w:qFormat/>
    <w:uiPriority w:val="99"/>
    <w:pPr>
      <w:widowControl/>
      <w:snapToGrid w:val="0"/>
      <w:spacing w:after="200" w:line="500" w:lineRule="exact"/>
      <w:ind w:firstLine="200"/>
      <w:jc w:val="left"/>
    </w:pPr>
    <w:rPr>
      <w:rFonts w:ascii="Calibri" w:hAnsi="Calibri"/>
      <w:kern w:val="0"/>
      <w:szCs w:val="20"/>
      <w:lang w:eastAsia="en-US" w:bidi="en-US"/>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pPr>
    <w:rPr>
      <w:sz w:val="18"/>
    </w:rPr>
  </w:style>
  <w:style w:type="paragraph" w:styleId="7">
    <w:name w:val="Title"/>
    <w:basedOn w:val="1"/>
    <w:qFormat/>
    <w:uiPriority w:val="0"/>
    <w:pPr>
      <w:spacing w:beforeLines="0" w:beforeAutospacing="0" w:afterLines="0" w:afterAutospacing="0"/>
      <w:jc w:val="center"/>
      <w:outlineLvl w:val="0"/>
    </w:pPr>
    <w:rPr>
      <w:rFonts w:ascii="Arial" w:hAnsi="Arial" w:eastAsia="方正小标宋简体"/>
      <w:sz w:val="44"/>
    </w:rPr>
  </w:style>
  <w:style w:type="paragraph" w:customStyle="1" w:styleId="10">
    <w:name w:val="标准文件_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1">
    <w:name w:val="WPSOffice手动目录 1"/>
    <w:qFormat/>
    <w:uiPriority w:val="0"/>
    <w:pPr>
      <w:ind w:leftChars="0"/>
    </w:pPr>
    <w:rPr>
      <w:rFonts w:asciiTheme="minorHAnsi" w:hAnsiTheme="minorHAnsi" w:eastAsiaTheme="minorEastAsia" w:cstheme="minorBidi"/>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11</TotalTime>
  <ScaleCrop>false</ScaleCrop>
  <LinksUpToDate>false</LinksUpToDate>
  <CharactersWithSpaces>0</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2023-07-26T01:51:00Z</dcterms:created>
  <dc:creator>歆慕长风</dc:creator>
  <cp:lastModifiedBy>歆慕长风</cp:lastModifiedBy>
  <dcterms:modified xsi:type="dcterms:W3CDTF">2023-08-01T08:41:50Z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2BD24C212B55495AA2C4EC0B674C86E2_11</vt:lpwstr>
  </property>
</Properties>
</file>