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tiff" ContentType="image/tiff"/>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8"/>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9"/>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p>
        </w:tc>
        <w:tc>
          <w:tcPr>
            <w:tcW w:w="8855" w:type="dxa"/>
          </w:tcPr>
          <w:p>
            <w:pPr>
              <w:pStyle w:val="19"/>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 xml:space="preserve">65.020.20 </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p>
        </w:tc>
        <w:tc>
          <w:tcPr>
            <w:tcW w:w="8855" w:type="dxa"/>
          </w:tcPr>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P 53</w:t>
            </w:r>
            <w:r>
              <w:rPr>
                <w:rFonts w:ascii="黑体" w:hAnsi="黑体" w:eastAsia="黑体"/>
                <w:sz w:val="21"/>
                <w:szCs w:val="21"/>
              </w:rPr>
              <w:fldChar w:fldCharType="end"/>
            </w:r>
            <w:bookmarkEnd w:id="1"/>
          </w:p>
        </w:tc>
      </w:tr>
    </w:tbl>
    <w:tbl>
      <w:tblPr>
        <w:tblStyle w:val="28"/>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50"/>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40"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fldChar w:fldCharType="begin">
                <w:ffData>
                  <w:name w:val="c1"/>
                  <w:enabled/>
                  <w:calcOnExit w:val="0"/>
                  <w:textInput>
                    <w:maxLength w:val="8"/>
                  </w:textInput>
                </w:ffData>
              </w:fldChar>
            </w:r>
            <w:bookmarkStart w:id="3" w:name="c1"/>
            <w:r>
              <w:instrText xml:space="preserve"> FORMTEXT </w:instrText>
            </w:r>
            <w:r>
              <w:fldChar w:fldCharType="separate"/>
            </w:r>
            <w:r>
              <w:t>5101</w:t>
            </w:r>
            <w:r>
              <w:fldChar w:fldCharType="end"/>
            </w:r>
            <w:bookmarkEnd w:id="3"/>
          </w:p>
        </w:tc>
      </w:tr>
    </w:tbl>
    <w:p>
      <w:pPr>
        <w:pStyle w:val="51"/>
        <w:framePr w:w="9639" w:h="624" w:hRule="exact" w:hSpace="181" w:vSpace="181"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四川省成都市</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6"/>
        <w:rPr>
          <w:lang w:val="fr-FR"/>
        </w:rPr>
      </w:pPr>
      <w:r>
        <w:rPr>
          <w:lang w:val="fr-FR"/>
        </w:rPr>
        <w:t>DB</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t>5101</w:t>
      </w:r>
      <w:r>
        <w:rPr>
          <w:lang w:val="fr-FR"/>
        </w:rPr>
        <w:t>/T</w:t>
      </w:r>
      <w:r>
        <w:fldChar w:fldCharType="end"/>
      </w:r>
      <w:bookmarkEnd w:id="5"/>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pPr>
        <w:pStyle w:val="197"/>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60288" behindDoc="0" locked="0" layoutInCell="1" allowOverlap="0">
                <wp:simplePos x="0" y="0"/>
                <wp:positionH relativeFrom="page">
                  <wp:posOffset>900430</wp:posOffset>
                </wp:positionH>
                <wp:positionV relativeFrom="page">
                  <wp:posOffset>2700020</wp:posOffset>
                </wp:positionV>
                <wp:extent cx="6120130" cy="0"/>
                <wp:effectExtent l="0" t="0" r="0" b="0"/>
                <wp:wrapNone/>
                <wp:docPr id="73"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直接连接符 2" o:spid="_x0000_s1026" o:spt="20" style="position:absolute;left:0pt;margin-left:70.9pt;margin-top:212.6pt;height:0pt;width:481.9pt;mso-position-horizontal-relative:page;mso-position-vertical-relative:page;z-index:251660288;mso-width-relative:page;mso-height-relative:page;" filled="f" stroked="t" coordsize="21600,21600" o:allowoverlap="f" o:gfxdata="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Cd/iPM2AAAAAwBAAAP&#10;AAAAAAAAAAEAIAAAADgAAABkcnMvZG93bnJldi54bWxQSwECFAAUAAAACACHTuJAFvReickBAABd&#10;AwAADgAAAAAAAAABACAAAAA9AQAAZHJzL2Uyb0RvYy54bWxQSwUGAAAAAAYABgBZAQAAeAUAAAAA&#10;">
                <v:fill on="f" focussize="0,0"/>
                <v:stroke color="#000000" joinstyle="round"/>
                <v:imagedata o:title=""/>
                <o:lock v:ext="edit" aspectratio="f"/>
              </v:line>
            </w:pict>
          </mc:Fallback>
        </mc:AlternateContent>
      </w:r>
    </w:p>
    <w:p>
      <w:pPr>
        <w:pStyle w:val="51"/>
        <w:framePr w:w="9639" w:h="6976" w:hRule="exact" w:hSpace="0" w:vSpace="0" w:hAnchor="page" w:y="6408"/>
        <w:jc w:val="center"/>
        <w:rPr>
          <w:rFonts w:ascii="黑体" w:hAnsi="黑体" w:eastAsia="黑体"/>
          <w:b w:val="0"/>
          <w:bCs w:val="0"/>
          <w:w w:val="100"/>
        </w:rPr>
      </w:pPr>
    </w:p>
    <w:p>
      <w:pPr>
        <w:pStyle w:val="198"/>
        <w:framePr w:h="6974" w:hRule="exact" w:x="1419" w:anchorLock="1"/>
        <w:rPr>
          <w:rFonts w:hint="eastAsia"/>
        </w:rPr>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成都市油橄榄果园建园和田间管理</w:t>
      </w:r>
    </w:p>
    <w:p>
      <w:pPr>
        <w:pStyle w:val="198"/>
        <w:framePr w:h="6974" w:hRule="exact" w:x="1419" w:anchorLock="1"/>
      </w:pPr>
      <w:r>
        <w:t>技术规范</w:t>
      </w:r>
      <w:r>
        <w:fldChar w:fldCharType="end"/>
      </w:r>
      <w:bookmarkEnd w:id="9"/>
    </w:p>
    <w:p>
      <w:pPr>
        <w:framePr w:w="9639" w:h="6974" w:hRule="exact" w:wrap="around" w:vAnchor="page" w:hAnchor="page" w:x="1419" w:y="6408" w:anchorLock="1"/>
        <w:ind w:left="-1418"/>
      </w:pPr>
    </w:p>
    <w:p>
      <w:pPr>
        <w:pStyle w:val="126"/>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hint="eastAsia" w:eastAsia="黑体"/>
          <w:szCs w:val="28"/>
        </w:rPr>
        <w:t>点击此处添加标准名称的英文译名</w:t>
      </w:r>
      <w:r>
        <w:rPr>
          <w:rFonts w:eastAsia="黑体"/>
          <w:szCs w:val="28"/>
        </w:rPr>
        <w:fldChar w:fldCharType="end"/>
      </w:r>
      <w:bookmarkEnd w:id="10"/>
    </w:p>
    <w:p>
      <w:pPr>
        <w:framePr w:w="9639" w:h="6974" w:hRule="exact" w:wrap="around" w:vAnchor="page" w:hAnchor="page" w:x="1419" w:y="6408" w:anchorLock="1"/>
        <w:spacing w:line="760" w:lineRule="exact"/>
        <w:ind w:left="-1418"/>
      </w:pPr>
    </w:p>
    <w:p>
      <w:pPr>
        <w:pStyle w:val="126"/>
        <w:framePr w:w="9639" w:h="6974" w:hRule="exact" w:wrap="around" w:vAnchor="page" w:hAnchor="page" w:x="1419" w:y="6408" w:anchorLock="1"/>
        <w:textAlignment w:val="bottom"/>
        <w:rPr>
          <w:rFonts w:eastAsia="黑体"/>
          <w:szCs w:val="28"/>
        </w:rPr>
      </w:pPr>
    </w:p>
    <w:p>
      <w:pPr>
        <w:pStyle w:val="126"/>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6"/>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6"/>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4"/>
        <w:framePr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rPr>
          <w:rFonts w:ascii="黑体"/>
        </w:rPr>
        <w:t>-</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rPr>
          <w:rFonts w:ascii="黑体"/>
        </w:rPr>
        <w:t>-</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5"/>
        <w:framePr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rPr>
          <w:rFonts w:ascii="黑体"/>
        </w:rPr>
        <w:t>-</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rPr>
          <w:rFonts w:ascii="黑体"/>
        </w:rPr>
        <w:t>-</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2"/>
        <w:framePr w:h="584" w:hRule="exact" w:hSpace="181" w:vSpace="181"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Ansi="黑体"/>
          <w:w w:val="100"/>
          <w:sz w:val="28"/>
        </w:rPr>
        <w:t>成都市市场监督管理局</w:t>
      </w:r>
      <w:r>
        <w:rPr>
          <w:rFonts w:hAnsi="黑体"/>
          <w:w w:val="100"/>
          <w:sz w:val="28"/>
        </w:rPr>
        <w:fldChar w:fldCharType="end"/>
      </w:r>
      <w:bookmarkEnd w:id="20"/>
      <w:r>
        <w:rPr>
          <w:rFonts w:ascii="Times New Roman"/>
          <w:w w:val="100"/>
          <w:sz w:val="28"/>
        </w:rPr>
        <w:t>  </w:t>
      </w:r>
      <w:r>
        <w:rPr>
          <w:rStyle w:val="230"/>
          <w:rFonts w:hint="eastAsia" w:hAnsi="黑体"/>
          <w:position w:val="0"/>
        </w:rPr>
        <w:t>发</w:t>
      </w:r>
      <w:r>
        <w:rPr>
          <w:rStyle w:val="230"/>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ascii="宋体" w:hAnsi="宋体"/>
          <w:sz w:val="28"/>
          <w:szCs w:val="28"/>
        </w:rPr>
        <mc:AlternateContent>
          <mc:Choice Requires="wps">
            <w:drawing>
              <wp:anchor distT="0" distB="0" distL="114300" distR="114300" simplePos="0" relativeHeight="251663360" behindDoc="0" locked="1" layoutInCell="1" allowOverlap="1">
                <wp:simplePos x="0" y="0"/>
                <wp:positionH relativeFrom="page">
                  <wp:posOffset>899795</wp:posOffset>
                </wp:positionH>
                <wp:positionV relativeFrom="page">
                  <wp:posOffset>9252585</wp:posOffset>
                </wp:positionV>
                <wp:extent cx="6120130" cy="0"/>
                <wp:effectExtent l="0" t="0" r="0" b="0"/>
                <wp:wrapNone/>
                <wp:docPr id="5"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直接连接符 1" o:spid="_x0000_s1026" o:spt="20" style="position:absolute;left:0pt;margin-left:70.85pt;margin-top:728.55pt;height:0pt;width:481.9pt;mso-position-horizontal-relative:page;mso-position-vertical-relative:page;z-index:251663360;mso-width-relative:page;mso-height-relative:page;" filled="f" stroked="t" coordsize="21600,21600" o:gfxdata="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D5qdGL1wAAAA4BAAAPAAAA&#10;AAAAAAEAIAAAADgAAABkcnMvZG93bnJldi54bWxQSwECFAAUAAAACACHTuJA2sW4y8cBAABcAwAA&#10;DgAAAAAAAAABACAAAAA8AQAAZHJzL2Uyb0RvYy54bWxQSwUGAAAAAAYABgBZAQAAdQUAAAAA&#10;">
                <v:fill on="f" focussize="0,0"/>
                <v:stroke color="#000000" joinstyle="round"/>
                <v:imagedata o:title=""/>
                <o:lock v:ext="edit" aspectratio="f"/>
                <w10:anchorlock/>
              </v:line>
            </w:pict>
          </mc:Fallback>
        </mc:AlternateContent>
      </w:r>
    </w:p>
    <w:p>
      <w:pPr>
        <w:pStyle w:val="92"/>
        <w:spacing w:after="468"/>
      </w:pPr>
      <w:bookmarkStart w:id="21" w:name="BookMark1"/>
      <w:bookmarkStart w:id="22" w:name="_Toc139615263"/>
      <w:bookmarkStart w:id="23" w:name="_Toc138235397"/>
      <w:bookmarkStart w:id="24" w:name="_Toc139558895"/>
      <w:bookmarkStart w:id="25" w:name="_Toc138950411"/>
      <w:bookmarkStart w:id="26" w:name="_Toc139620718"/>
      <w:bookmarkStart w:id="27" w:name="_Toc139371241"/>
      <w:bookmarkStart w:id="28" w:name="_Toc139031621"/>
      <w:bookmarkStart w:id="29" w:name="_Toc139562827"/>
      <w:r>
        <w:rPr>
          <w:rFonts w:hint="eastAsia"/>
          <w:spacing w:val="320"/>
        </w:rPr>
        <w:t>目</w:t>
      </w:r>
      <w:r>
        <w:rPr>
          <w:rFonts w:hint="eastAsia"/>
        </w:rPr>
        <w:t>次</w:t>
      </w:r>
    </w:p>
    <w:p>
      <w:pPr>
        <w:pStyle w:val="20"/>
        <w:tabs>
          <w:tab w:val="right" w:leader="dot" w:pos="9344"/>
        </w:tabs>
        <w:rPr>
          <w:rFonts w:asciiTheme="minorHAnsi" w:hAnsiTheme="minorHAnsi" w:eastAsiaTheme="minorEastAsia" w:cstheme="minorBidi"/>
          <w:szCs w:val="22"/>
        </w:rPr>
      </w:pPr>
      <w:r>
        <w:fldChar w:fldCharType="begin"/>
      </w:r>
      <w:r>
        <w:instrText xml:space="preserve"> TOC \o "1-1" \h </w:instrText>
      </w:r>
      <w:r>
        <w:fldChar w:fldCharType="separate"/>
      </w:r>
      <w:r>
        <w:fldChar w:fldCharType="begin"/>
      </w:r>
      <w:r>
        <w:instrText xml:space="preserve"> HYPERLINK \l "_Toc141195294" </w:instrText>
      </w:r>
      <w:r>
        <w:fldChar w:fldCharType="separate"/>
      </w:r>
      <w:r>
        <w:rPr>
          <w:rStyle w:val="33"/>
          <w:rFonts w:hint="eastAsia"/>
          <w:spacing w:val="320"/>
        </w:rPr>
        <w:t>前</w:t>
      </w:r>
      <w:r>
        <w:rPr>
          <w:rStyle w:val="33"/>
          <w:rFonts w:hint="eastAsia"/>
        </w:rPr>
        <w:t>言</w:t>
      </w:r>
      <w:r>
        <w:tab/>
      </w:r>
      <w:r>
        <w:fldChar w:fldCharType="begin"/>
      </w:r>
      <w:r>
        <w:instrText xml:space="preserve"> PAGEREF _Toc141195294 \h </w:instrText>
      </w:r>
      <w:r>
        <w:fldChar w:fldCharType="separate"/>
      </w:r>
      <w:r>
        <w:t>II</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"_Toc141195295" </w:instrText>
      </w:r>
      <w:r>
        <w:fldChar w:fldCharType="separate"/>
      </w:r>
      <w:r>
        <w:rPr>
          <w:rStyle w:val="33"/>
        </w:rPr>
        <w:t>1</w:t>
      </w:r>
      <w:r>
        <w:rPr>
          <w:rStyle w:val="33"/>
          <w:rFonts w:hint="eastAsia"/>
        </w:rPr>
        <w:t xml:space="preserve"> 范围</w:t>
      </w:r>
      <w:r>
        <w:tab/>
      </w:r>
      <w:r>
        <w:fldChar w:fldCharType="begin"/>
      </w:r>
      <w:r>
        <w:instrText xml:space="preserve"> PAGEREF _Toc141195295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"_Toc141195296" </w:instrText>
      </w:r>
      <w:r>
        <w:fldChar w:fldCharType="separate"/>
      </w:r>
      <w:r>
        <w:rPr>
          <w:rStyle w:val="33"/>
        </w:rPr>
        <w:t>2</w:t>
      </w:r>
      <w:r>
        <w:rPr>
          <w:rStyle w:val="33"/>
          <w:rFonts w:hint="eastAsia"/>
        </w:rPr>
        <w:t xml:space="preserve"> 规范性引用文件</w:t>
      </w:r>
      <w:r>
        <w:tab/>
      </w:r>
      <w:r>
        <w:fldChar w:fldCharType="begin"/>
      </w:r>
      <w:r>
        <w:instrText xml:space="preserve"> PAGEREF _Toc141195296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"_Toc141195297" </w:instrText>
      </w:r>
      <w:r>
        <w:fldChar w:fldCharType="separate"/>
      </w:r>
      <w:r>
        <w:rPr>
          <w:rStyle w:val="33"/>
        </w:rPr>
        <w:t>3</w:t>
      </w:r>
      <w:r>
        <w:rPr>
          <w:rStyle w:val="33"/>
          <w:rFonts w:hint="eastAsia"/>
        </w:rPr>
        <w:t xml:space="preserve"> 术语和定义</w:t>
      </w:r>
      <w:r>
        <w:tab/>
      </w:r>
      <w:r>
        <w:fldChar w:fldCharType="begin"/>
      </w:r>
      <w:r>
        <w:instrText xml:space="preserve"> PAGEREF _Toc141195297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"_Toc141195298" </w:instrText>
      </w:r>
      <w:r>
        <w:fldChar w:fldCharType="separate"/>
      </w:r>
      <w:r>
        <w:rPr>
          <w:rStyle w:val="33"/>
        </w:rPr>
        <w:t>4</w:t>
      </w:r>
      <w:r>
        <w:rPr>
          <w:rStyle w:val="33"/>
          <w:rFonts w:hint="eastAsia"/>
        </w:rPr>
        <w:t xml:space="preserve"> 园地选择</w:t>
      </w:r>
      <w:r>
        <w:tab/>
      </w:r>
      <w:r>
        <w:fldChar w:fldCharType="begin"/>
      </w:r>
      <w:r>
        <w:instrText xml:space="preserve"> PAGEREF _Toc141195298 \h </w:instrText>
      </w:r>
      <w:r>
        <w:fldChar w:fldCharType="separate"/>
      </w:r>
      <w:r>
        <w:t>2</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"_Toc141195299" </w:instrText>
      </w:r>
      <w:r>
        <w:fldChar w:fldCharType="separate"/>
      </w:r>
      <w:r>
        <w:rPr>
          <w:rStyle w:val="33"/>
        </w:rPr>
        <w:t>5</w:t>
      </w:r>
      <w:r>
        <w:rPr>
          <w:rStyle w:val="33"/>
          <w:rFonts w:hint="eastAsia"/>
        </w:rPr>
        <w:t xml:space="preserve"> 园区规划</w:t>
      </w:r>
      <w:r>
        <w:tab/>
      </w:r>
      <w:r>
        <w:fldChar w:fldCharType="begin"/>
      </w:r>
      <w:r>
        <w:instrText xml:space="preserve"> PAGEREF _Toc141195299 \h </w:instrText>
      </w:r>
      <w:r>
        <w:fldChar w:fldCharType="separate"/>
      </w:r>
      <w:r>
        <w:t>2</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"_Toc141195300" </w:instrText>
      </w:r>
      <w:r>
        <w:fldChar w:fldCharType="separate"/>
      </w:r>
      <w:r>
        <w:rPr>
          <w:rStyle w:val="33"/>
        </w:rPr>
        <w:t>6</w:t>
      </w:r>
      <w:r>
        <w:rPr>
          <w:rStyle w:val="33"/>
          <w:rFonts w:hint="eastAsia" w:ascii="Times New Roman"/>
        </w:rPr>
        <w:t xml:space="preserve"> 品种选择和配置</w:t>
      </w:r>
      <w:r>
        <w:tab/>
      </w:r>
      <w:r>
        <w:fldChar w:fldCharType="begin"/>
      </w:r>
      <w:r>
        <w:instrText xml:space="preserve"> PAGEREF _Toc141195300 \h </w:instrText>
      </w:r>
      <w:r>
        <w:fldChar w:fldCharType="separate"/>
      </w:r>
      <w:r>
        <w:t>2</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"_Toc141195301" </w:instrText>
      </w:r>
      <w:r>
        <w:fldChar w:fldCharType="separate"/>
      </w:r>
      <w:r>
        <w:rPr>
          <w:rStyle w:val="33"/>
        </w:rPr>
        <w:t>7</w:t>
      </w:r>
      <w:r>
        <w:rPr>
          <w:rStyle w:val="33"/>
          <w:rFonts w:hint="eastAsia"/>
        </w:rPr>
        <w:t xml:space="preserve"> 整地</w:t>
      </w:r>
      <w:r>
        <w:tab/>
      </w:r>
      <w:r>
        <w:fldChar w:fldCharType="begin"/>
      </w:r>
      <w:r>
        <w:instrText xml:space="preserve"> PAGEREF _Toc141195301 \h </w:instrText>
      </w:r>
      <w:r>
        <w:fldChar w:fldCharType="separate"/>
      </w:r>
      <w:r>
        <w:t>3</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"_Toc141195302" </w:instrText>
      </w:r>
      <w:r>
        <w:fldChar w:fldCharType="separate"/>
      </w:r>
      <w:r>
        <w:rPr>
          <w:rStyle w:val="33"/>
        </w:rPr>
        <w:t>8</w:t>
      </w:r>
      <w:r>
        <w:rPr>
          <w:rStyle w:val="33"/>
          <w:rFonts w:hint="eastAsia" w:ascii="Times New Roman"/>
        </w:rPr>
        <w:t xml:space="preserve"> 栽植</w:t>
      </w:r>
      <w:r>
        <w:tab/>
      </w:r>
      <w:r>
        <w:fldChar w:fldCharType="begin"/>
      </w:r>
      <w:r>
        <w:instrText xml:space="preserve"> PAGEREF _Toc141195302 \h </w:instrText>
      </w:r>
      <w:r>
        <w:fldChar w:fldCharType="separate"/>
      </w:r>
      <w:r>
        <w:t>3</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"_Toc141195303" </w:instrText>
      </w:r>
      <w:r>
        <w:fldChar w:fldCharType="separate"/>
      </w:r>
      <w:r>
        <w:rPr>
          <w:rStyle w:val="33"/>
        </w:rPr>
        <w:t>9</w:t>
      </w:r>
      <w:r>
        <w:rPr>
          <w:rStyle w:val="33"/>
          <w:rFonts w:hint="eastAsia" w:ascii="Times New Roman"/>
        </w:rPr>
        <w:t xml:space="preserve"> 栽后田间管理</w:t>
      </w:r>
      <w:r>
        <w:tab/>
      </w:r>
      <w:r>
        <w:fldChar w:fldCharType="begin"/>
      </w:r>
      <w:r>
        <w:instrText xml:space="preserve"> PAGEREF _Toc141195303 \h </w:instrText>
      </w:r>
      <w:r>
        <w:fldChar w:fldCharType="separate"/>
      </w:r>
      <w:r>
        <w:t>4</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"_Toc141195304" </w:instrText>
      </w:r>
      <w:r>
        <w:fldChar w:fldCharType="separate"/>
      </w:r>
      <w:r>
        <w:rPr>
          <w:rStyle w:val="33"/>
          <w:rFonts w:hint="eastAsia"/>
          <w:spacing w:val="100"/>
        </w:rPr>
        <w:t>附录A</w:t>
      </w:r>
      <w:r>
        <w:rPr>
          <w:rStyle w:val="33"/>
          <w:rFonts w:hint="eastAsia"/>
        </w:rPr>
        <w:t xml:space="preserve"> （资料性）</w:t>
      </w:r>
      <w:r>
        <w:rPr>
          <w:rStyle w:val="33"/>
        </w:rPr>
        <w:t xml:space="preserve"> </w:t>
      </w:r>
      <w:r>
        <w:rPr>
          <w:rStyle w:val="33"/>
          <w:rFonts w:hint="eastAsia"/>
          <w:bCs/>
        </w:rPr>
        <w:t>立地分类与油橄榄适宜性评价</w:t>
      </w:r>
      <w:r>
        <w:tab/>
      </w:r>
      <w:r>
        <w:fldChar w:fldCharType="begin"/>
      </w:r>
      <w:r>
        <w:instrText xml:space="preserve"> PAGEREF _Toc141195304 \h </w:instrText>
      </w:r>
      <w:r>
        <w:fldChar w:fldCharType="separate"/>
      </w:r>
      <w:r>
        <w:t>7</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"_Toc141195305" </w:instrText>
      </w:r>
      <w:r>
        <w:fldChar w:fldCharType="separate"/>
      </w:r>
      <w:r>
        <w:rPr>
          <w:rStyle w:val="33"/>
          <w:rFonts w:hint="eastAsia"/>
          <w:spacing w:val="100"/>
        </w:rPr>
        <w:t>附录B</w:t>
      </w:r>
      <w:r>
        <w:rPr>
          <w:rStyle w:val="33"/>
          <w:rFonts w:hint="eastAsia"/>
        </w:rPr>
        <w:t xml:space="preserve"> （资料性）</w:t>
      </w:r>
      <w:r>
        <w:rPr>
          <w:rStyle w:val="33"/>
        </w:rPr>
        <w:t xml:space="preserve"> </w:t>
      </w:r>
      <w:r>
        <w:rPr>
          <w:rStyle w:val="33"/>
          <w:rFonts w:hint="eastAsia"/>
        </w:rPr>
        <w:t>油橄榄建园整地方法</w:t>
      </w:r>
      <w:r>
        <w:tab/>
      </w:r>
      <w:r>
        <w:fldChar w:fldCharType="begin"/>
      </w:r>
      <w:r>
        <w:instrText xml:space="preserve"> PAGEREF _Toc141195305 \h </w:instrText>
      </w:r>
      <w:r>
        <w:fldChar w:fldCharType="separate"/>
      </w:r>
      <w:r>
        <w:t>9</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"_Toc141195306" </w:instrText>
      </w:r>
      <w:r>
        <w:fldChar w:fldCharType="separate"/>
      </w:r>
      <w:r>
        <w:rPr>
          <w:rStyle w:val="33"/>
          <w:rFonts w:hint="eastAsia"/>
          <w:spacing w:val="100"/>
        </w:rPr>
        <w:t>附录C</w:t>
      </w:r>
      <w:r>
        <w:rPr>
          <w:rStyle w:val="33"/>
          <w:rFonts w:hint="eastAsia"/>
        </w:rPr>
        <w:t xml:space="preserve"> （规范性）</w:t>
      </w:r>
      <w:r>
        <w:rPr>
          <w:rStyle w:val="33"/>
        </w:rPr>
        <w:t xml:space="preserve"> </w:t>
      </w:r>
      <w:r>
        <w:rPr>
          <w:rStyle w:val="33"/>
          <w:rFonts w:hint="eastAsia"/>
        </w:rPr>
        <w:t>油橄榄果园施肥方法</w:t>
      </w:r>
      <w:r>
        <w:tab/>
      </w:r>
      <w:r>
        <w:fldChar w:fldCharType="begin"/>
      </w:r>
      <w:r>
        <w:instrText xml:space="preserve"> PAGEREF _Toc141195306 \h </w:instrText>
      </w:r>
      <w:r>
        <w:fldChar w:fldCharType="separate"/>
      </w:r>
      <w:r>
        <w:t>10</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"_Toc141195307" </w:instrText>
      </w:r>
      <w:r>
        <w:fldChar w:fldCharType="separate"/>
      </w:r>
      <w:r>
        <w:rPr>
          <w:rStyle w:val="33"/>
          <w:rFonts w:hint="eastAsia"/>
          <w:spacing w:val="100"/>
        </w:rPr>
        <w:t>附录D</w:t>
      </w:r>
      <w:r>
        <w:rPr>
          <w:rStyle w:val="33"/>
          <w:rFonts w:hint="eastAsia"/>
        </w:rPr>
        <w:t xml:space="preserve"> （规范性）</w:t>
      </w:r>
      <w:r>
        <w:rPr>
          <w:rStyle w:val="33"/>
        </w:rPr>
        <w:t xml:space="preserve"> </w:t>
      </w:r>
      <w:r>
        <w:rPr>
          <w:rStyle w:val="33"/>
          <w:rFonts w:hint="eastAsia"/>
        </w:rPr>
        <w:t>油橄榄果园整形修剪的树形选择</w:t>
      </w:r>
      <w:r>
        <w:tab/>
      </w:r>
      <w:r>
        <w:fldChar w:fldCharType="begin"/>
      </w:r>
      <w:r>
        <w:instrText xml:space="preserve"> PAGEREF _Toc141195307 \h </w:instrText>
      </w:r>
      <w:r>
        <w:fldChar w:fldCharType="separate"/>
      </w:r>
      <w:r>
        <w:t>12</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"_Toc141195308" </w:instrText>
      </w:r>
      <w:r>
        <w:fldChar w:fldCharType="separate"/>
      </w:r>
      <w:r>
        <w:rPr>
          <w:rStyle w:val="33"/>
          <w:rFonts w:hint="eastAsia"/>
          <w:spacing w:val="100"/>
        </w:rPr>
        <w:t>附录E</w:t>
      </w:r>
      <w:r>
        <w:rPr>
          <w:rStyle w:val="33"/>
          <w:rFonts w:hint="eastAsia"/>
        </w:rPr>
        <w:t xml:space="preserve"> （规范性）</w:t>
      </w:r>
      <w:r>
        <w:rPr>
          <w:rStyle w:val="33"/>
        </w:rPr>
        <w:t xml:space="preserve"> </w:t>
      </w:r>
      <w:r>
        <w:rPr>
          <w:rStyle w:val="33"/>
          <w:rFonts w:hint="eastAsia"/>
          <w:bCs/>
        </w:rPr>
        <w:t>油橄榄主要病虫害特征及防治方法</w:t>
      </w:r>
      <w:r>
        <w:tab/>
      </w:r>
      <w:r>
        <w:fldChar w:fldCharType="begin"/>
      </w:r>
      <w:r>
        <w:instrText xml:space="preserve"> PAGEREF _Toc141195308 \h </w:instrText>
      </w:r>
      <w:r>
        <w:fldChar w:fldCharType="separate"/>
      </w:r>
      <w:r>
        <w:t>14</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"_Toc141195309" </w:instrText>
      </w:r>
      <w:r>
        <w:fldChar w:fldCharType="separate"/>
      </w:r>
      <w:r>
        <w:rPr>
          <w:rStyle w:val="33"/>
          <w:rFonts w:hint="eastAsia"/>
          <w:spacing w:val="100"/>
        </w:rPr>
        <w:t>附录F</w:t>
      </w:r>
      <w:r>
        <w:rPr>
          <w:rStyle w:val="33"/>
          <w:rFonts w:hint="eastAsia"/>
        </w:rPr>
        <w:t xml:space="preserve"> （规范性）</w:t>
      </w:r>
      <w:r>
        <w:rPr>
          <w:rStyle w:val="33"/>
        </w:rPr>
        <w:t xml:space="preserve"> </w:t>
      </w:r>
      <w:r>
        <w:rPr>
          <w:rStyle w:val="33"/>
          <w:rFonts w:hint="eastAsia"/>
          <w:bCs/>
        </w:rPr>
        <w:t>油橄榄果园周年管理历</w:t>
      </w:r>
      <w:r>
        <w:tab/>
      </w:r>
      <w:r>
        <w:fldChar w:fldCharType="begin"/>
      </w:r>
      <w:r>
        <w:instrText xml:space="preserve"> PAGEREF _Toc141195309 \h </w:instrText>
      </w:r>
      <w:r>
        <w:fldChar w:fldCharType="separate"/>
      </w:r>
      <w:r>
        <w:t>18</w:t>
      </w:r>
      <w:r>
        <w:fldChar w:fldCharType="end"/>
      </w:r>
      <w:r>
        <w:fldChar w:fldCharType="end"/>
      </w:r>
    </w:p>
    <w:p>
      <w:pPr>
        <w:pStyle w:val="92"/>
        <w:spacing w:after="468"/>
        <w:sectPr>
          <w:headerReference r:id="rId11" w:type="default"/>
          <w:footerReference r:id="rId13" w:type="default"/>
          <w:headerReference r:id="rId12" w:type="even"/>
          <w:footerReference r:id="rId14"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pPr>
        <w:pStyle w:val="90"/>
        <w:spacing w:after="468"/>
      </w:pPr>
      <w:bookmarkStart w:id="30" w:name="_Toc141195294"/>
      <w:bookmarkStart w:id="31" w:name="BookMark2"/>
      <w:r>
        <w:rPr>
          <w:spacing w:val="320"/>
        </w:rPr>
        <w:t>前</w:t>
      </w:r>
      <w:r>
        <w:t>言</w:t>
      </w:r>
      <w:bookmarkEnd w:id="22"/>
      <w:bookmarkEnd w:id="23"/>
      <w:bookmarkEnd w:id="24"/>
      <w:bookmarkEnd w:id="25"/>
      <w:bookmarkEnd w:id="26"/>
      <w:bookmarkEnd w:id="27"/>
      <w:bookmarkEnd w:id="28"/>
      <w:bookmarkEnd w:id="29"/>
      <w:bookmarkEnd w:id="30"/>
    </w:p>
    <w:p>
      <w:pPr>
        <w:pStyle w:val="57"/>
        <w:ind w:firstLine="420"/>
        <w:rPr>
          <w:rFonts w:hint="eastAsia"/>
        </w:rPr>
      </w:pPr>
      <w:r>
        <w:rPr>
          <w:rFonts w:hint="eastAsia"/>
        </w:rPr>
        <w:t>本文件按照 GB/T1.1—2020《标准化工作导则  第1部分：标准化文件的结构和起草规则》的规定起草。</w:t>
      </w:r>
    </w:p>
    <w:p>
      <w:pPr>
        <w:pStyle w:val="57"/>
        <w:ind w:firstLine="420"/>
        <w:rPr>
          <w:rFonts w:hint="eastAsia"/>
        </w:rPr>
      </w:pPr>
      <w:r>
        <w:rPr>
          <w:rFonts w:hint="eastAsia"/>
        </w:rPr>
        <w:t>本文件附录A、B为资料性附录，C、D、E、F为规范性附录。</w:t>
      </w:r>
    </w:p>
    <w:p>
      <w:pPr>
        <w:pStyle w:val="57"/>
        <w:ind w:firstLine="420"/>
        <w:rPr>
          <w:rFonts w:hint="eastAsia"/>
        </w:rPr>
      </w:pPr>
      <w:r>
        <w:rPr>
          <w:rFonts w:hint="eastAsia"/>
        </w:rPr>
        <w:t>本文件由成都市公园城市建设管理局提出并归口。</w:t>
      </w:r>
    </w:p>
    <w:p>
      <w:pPr>
        <w:pStyle w:val="57"/>
        <w:ind w:firstLine="420"/>
        <w:rPr>
          <w:rFonts w:hint="eastAsia"/>
        </w:rPr>
      </w:pPr>
      <w:r>
        <w:rPr>
          <w:rFonts w:hint="eastAsia"/>
        </w:rPr>
        <w:t>本文件起草单位：金堂县农业农村局、四川省油橄榄发展促进会、中国林业科学研究院、成都市农林科学院、成都市森林病虫防治检疫站、金堂县油橄榄产业协会、四川西中油橄榄有限责任公司、四川聚峰谷农业科技开发有限公司、四川南国花园生态农业开发有限公司。</w:t>
      </w:r>
    </w:p>
    <w:p>
      <w:pPr>
        <w:pStyle w:val="57"/>
        <w:ind w:firstLine="420"/>
      </w:pPr>
      <w:r>
        <w:rPr>
          <w:rFonts w:hint="eastAsia"/>
        </w:rPr>
        <w:t>本文件主要起草人：周立江、俞宁、李金花、张国林、肖剑、李见辉、陈小毅、周英俊、申浩、张达江、张勃龙、张玲玲、赖蜀丹、罗雪梅、胡显莉、刘小林、张初春、胡功成、吴小林、付利衡、肖星。</w:t>
      </w:r>
    </w:p>
    <w:p>
      <w:pPr>
        <w:pStyle w:val="57"/>
        <w:ind w:firstLine="420"/>
      </w:pPr>
    </w:p>
    <w:p>
      <w:pPr>
        <w:pStyle w:val="57"/>
        <w:ind w:firstLine="420"/>
        <w:sectPr>
          <w:headerReference r:id="rId15" w:type="default"/>
          <w:footerReference r:id="rId17" w:type="default"/>
          <w:headerReference r:id="rId16" w:type="even"/>
          <w:footerReference r:id="rId18" w:type="even"/>
          <w:pgSz w:w="11906" w:h="16838"/>
          <w:pgMar w:top="1928" w:right="1134" w:bottom="1134" w:left="1134" w:header="1418" w:footer="1134" w:gutter="284"/>
          <w:pgNumType w:fmt="upperRoman"/>
          <w:cols w:space="425" w:num="1"/>
          <w:formProt w:val="0"/>
          <w:docGrid w:type="lines" w:linePitch="312" w:charSpace="0"/>
        </w:sectPr>
      </w:pPr>
    </w:p>
    <w:bookmarkEnd w:id="31"/>
    <w:p>
      <w:pPr>
        <w:spacing w:line="20" w:lineRule="exact"/>
        <w:jc w:val="center"/>
        <w:rPr>
          <w:rFonts w:ascii="黑体" w:hAnsi="黑体" w:eastAsia="黑体"/>
          <w:sz w:val="32"/>
          <w:szCs w:val="32"/>
        </w:rPr>
      </w:pPr>
      <w:bookmarkStart w:id="32" w:name="BookMark4"/>
    </w:p>
    <w:p>
      <w:pPr>
        <w:spacing w:line="20" w:lineRule="exact"/>
        <w:jc w:val="center"/>
        <w:rPr>
          <w:rFonts w:ascii="黑体" w:hAnsi="黑体" w:eastAsia="黑体"/>
          <w:sz w:val="32"/>
          <w:szCs w:val="32"/>
        </w:rPr>
      </w:pPr>
    </w:p>
    <w:sdt>
      <w:sdtPr>
        <w:tag w:val="NEW_STAND_NAME"/>
        <w:id w:val="595910757"/>
        <w:lock w:val="sdtLocked"/>
        <w:placeholder>
          <w:docPart w:val="AD010F0E13DD4ADD9D8A29CB521EA8D4"/>
        </w:placeholder>
      </w:sdtPr>
      <w:sdtContent>
        <w:p>
          <w:pPr>
            <w:pStyle w:val="178"/>
            <w:spacing w:before="3" w:beforeLines="1" w:after="686" w:afterLines="220"/>
          </w:pPr>
          <w:bookmarkStart w:id="33" w:name="NEW_STAND_NAME"/>
          <w:r>
            <w:rPr>
              <w:rFonts w:hint="eastAsia"/>
            </w:rPr>
            <w:t>成都市油橄榄果园建园和田间管理技术规范</w:t>
          </w:r>
        </w:p>
      </w:sdtContent>
    </w:sdt>
    <w:bookmarkEnd w:id="33"/>
    <w:p>
      <w:pPr>
        <w:pStyle w:val="105"/>
        <w:spacing w:before="312" w:after="312"/>
      </w:pPr>
      <w:bookmarkStart w:id="34" w:name="_Toc26718930"/>
      <w:bookmarkStart w:id="35" w:name="_Toc24884218"/>
      <w:bookmarkStart w:id="36" w:name="_Toc26648465"/>
      <w:bookmarkStart w:id="37" w:name="_Toc139558896"/>
      <w:bookmarkStart w:id="38" w:name="_Toc17233325"/>
      <w:bookmarkStart w:id="39" w:name="_Toc136935396"/>
      <w:bookmarkStart w:id="40" w:name="_Toc139031622"/>
      <w:bookmarkStart w:id="41" w:name="_Toc141195295"/>
      <w:bookmarkStart w:id="42" w:name="_Toc136867886"/>
      <w:bookmarkStart w:id="43" w:name="_Toc138950412"/>
      <w:bookmarkStart w:id="44" w:name="_Toc139562828"/>
      <w:bookmarkStart w:id="45" w:name="_Toc137560837"/>
      <w:bookmarkStart w:id="46" w:name="_Toc139371242"/>
      <w:bookmarkStart w:id="47" w:name="_Toc137630696"/>
      <w:bookmarkStart w:id="48" w:name="_Toc137560847"/>
      <w:bookmarkStart w:id="49" w:name="_Toc26986771"/>
      <w:bookmarkStart w:id="50" w:name="_Toc138146044"/>
      <w:bookmarkStart w:id="51" w:name="_Toc17233333"/>
      <w:bookmarkStart w:id="52" w:name="_Toc139620719"/>
      <w:bookmarkStart w:id="53" w:name="_Toc138235398"/>
      <w:bookmarkStart w:id="54" w:name="_Toc26986530"/>
      <w:bookmarkStart w:id="55" w:name="_Toc97191423"/>
      <w:bookmarkStart w:id="56" w:name="_Toc136935457"/>
      <w:bookmarkStart w:id="57" w:name="_Toc139615264"/>
      <w:bookmarkStart w:id="58" w:name="_Toc138178637"/>
      <w:bookmarkStart w:id="59" w:name="_Toc24884211"/>
      <w:r>
        <w:rPr>
          <w:rFonts w:hint="eastAsia"/>
        </w:rPr>
        <w:t>范围</w:t>
      </w:r>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p>
    <w:p>
      <w:pPr>
        <w:pStyle w:val="57"/>
        <w:ind w:firstLine="420"/>
        <w:rPr>
          <w:rFonts w:hint="eastAsia"/>
          <w:color w:val="000000" w:themeColor="text1"/>
          <w14:textFill>
            <w14:solidFill>
              <w14:schemeClr w14:val="tx1"/>
            </w14:solidFill>
          </w14:textFill>
        </w:rPr>
      </w:pPr>
      <w:bookmarkStart w:id="60" w:name="_Toc17233326"/>
      <w:bookmarkStart w:id="61" w:name="_Toc24884219"/>
      <w:bookmarkStart w:id="62" w:name="_Toc17233334"/>
      <w:bookmarkStart w:id="63" w:name="_Toc24884212"/>
      <w:bookmarkStart w:id="64" w:name="_Toc26648466"/>
      <w:r>
        <w:rPr>
          <w:rFonts w:hint="eastAsia"/>
          <w:color w:val="000000" w:themeColor="text1"/>
          <w14:textFill>
            <w14:solidFill>
              <w14:schemeClr w14:val="tx1"/>
            </w14:solidFill>
          </w14:textFill>
        </w:rPr>
        <w:t>本标准规定了成都市油橄榄果园建园和田间管理技术的术语与定义、园地选择、园区规划、品种选择与配置、整地、栽植、栽后田间管理。</w:t>
      </w:r>
    </w:p>
    <w:p>
      <w:pPr>
        <w:pStyle w:val="57"/>
        <w:ind w:firstLine="420"/>
      </w:pPr>
      <w:r>
        <w:rPr>
          <w:rFonts w:hint="eastAsia"/>
          <w:color w:val="000000" w:themeColor="text1"/>
          <w14:textFill>
            <w14:solidFill>
              <w14:schemeClr w14:val="tx1"/>
            </w14:solidFill>
          </w14:textFill>
        </w:rPr>
        <w:t>本标准适宜成都市龙泉山丘陵区油橄榄园的营建和田间管理。</w:t>
      </w:r>
    </w:p>
    <w:p>
      <w:pPr>
        <w:pStyle w:val="105"/>
        <w:spacing w:before="312" w:after="312"/>
      </w:pPr>
      <w:bookmarkStart w:id="65" w:name="_Toc141195296"/>
      <w:bookmarkStart w:id="66" w:name="_Toc136935397"/>
      <w:bookmarkStart w:id="67" w:name="_Toc26986531"/>
      <w:bookmarkStart w:id="68" w:name="_Toc137630697"/>
      <w:bookmarkStart w:id="69" w:name="_Toc138235399"/>
      <w:bookmarkStart w:id="70" w:name="_Toc26986772"/>
      <w:bookmarkStart w:id="71" w:name="_Toc138950413"/>
      <w:bookmarkStart w:id="72" w:name="_Toc139620720"/>
      <w:bookmarkStart w:id="73" w:name="_Toc139562829"/>
      <w:bookmarkStart w:id="74" w:name="_Toc136867887"/>
      <w:bookmarkStart w:id="75" w:name="_Toc138178638"/>
      <w:bookmarkStart w:id="76" w:name="_Toc138146045"/>
      <w:bookmarkStart w:id="77" w:name="_Toc139558897"/>
      <w:bookmarkStart w:id="78" w:name="_Toc139031623"/>
      <w:bookmarkStart w:id="79" w:name="_Toc137560838"/>
      <w:bookmarkStart w:id="80" w:name="_Toc139615265"/>
      <w:bookmarkStart w:id="81" w:name="_Toc26718931"/>
      <w:bookmarkStart w:id="82" w:name="_Toc137560848"/>
      <w:bookmarkStart w:id="83" w:name="_Toc139371243"/>
      <w:bookmarkStart w:id="84" w:name="_Toc97191424"/>
      <w:bookmarkStart w:id="85" w:name="_Toc136935458"/>
      <w:r>
        <w:rPr>
          <w:rFonts w:hint="eastAsia"/>
        </w:rPr>
        <w:t>规范性引用文件</w:t>
      </w:r>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p>
    <w:sdt>
      <w:sdtPr>
        <w:rPr>
          <w:rFonts w:hint="eastAsia"/>
        </w:rPr>
        <w:id w:val="715848253"/>
        <w:placeholder>
          <w:docPart w:val="3A7792984E9241609FCD59EBCAE21123"/>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7"/>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7"/>
        <w:ind w:firstLine="420"/>
        <w:rPr>
          <w:rFonts w:hint="eastAsia"/>
        </w:rPr>
      </w:pPr>
      <w:bookmarkStart w:id="86" w:name="_Hlk139291377"/>
      <w:r>
        <w:rPr>
          <w:rFonts w:hint="eastAsia"/>
        </w:rPr>
        <w:t>LY/T 1532-2021  油橄榄</w:t>
      </w:r>
    </w:p>
    <w:p>
      <w:pPr>
        <w:pStyle w:val="57"/>
        <w:ind w:firstLine="420"/>
      </w:pPr>
      <w:r>
        <w:rPr>
          <w:rFonts w:hint="eastAsia"/>
        </w:rPr>
        <w:t>GB 6000-1999  主要造林树种苗木质量分级</w:t>
      </w:r>
    </w:p>
    <w:bookmarkEnd w:id="86"/>
    <w:p>
      <w:pPr>
        <w:pStyle w:val="105"/>
        <w:spacing w:before="312" w:after="312"/>
      </w:pPr>
      <w:bookmarkStart w:id="87" w:name="_Toc141195297"/>
      <w:bookmarkStart w:id="88" w:name="_Toc97191425"/>
      <w:bookmarkStart w:id="89" w:name="_Toc136935398"/>
      <w:bookmarkStart w:id="90" w:name="_Toc138950414"/>
      <w:bookmarkStart w:id="91" w:name="_Toc139031624"/>
      <w:bookmarkStart w:id="92" w:name="_Toc139558898"/>
      <w:bookmarkStart w:id="93" w:name="_Toc139371244"/>
      <w:bookmarkStart w:id="94" w:name="_Toc138146046"/>
      <w:bookmarkStart w:id="95" w:name="_Toc137630698"/>
      <w:bookmarkStart w:id="96" w:name="_Toc139562830"/>
      <w:bookmarkStart w:id="97" w:name="_Toc138178639"/>
      <w:bookmarkStart w:id="98" w:name="_Toc138235400"/>
      <w:bookmarkStart w:id="99" w:name="_Toc137560849"/>
      <w:bookmarkStart w:id="100" w:name="_Toc139615266"/>
      <w:bookmarkStart w:id="101" w:name="_Toc137560839"/>
      <w:bookmarkStart w:id="102" w:name="_Toc139620721"/>
      <w:bookmarkStart w:id="103" w:name="_Toc136867888"/>
      <w:bookmarkStart w:id="104" w:name="_Toc136935459"/>
      <w:r>
        <w:rPr>
          <w:rFonts w:hint="eastAsia"/>
          <w:szCs w:val="21"/>
        </w:rPr>
        <w:t>术语和定义</w:t>
      </w:r>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p>
    <w:sdt>
      <w:sdtPr>
        <w:id w:val="-1909835108"/>
        <w:placeholder>
          <w:docPart w:val="04E79B50CC6A4F379709BFD97B5D8D2D"/>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7"/>
            <w:ind w:firstLine="420"/>
          </w:pPr>
          <w:bookmarkStart w:id="105" w:name="_Toc26986532"/>
          <w:bookmarkEnd w:id="105"/>
          <w:r>
            <w:t>下列术语和定义适用于本文件。</w:t>
          </w:r>
        </w:p>
      </w:sdtContent>
    </w:sdt>
    <w:p>
      <w:pPr>
        <w:pStyle w:val="224"/>
        <w:ind w:left="420" w:hanging="420" w:hangingChars="200"/>
        <w:rPr>
          <w:rFonts w:ascii="黑体" w:hAnsi="黑体" w:eastAsia="黑体"/>
        </w:rPr>
      </w:pPr>
      <w:r>
        <w:rPr>
          <w:rFonts w:ascii="黑体" w:hAnsi="黑体" w:eastAsia="黑体"/>
        </w:rPr>
        <w:br w:type="textWrapping"/>
      </w:r>
      <w:r>
        <w:rPr>
          <w:rFonts w:ascii="黑体" w:hAnsi="黑体" w:eastAsia="黑体"/>
        </w:rPr>
        <w:t>种植模式</w:t>
      </w:r>
    </w:p>
    <w:p>
      <w:pPr>
        <w:pStyle w:val="57"/>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油橄榄果园种植通常分为传统种植和密植两种模式。传统种植模式，单位种植密度一般为20株/亩</w:t>
      </w:r>
      <w:r>
        <w:rPr>
          <w:rFonts w:hint="eastAsia" w:hAnsi="宋体"/>
          <w:color w:val="000000" w:themeColor="text1"/>
          <w14:textFill>
            <w14:solidFill>
              <w14:schemeClr w14:val="tx1"/>
            </w14:solidFill>
          </w14:textFill>
        </w:rPr>
        <w:t>～</w:t>
      </w:r>
      <w:r>
        <w:rPr>
          <w:rFonts w:hint="eastAsia"/>
          <w:color w:val="000000" w:themeColor="text1"/>
          <w14:textFill>
            <w14:solidFill>
              <w14:schemeClr w14:val="tx1"/>
            </w14:solidFill>
          </w14:textFill>
        </w:rPr>
        <w:t>35株/亩，按标准株行距或品字型进行种植穴布局；密植模式，一般呈行带状布局，通常行间距5m</w:t>
      </w:r>
      <w:r>
        <w:rPr>
          <w:rFonts w:hint="eastAsia" w:hAnsi="宋体"/>
          <w:color w:val="000000" w:themeColor="text1"/>
          <w14:textFill>
            <w14:solidFill>
              <w14:schemeClr w14:val="tx1"/>
            </w14:solidFill>
          </w14:textFill>
        </w:rPr>
        <w:t>～</w:t>
      </w:r>
      <w:r>
        <w:rPr>
          <w:rFonts w:hint="eastAsia"/>
          <w:color w:val="000000" w:themeColor="text1"/>
          <w14:textFill>
            <w14:solidFill>
              <w14:schemeClr w14:val="tx1"/>
            </w14:solidFill>
          </w14:textFill>
        </w:rPr>
        <w:t>8m、株间距1.5m</w:t>
      </w:r>
      <w:r>
        <w:rPr>
          <w:rFonts w:hint="eastAsia" w:hAnsi="宋体"/>
          <w:color w:val="000000" w:themeColor="text1"/>
          <w14:textFill>
            <w14:solidFill>
              <w14:schemeClr w14:val="tx1"/>
            </w14:solidFill>
          </w14:textFill>
        </w:rPr>
        <w:t>～</w:t>
      </w:r>
      <w:r>
        <w:rPr>
          <w:rFonts w:hint="eastAsia"/>
          <w:color w:val="000000" w:themeColor="text1"/>
          <w14:textFill>
            <w14:solidFill>
              <w14:schemeClr w14:val="tx1"/>
            </w14:solidFill>
          </w14:textFill>
        </w:rPr>
        <w:t>2.5m，单位种植密度一般为60株/亩</w:t>
      </w:r>
      <w:r>
        <w:rPr>
          <w:rFonts w:hint="eastAsia" w:hAnsi="宋体"/>
          <w:color w:val="000000" w:themeColor="text1"/>
          <w14:textFill>
            <w14:solidFill>
              <w14:schemeClr w14:val="tx1"/>
            </w14:solidFill>
          </w14:textFill>
        </w:rPr>
        <w:t>～</w:t>
      </w:r>
      <w:r>
        <w:rPr>
          <w:rFonts w:hint="eastAsia"/>
          <w:color w:val="000000" w:themeColor="text1"/>
          <w14:textFill>
            <w14:solidFill>
              <w14:schemeClr w14:val="tx1"/>
            </w14:solidFill>
          </w14:textFill>
        </w:rPr>
        <w:t>120株/亩。</w:t>
      </w:r>
    </w:p>
    <w:p>
      <w:pPr>
        <w:pStyle w:val="224"/>
        <w:ind w:left="420" w:hanging="420" w:hangingChars="200"/>
        <w:rPr>
          <w:rFonts w:ascii="黑体" w:hAnsi="黑体" w:eastAsia="黑体"/>
          <w:color w:val="000000" w:themeColor="text1"/>
          <w14:textFill>
            <w14:solidFill>
              <w14:schemeClr w14:val="tx1"/>
            </w14:solidFill>
          </w14:textFill>
        </w:rPr>
      </w:pPr>
      <w:r>
        <w:rPr>
          <w:rFonts w:ascii="黑体" w:hAnsi="黑体" w:eastAsia="黑体"/>
          <w:color w:val="000000" w:themeColor="text1"/>
          <w14:textFill>
            <w14:solidFill>
              <w14:schemeClr w14:val="tx1"/>
            </w14:solidFill>
          </w14:textFill>
        </w:rPr>
        <w:br w:type="textWrapping"/>
      </w:r>
      <w:r>
        <w:rPr>
          <w:rFonts w:ascii="黑体" w:hAnsi="黑体" w:eastAsia="黑体"/>
          <w:color w:val="000000" w:themeColor="text1"/>
          <w14:textFill>
            <w14:solidFill>
              <w14:schemeClr w14:val="tx1"/>
            </w14:solidFill>
          </w14:textFill>
        </w:rPr>
        <w:t>立地条件</w:t>
      </w:r>
    </w:p>
    <w:p>
      <w:pPr>
        <w:pStyle w:val="57"/>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果园建园的土地自然属性，包括所处地形、部位、土壤类型、土壤质地等影响植株生长的光照、温度、水分等自然条件。</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冠形</w:t>
      </w:r>
    </w:p>
    <w:p>
      <w:pPr>
        <w:pStyle w:val="57"/>
        <w:ind w:firstLine="420"/>
      </w:pPr>
      <w:r>
        <w:rPr>
          <w:rFonts w:hint="eastAsia"/>
        </w:rPr>
        <w:t>果园内植株经营培育所保持的树冠形态。</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物候期 </w:t>
      </w:r>
    </w:p>
    <w:p>
      <w:pPr>
        <w:pStyle w:val="57"/>
        <w:ind w:firstLine="420"/>
      </w:pPr>
      <w:r>
        <w:rPr>
          <w:rFonts w:hint="eastAsia"/>
        </w:rPr>
        <w:t>植物在生长、发育过程中对气候的反应。如植物的萌芽、开花、结实等在不同季节所展示的生物气候现象。由此可根据物候安排农事，指导生产。</w:t>
      </w:r>
    </w:p>
    <w:p>
      <w:pPr>
        <w:pStyle w:val="224"/>
        <w:ind w:left="420" w:hanging="420" w:hangingChars="200"/>
        <w:rPr>
          <w:rFonts w:ascii="黑体" w:hAnsi="黑体" w:eastAsia="黑体"/>
        </w:rPr>
      </w:pPr>
      <w:r>
        <w:rPr>
          <w:rFonts w:ascii="黑体" w:hAnsi="黑体" w:eastAsia="黑体"/>
        </w:rPr>
        <w:br w:type="textWrapping"/>
      </w:r>
      <w:r>
        <w:rPr>
          <w:rFonts w:ascii="黑体" w:hAnsi="黑体" w:eastAsia="黑体"/>
        </w:rPr>
        <w:t>施肥方式</w:t>
      </w:r>
    </w:p>
    <w:p>
      <w:pPr>
        <w:pStyle w:val="57"/>
        <w:ind w:firstLine="420"/>
      </w:pPr>
      <w:r>
        <w:rPr>
          <w:rFonts w:hint="eastAsia"/>
        </w:rPr>
        <w:t>主要有环状施肥、条状沟施肥、放射状施肥、根外施肥（叶面施肥）和水肥一体化等几种。</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植物病害 </w:t>
      </w:r>
    </w:p>
    <w:p>
      <w:pPr>
        <w:pStyle w:val="57"/>
        <w:ind w:firstLine="420"/>
      </w:pPr>
      <w:r>
        <w:rPr>
          <w:rFonts w:hint="eastAsia"/>
        </w:rPr>
        <w:t>植物在生物或非生物因子的影响下，发生一系列形态、生理和生化上的病理变化，阻碍正常生长、发育进程，从而影响人类经济效益的现象。植物病害分为侵染性和非侵染性两大类，病状主要分为变色、坏死、腐烂、萎蔫、畸形五大类型。</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植物虫害 </w:t>
      </w:r>
    </w:p>
    <w:p>
      <w:pPr>
        <w:pStyle w:val="57"/>
        <w:ind w:firstLine="420"/>
      </w:pPr>
      <w:r>
        <w:rPr>
          <w:kern w:val="2"/>
        </w:rPr>
        <w:t>危害植物的昆虫、螨类等称为害虫，把由它们引起的各种植物伤害称为植物虫害</w:t>
      </w:r>
      <w:r>
        <w:rPr>
          <w:rFonts w:hint="eastAsia"/>
        </w:rPr>
        <w:t>。</w:t>
      </w:r>
    </w:p>
    <w:p>
      <w:pPr>
        <w:pStyle w:val="105"/>
        <w:spacing w:before="312" w:after="312"/>
      </w:pPr>
      <w:bookmarkStart w:id="106" w:name="_Toc139031625"/>
      <w:bookmarkStart w:id="107" w:name="_Toc139371245"/>
      <w:bookmarkStart w:id="108" w:name="_Toc138950415"/>
      <w:bookmarkStart w:id="109" w:name="_Toc138178645"/>
      <w:bookmarkStart w:id="110" w:name="_Toc138146055"/>
      <w:bookmarkStart w:id="111" w:name="_Toc141195298"/>
      <w:bookmarkStart w:id="112" w:name="_Toc139562831"/>
      <w:bookmarkStart w:id="113" w:name="_Toc139558899"/>
      <w:bookmarkStart w:id="114" w:name="_Toc139620722"/>
      <w:bookmarkStart w:id="115" w:name="_Toc139615267"/>
      <w:bookmarkStart w:id="116" w:name="_Toc138235404"/>
      <w:r>
        <w:rPr>
          <w:rFonts w:hint="eastAsia"/>
        </w:rPr>
        <w:t>园地选择</w:t>
      </w:r>
      <w:bookmarkEnd w:id="106"/>
      <w:bookmarkEnd w:id="107"/>
      <w:bookmarkEnd w:id="108"/>
      <w:bookmarkEnd w:id="109"/>
      <w:bookmarkEnd w:id="110"/>
      <w:bookmarkEnd w:id="111"/>
      <w:bookmarkEnd w:id="112"/>
      <w:bookmarkEnd w:id="113"/>
      <w:bookmarkEnd w:id="114"/>
      <w:bookmarkEnd w:id="115"/>
      <w:bookmarkEnd w:id="116"/>
    </w:p>
    <w:p>
      <w:pPr>
        <w:pStyle w:val="106"/>
        <w:spacing w:before="156" w:after="156"/>
      </w:pPr>
      <w:r>
        <w:rPr>
          <w:rFonts w:ascii="Times New Roman"/>
        </w:rPr>
        <w:t>水源和交通条件选择</w:t>
      </w:r>
    </w:p>
    <w:p>
      <w:pPr>
        <w:pStyle w:val="57"/>
        <w:ind w:firstLine="420"/>
      </w:pPr>
      <w:r>
        <w:rPr>
          <w:kern w:val="2"/>
        </w:rPr>
        <w:t>在油橄榄适生区，宜选择相对集中连片、交通方便、水源充足的地方</w:t>
      </w:r>
      <w:r>
        <w:rPr>
          <w:rFonts w:hint="eastAsia"/>
        </w:rPr>
        <w:t>。</w:t>
      </w:r>
    </w:p>
    <w:p>
      <w:pPr>
        <w:pStyle w:val="106"/>
        <w:spacing w:before="156" w:after="156"/>
        <w:rPr>
          <w:color w:val="000000" w:themeColor="text1"/>
          <w14:textFill>
            <w14:solidFill>
              <w14:schemeClr w14:val="tx1"/>
            </w14:solidFill>
          </w14:textFill>
        </w:rPr>
      </w:pPr>
      <w:r>
        <w:rPr>
          <w:rFonts w:ascii="Times New Roman"/>
        </w:rPr>
        <w:t>种植地块选择</w:t>
      </w:r>
    </w:p>
    <w:p>
      <w:pPr>
        <w:pStyle w:val="66"/>
        <w:spacing w:before="156" w:after="156"/>
        <w:ind w:left="0"/>
      </w:pPr>
      <w:r>
        <w:t>土壤选择</w:t>
      </w:r>
    </w:p>
    <w:p>
      <w:pPr>
        <w:pStyle w:val="57"/>
        <w:ind w:firstLine="420"/>
        <w:rPr>
          <w:color w:val="FF0000"/>
        </w:rPr>
      </w:pPr>
      <w:r>
        <w:rPr>
          <w:rFonts w:hint="eastAsia"/>
        </w:rPr>
        <w:t>选择土层深厚（50cm以上）、疏松、排水良好、含石砾较多的砂质土壤，砂粒（颗粒直径2.0 mm</w:t>
      </w:r>
      <w:r>
        <w:rPr>
          <w:rFonts w:hint="eastAsia" w:hAnsi="宋体"/>
          <w:color w:val="000000" w:themeColor="text1"/>
          <w14:textFill>
            <w14:solidFill>
              <w14:schemeClr w14:val="tx1"/>
            </w14:solidFill>
          </w14:textFill>
        </w:rPr>
        <w:t>～</w:t>
      </w:r>
      <w:r>
        <w:rPr>
          <w:rFonts w:hint="eastAsia"/>
        </w:rPr>
        <w:t>0.02 mm）含量为45%</w:t>
      </w:r>
      <w:r>
        <w:rPr>
          <w:rFonts w:hint="eastAsia" w:hAnsi="宋体"/>
          <w:color w:val="000000" w:themeColor="text1"/>
          <w14:textFill>
            <w14:solidFill>
              <w14:schemeClr w14:val="tx1"/>
            </w14:solidFill>
          </w14:textFill>
        </w:rPr>
        <w:t>～</w:t>
      </w:r>
      <w:r>
        <w:rPr>
          <w:rFonts w:hint="eastAsia"/>
        </w:rPr>
        <w:t>65%，粉粒（颗粒直径0.02 mm</w:t>
      </w:r>
      <w:r>
        <w:rPr>
          <w:rFonts w:hint="eastAsia" w:hAnsi="宋体"/>
          <w:color w:val="000000" w:themeColor="text1"/>
          <w14:textFill>
            <w14:solidFill>
              <w14:schemeClr w14:val="tx1"/>
            </w14:solidFill>
          </w14:textFill>
        </w:rPr>
        <w:t>～</w:t>
      </w:r>
      <w:r>
        <w:rPr>
          <w:rFonts w:hint="eastAsia"/>
        </w:rPr>
        <w:t>0.002 mm）含量为10%</w:t>
      </w:r>
      <w:r>
        <w:rPr>
          <w:rFonts w:hint="eastAsia" w:hAnsi="宋体"/>
          <w:color w:val="000000" w:themeColor="text1"/>
          <w14:textFill>
            <w14:solidFill>
              <w14:schemeClr w14:val="tx1"/>
            </w14:solidFill>
          </w14:textFill>
        </w:rPr>
        <w:t>～</w:t>
      </w:r>
      <w:r>
        <w:rPr>
          <w:rFonts w:hint="eastAsia"/>
        </w:rPr>
        <w:t>35%，黏粒（颗粒直径&lt;0.002 mm）含量为10%</w:t>
      </w:r>
      <w:r>
        <w:rPr>
          <w:rFonts w:hint="eastAsia" w:hAnsi="宋体"/>
          <w:color w:val="000000" w:themeColor="text1"/>
          <w14:textFill>
            <w14:solidFill>
              <w14:schemeClr w14:val="tx1"/>
            </w14:solidFill>
          </w14:textFill>
        </w:rPr>
        <w:t>～</w:t>
      </w:r>
      <w:r>
        <w:rPr>
          <w:rFonts w:hint="eastAsia"/>
        </w:rPr>
        <w:t>5%。土壤pH值7</w:t>
      </w:r>
      <w:r>
        <w:rPr>
          <w:rFonts w:hint="eastAsia" w:hAnsi="宋体"/>
          <w:color w:val="000000" w:themeColor="text1"/>
          <w14:textFill>
            <w14:solidFill>
              <w14:schemeClr w14:val="tx1"/>
            </w14:solidFill>
          </w14:textFill>
        </w:rPr>
        <w:t>～</w:t>
      </w:r>
      <w:r>
        <w:rPr>
          <w:rFonts w:hint="eastAsia"/>
        </w:rPr>
        <w:t>8之间，在中性或微碱性土壤中生长最好。</w:t>
      </w:r>
    </w:p>
    <w:p>
      <w:pPr>
        <w:pStyle w:val="66"/>
        <w:spacing w:before="156" w:after="156"/>
        <w:ind w:left="0"/>
      </w:pPr>
      <w:r>
        <w:rPr>
          <w:rFonts w:ascii="Times New Roman"/>
        </w:rPr>
        <w:t>立地选择</w:t>
      </w:r>
    </w:p>
    <w:p>
      <w:pPr>
        <w:pStyle w:val="57"/>
        <w:ind w:firstLine="420"/>
        <w:rPr>
          <w:color w:val="000000" w:themeColor="text1"/>
          <w14:textFill>
            <w14:solidFill>
              <w14:schemeClr w14:val="tx1"/>
            </w14:solidFill>
          </w14:textFill>
        </w:rPr>
      </w:pPr>
      <w:r>
        <w:rPr>
          <w:rFonts w:hint="eastAsia"/>
        </w:rPr>
        <w:t>油橄榄种植立地条件宜选择坡度小于20°的阳坡，土层中、厚，土壤为微碱性石灰性冲积土、钙质紫色土；超过20°的地段，需按等高线修成水平梯地才能栽植</w:t>
      </w:r>
      <w:r>
        <w:rPr>
          <w:rFonts w:hint="eastAsia"/>
          <w:color w:val="000000" w:themeColor="text1"/>
          <w14:textFill>
            <w14:solidFill>
              <w14:schemeClr w14:val="tx1"/>
            </w14:solidFill>
          </w14:textFill>
        </w:rPr>
        <w:t>。</w:t>
      </w:r>
    </w:p>
    <w:p>
      <w:pPr>
        <w:pStyle w:val="105"/>
        <w:spacing w:before="312" w:after="312"/>
        <w:rPr>
          <w:rFonts w:hint="eastAsia"/>
        </w:rPr>
      </w:pPr>
      <w:bookmarkStart w:id="117" w:name="_Toc141195299"/>
      <w:r>
        <w:t>园区规划</w:t>
      </w:r>
      <w:bookmarkEnd w:id="117"/>
    </w:p>
    <w:p>
      <w:pPr>
        <w:pStyle w:val="57"/>
        <w:ind w:firstLine="420"/>
      </w:pPr>
      <w:r>
        <w:t>根据园区的地形、水源、地貌等自然条件和经营目的做好园区内道路布局、作业区划分、排灌系统及各种设施的配置。作业区面积的大小可因地制宜，以有利于管理和提高工效和保持水土为原则。作业区面积一般为2hm2</w:t>
      </w:r>
      <w:r>
        <w:rPr>
          <w:rFonts w:hint="eastAsia" w:hAnsi="宋体"/>
          <w:color w:val="000000" w:themeColor="text1"/>
          <w14:textFill>
            <w14:solidFill>
              <w14:schemeClr w14:val="tx1"/>
            </w14:solidFill>
          </w14:textFill>
        </w:rPr>
        <w:t>～</w:t>
      </w:r>
      <w:r>
        <w:t>3hm2。大作业区可划分为若干小作业区。作业区多以道路为界，大作业区之间要有一条主路，小作业区之间要有一条支路。灌溉可用喷灌或者滴灌进行，排水有主沟排水和支沟排水。灌排水系统是保证油橄榄高产稳产的重要措施。</w:t>
      </w:r>
    </w:p>
    <w:p>
      <w:pPr>
        <w:pStyle w:val="105"/>
        <w:spacing w:before="312" w:after="312"/>
      </w:pPr>
      <w:bookmarkStart w:id="118" w:name="_Toc141195300"/>
      <w:r>
        <w:rPr>
          <w:rFonts w:ascii="Times New Roman"/>
        </w:rPr>
        <w:t>品种选择和配置</w:t>
      </w:r>
      <w:bookmarkEnd w:id="118"/>
    </w:p>
    <w:p>
      <w:pPr>
        <w:pStyle w:val="106"/>
        <w:spacing w:before="156" w:after="156"/>
        <w:rPr>
          <w:rFonts w:hint="eastAsia" w:ascii="Times New Roman"/>
        </w:rPr>
      </w:pPr>
      <w:r>
        <w:rPr>
          <w:rFonts w:ascii="Times New Roman"/>
        </w:rPr>
        <w:t>品种选择</w:t>
      </w:r>
    </w:p>
    <w:p>
      <w:pPr>
        <w:pStyle w:val="166"/>
        <w:ind w:left="780" w:hanging="360"/>
      </w:pPr>
      <w:r>
        <w:t>一般1个作业小区栽1</w:t>
      </w:r>
      <w:r>
        <w:rPr>
          <w:rFonts w:hint="eastAsia" w:hAnsi="宋体"/>
          <w:color w:val="000000" w:themeColor="text1"/>
          <w14:textFill>
            <w14:solidFill>
              <w14:schemeClr w14:val="tx1"/>
            </w14:solidFill>
          </w14:textFill>
        </w:rPr>
        <w:t>～</w:t>
      </w:r>
      <w:r>
        <w:t>2个品种，1个果园2</w:t>
      </w:r>
      <w:r>
        <w:rPr>
          <w:rFonts w:hint="eastAsia" w:hAnsi="宋体"/>
          <w:color w:val="000000" w:themeColor="text1"/>
          <w14:textFill>
            <w14:solidFill>
              <w14:schemeClr w14:val="tx1"/>
            </w14:solidFill>
          </w14:textFill>
        </w:rPr>
        <w:t>～</w:t>
      </w:r>
      <w:r>
        <w:t>4个品种，主栽</w:t>
      </w:r>
      <w:r>
        <w:rPr>
          <w:kern w:val="2"/>
        </w:rPr>
        <w:t>品种</w:t>
      </w:r>
      <w:r>
        <w:t>和授粉品种各1</w:t>
      </w:r>
      <w:r>
        <w:rPr>
          <w:rFonts w:hint="eastAsia" w:hAnsi="宋体"/>
          <w:color w:val="000000" w:themeColor="text1"/>
          <w14:textFill>
            <w14:solidFill>
              <w14:schemeClr w14:val="tx1"/>
            </w14:solidFill>
          </w14:textFill>
        </w:rPr>
        <w:t>～</w:t>
      </w:r>
      <w:r>
        <w:t>2个为宜。注意早、中、晚熟品种的搭配和油用、果用品种的搭配。以阿贝基娜、克罗莱卡、莱星、皮瓜尔等为主栽品种。除了阿贝基娜品种之外，其他主栽品种之间需要相互授粉。</w:t>
      </w:r>
    </w:p>
    <w:p>
      <w:pPr>
        <w:pStyle w:val="166"/>
        <w:ind w:left="780" w:hanging="360"/>
      </w:pPr>
      <w:r>
        <w:t>油用品种的选择主要以丰产性好、抗逆性强、含油率高、油质好等特性为标准，如阿贝基娜、克罗莱卡等；果用品种的选择以果肉率高、食用味道好、果实大小均一为标准，如皮瓜尔、科拉蒂、皮削利等。</w:t>
      </w:r>
    </w:p>
    <w:p>
      <w:pPr>
        <w:pStyle w:val="106"/>
        <w:spacing w:before="156" w:after="156"/>
        <w:rPr>
          <w:rFonts w:hint="eastAsia" w:ascii="Times New Roman"/>
        </w:rPr>
      </w:pPr>
      <w:r>
        <w:rPr>
          <w:rFonts w:ascii="Times New Roman"/>
        </w:rPr>
        <w:t>品种配置</w:t>
      </w:r>
    </w:p>
    <w:p>
      <w:pPr>
        <w:pStyle w:val="166"/>
        <w:ind w:left="780" w:hanging="360"/>
        <w:rPr>
          <w:rFonts w:hint="eastAsia"/>
          <w:kern w:val="2"/>
        </w:rPr>
      </w:pPr>
      <w:r>
        <w:rPr>
          <w:kern w:val="2"/>
        </w:rPr>
        <w:t>主栽品种与授粉品种配置比例常用4:1或5:1，花期一致，以隔行种植或点状混栽为宜。</w:t>
      </w:r>
    </w:p>
    <w:p>
      <w:pPr>
        <w:pStyle w:val="166"/>
        <w:ind w:left="780" w:hanging="360"/>
        <w:rPr>
          <w:rFonts w:hint="eastAsia"/>
          <w:kern w:val="2"/>
        </w:rPr>
      </w:pPr>
      <w:r>
        <w:rPr>
          <w:kern w:val="2"/>
        </w:rPr>
        <w:t>坡地或者梯田果园按等高梯田的方向成行栽植，可间隔3</w:t>
      </w:r>
      <w:r>
        <w:rPr>
          <w:rFonts w:hint="eastAsia" w:hAnsi="宋体"/>
          <w:color w:val="000000" w:themeColor="text1"/>
          <w14:textFill>
            <w14:solidFill>
              <w14:schemeClr w14:val="tx1"/>
            </w14:solidFill>
          </w14:textFill>
        </w:rPr>
        <w:t>～</w:t>
      </w:r>
      <w:r>
        <w:rPr>
          <w:kern w:val="2"/>
        </w:rPr>
        <w:t>4行栽植1行授粉品种。</w:t>
      </w:r>
    </w:p>
    <w:p>
      <w:pPr>
        <w:pStyle w:val="166"/>
        <w:ind w:left="780" w:hanging="360"/>
        <w:rPr>
          <w:rFonts w:hint="eastAsia"/>
          <w:kern w:val="2"/>
        </w:rPr>
      </w:pPr>
      <w:r>
        <w:rPr>
          <w:kern w:val="2"/>
        </w:rPr>
        <w:t>品种配置模式为阿贝基娜+克罗莱卡、莱星+阿贝基娜、阿贝基娜+皮瓜尔、克罗莱卡+莱星等，以上品种花期相同，可以任意组合搭配。</w:t>
      </w:r>
    </w:p>
    <w:p>
      <w:pPr>
        <w:pStyle w:val="166"/>
        <w:ind w:left="780" w:hanging="360"/>
      </w:pPr>
      <w:r>
        <w:rPr>
          <w:kern w:val="2"/>
        </w:rPr>
        <w:t>根据果园大小和采摘周期，注意早、中、晚熟品种的搭配。</w:t>
      </w:r>
    </w:p>
    <w:p>
      <w:pPr>
        <w:pStyle w:val="105"/>
        <w:spacing w:before="312" w:after="312"/>
      </w:pPr>
      <w:bookmarkStart w:id="119" w:name="_Toc141195301"/>
      <w:r>
        <w:t>整地</w:t>
      </w:r>
      <w:bookmarkEnd w:id="119"/>
    </w:p>
    <w:p>
      <w:pPr>
        <w:pStyle w:val="106"/>
        <w:spacing w:before="156" w:after="156"/>
        <w:rPr>
          <w:rFonts w:hint="eastAsia"/>
          <w:color w:val="000000" w:themeColor="text1"/>
          <w14:textFill>
            <w14:solidFill>
              <w14:schemeClr w14:val="tx1"/>
            </w14:solidFill>
          </w14:textFill>
        </w:rPr>
      </w:pPr>
      <w:r>
        <w:rPr>
          <w:color w:val="000000" w:themeColor="text1"/>
          <w14:textFill>
            <w14:solidFill>
              <w14:schemeClr w14:val="tx1"/>
            </w14:solidFill>
          </w14:textFill>
        </w:rPr>
        <w:t>整地时间</w:t>
      </w:r>
    </w:p>
    <w:p>
      <w:pPr>
        <w:pStyle w:val="57"/>
        <w:ind w:firstLine="420"/>
      </w:pPr>
      <w:r>
        <w:rPr>
          <w:kern w:val="2"/>
        </w:rPr>
        <w:t>整地工作一般在春、秋、冬季，苗木种植前开展。</w:t>
      </w:r>
    </w:p>
    <w:p>
      <w:pPr>
        <w:pStyle w:val="106"/>
        <w:spacing w:before="156" w:after="156"/>
      </w:pPr>
      <w:r>
        <w:t>整地方法</w:t>
      </w:r>
    </w:p>
    <w:p>
      <w:pPr>
        <w:pStyle w:val="57"/>
        <w:ind w:firstLine="420"/>
        <w:rPr>
          <w:rFonts w:hint="eastAsia"/>
          <w:kern w:val="2"/>
        </w:rPr>
      </w:pPr>
      <w:r>
        <w:rPr>
          <w:kern w:val="2"/>
        </w:rPr>
        <w:t>栽前整地和土壤改良相结合。土壤偏黏的，可通过坑内及其周围施用有机肥改善土壤结构，有机肥用量按照1000kg</w:t>
      </w:r>
      <w:r>
        <w:rPr>
          <w:rFonts w:hint="eastAsia" w:hAnsi="宋体"/>
          <w:color w:val="000000" w:themeColor="text1"/>
          <w14:textFill>
            <w14:solidFill>
              <w14:schemeClr w14:val="tx1"/>
            </w14:solidFill>
          </w14:textFill>
        </w:rPr>
        <w:t>～</w:t>
      </w:r>
      <w:r>
        <w:rPr>
          <w:kern w:val="2"/>
        </w:rPr>
        <w:t>1500kg/亩。</w:t>
      </w:r>
    </w:p>
    <w:p>
      <w:pPr>
        <w:pStyle w:val="106"/>
        <w:spacing w:before="156" w:after="156"/>
      </w:pPr>
      <w:r>
        <w:t>整地方式</w:t>
      </w:r>
    </w:p>
    <w:p>
      <w:pPr>
        <w:pStyle w:val="66"/>
        <w:spacing w:before="156" w:after="156"/>
        <w:ind w:left="0"/>
      </w:pPr>
      <w:r>
        <w:rPr>
          <w:rFonts w:ascii="Times New Roman"/>
        </w:rPr>
        <w:t>浅丘地的整地</w:t>
      </w:r>
    </w:p>
    <w:p>
      <w:pPr>
        <w:pStyle w:val="165"/>
      </w:pPr>
      <w:r>
        <w:rPr>
          <w:kern w:val="2"/>
        </w:rPr>
        <w:t>采用局部带状、顺水流方向作高垄整地，垄宽3m</w:t>
      </w:r>
      <w:r>
        <w:rPr>
          <w:rFonts w:hint="eastAsia" w:hAnsi="宋体"/>
          <w:color w:val="000000" w:themeColor="text1"/>
          <w14:textFill>
            <w14:solidFill>
              <w14:schemeClr w14:val="tx1"/>
            </w14:solidFill>
          </w14:textFill>
        </w:rPr>
        <w:t>～</w:t>
      </w:r>
      <w:r>
        <w:rPr>
          <w:kern w:val="2"/>
        </w:rPr>
        <w:t>4m，高60cm，垄沟宽60cm</w:t>
      </w:r>
      <w:r>
        <w:rPr>
          <w:rFonts w:hint="eastAsia" w:hAnsi="宋体"/>
          <w:color w:val="000000" w:themeColor="text1"/>
          <w14:textFill>
            <w14:solidFill>
              <w14:schemeClr w14:val="tx1"/>
            </w14:solidFill>
          </w14:textFill>
        </w:rPr>
        <w:t>～</w:t>
      </w:r>
      <w:r>
        <w:rPr>
          <w:kern w:val="2"/>
        </w:rPr>
        <w:t>80cm，作垄时需收集地表熟土堆垄</w:t>
      </w:r>
      <w:r>
        <w:rPr>
          <w:rFonts w:hint="eastAsia"/>
        </w:rPr>
        <w:t>。</w:t>
      </w:r>
    </w:p>
    <w:p>
      <w:pPr>
        <w:pStyle w:val="165"/>
      </w:pPr>
      <w:r>
        <w:rPr>
          <w:kern w:val="2"/>
        </w:rPr>
        <w:t>种植前，在垄上按照株行距挖定植坑，定植坑以定植点为中心，直径1.5m，深30cm</w:t>
      </w:r>
      <w:r>
        <w:rPr>
          <w:rFonts w:hint="eastAsia" w:hAnsi="宋体"/>
          <w:color w:val="000000" w:themeColor="text1"/>
          <w14:textFill>
            <w14:solidFill>
              <w14:schemeClr w14:val="tx1"/>
            </w14:solidFill>
          </w14:textFill>
        </w:rPr>
        <w:t>～</w:t>
      </w:r>
      <w:r>
        <w:rPr>
          <w:kern w:val="2"/>
        </w:rPr>
        <w:t>40cm，内施基肥（基肥以有机肥为主，配以磷、钾、钙肥，有机肥用量按照20kg</w:t>
      </w:r>
      <w:r>
        <w:rPr>
          <w:rFonts w:hint="eastAsia" w:hAnsi="宋体"/>
          <w:color w:val="000000" w:themeColor="text1"/>
          <w14:textFill>
            <w14:solidFill>
              <w14:schemeClr w14:val="tx1"/>
            </w14:solidFill>
          </w14:textFill>
        </w:rPr>
        <w:t>～</w:t>
      </w:r>
      <w:r>
        <w:rPr>
          <w:kern w:val="2"/>
        </w:rPr>
        <w:t>25kg/株），将基肥同表土混匀后填入坑内</w:t>
      </w:r>
      <w:r>
        <w:rPr>
          <w:rFonts w:hint="eastAsia"/>
        </w:rPr>
        <w:t>。</w:t>
      </w:r>
    </w:p>
    <w:p>
      <w:pPr>
        <w:pStyle w:val="66"/>
        <w:spacing w:before="156" w:after="156"/>
        <w:ind w:left="0"/>
      </w:pPr>
      <w:r>
        <w:rPr>
          <w:rFonts w:ascii="Times New Roman"/>
        </w:rPr>
        <w:t>低山</w:t>
      </w:r>
      <w:r>
        <w:t>丘陵地</w:t>
      </w:r>
      <w:r>
        <w:rPr>
          <w:rFonts w:ascii="Times New Roman"/>
        </w:rPr>
        <w:t>的整地</w:t>
      </w:r>
    </w:p>
    <w:p>
      <w:pPr>
        <w:pStyle w:val="165"/>
      </w:pPr>
      <w:r>
        <w:rPr>
          <w:kern w:val="2"/>
        </w:rPr>
        <w:t>采用水平梯田整地（见资料性附录文件B）方式</w:t>
      </w:r>
      <w:r>
        <w:rPr>
          <w:rFonts w:hint="eastAsia"/>
        </w:rPr>
        <w:t>。</w:t>
      </w:r>
      <w:r>
        <w:rPr>
          <w:kern w:val="2"/>
        </w:rPr>
        <w:t>在垒面上按照等高线走向带状低垄整地，垄宽2.5m</w:t>
      </w:r>
      <w:r>
        <w:rPr>
          <w:rFonts w:hint="eastAsia" w:hAnsi="宋体"/>
          <w:color w:val="000000" w:themeColor="text1"/>
          <w14:textFill>
            <w14:solidFill>
              <w14:schemeClr w14:val="tx1"/>
            </w14:solidFill>
          </w14:textFill>
        </w:rPr>
        <w:t>～</w:t>
      </w:r>
      <w:r>
        <w:rPr>
          <w:kern w:val="2"/>
        </w:rPr>
        <w:t>3m，垄高30cm</w:t>
      </w:r>
      <w:r>
        <w:rPr>
          <w:rFonts w:hint="eastAsia" w:hAnsi="宋体"/>
          <w:color w:val="000000" w:themeColor="text1"/>
          <w14:textFill>
            <w14:solidFill>
              <w14:schemeClr w14:val="tx1"/>
            </w14:solidFill>
          </w14:textFill>
        </w:rPr>
        <w:t>～</w:t>
      </w:r>
      <w:r>
        <w:rPr>
          <w:kern w:val="2"/>
        </w:rPr>
        <w:t>40cm，垄沟宽50cm</w:t>
      </w:r>
      <w:r>
        <w:rPr>
          <w:rFonts w:hint="eastAsia" w:hAnsi="宋体"/>
          <w:color w:val="000000" w:themeColor="text1"/>
          <w14:textFill>
            <w14:solidFill>
              <w14:schemeClr w14:val="tx1"/>
            </w14:solidFill>
          </w14:textFill>
        </w:rPr>
        <w:t>～</w:t>
      </w:r>
      <w:r>
        <w:rPr>
          <w:kern w:val="2"/>
        </w:rPr>
        <w:t>60cm。</w:t>
      </w:r>
    </w:p>
    <w:p>
      <w:pPr>
        <w:pStyle w:val="165"/>
      </w:pPr>
      <w:r>
        <w:rPr>
          <w:kern w:val="2"/>
        </w:rPr>
        <w:t>栽植前，在垄上按株行距挖定植坑，坑深20cm</w:t>
      </w:r>
      <w:r>
        <w:rPr>
          <w:rFonts w:hint="eastAsia" w:hAnsi="宋体"/>
          <w:color w:val="000000" w:themeColor="text1"/>
          <w14:textFill>
            <w14:solidFill>
              <w14:schemeClr w14:val="tx1"/>
            </w14:solidFill>
          </w14:textFill>
        </w:rPr>
        <w:t>～</w:t>
      </w:r>
      <w:r>
        <w:rPr>
          <w:kern w:val="2"/>
        </w:rPr>
        <w:t>30cm、宽80cm</w:t>
      </w:r>
      <w:r>
        <w:rPr>
          <w:rFonts w:hint="eastAsia" w:hAnsi="宋体"/>
          <w:color w:val="000000" w:themeColor="text1"/>
          <w14:textFill>
            <w14:solidFill>
              <w14:schemeClr w14:val="tx1"/>
            </w14:solidFill>
          </w14:textFill>
        </w:rPr>
        <w:t>～</w:t>
      </w:r>
      <w:r>
        <w:rPr>
          <w:kern w:val="2"/>
        </w:rPr>
        <w:t>120cm，将有机肥同表土混匀后填入坑内</w:t>
      </w:r>
      <w:r>
        <w:rPr>
          <w:rFonts w:hint="eastAsia"/>
        </w:rPr>
        <w:t>。</w:t>
      </w:r>
    </w:p>
    <w:p>
      <w:pPr>
        <w:pStyle w:val="105"/>
        <w:spacing w:before="312" w:after="312"/>
      </w:pPr>
      <w:bookmarkStart w:id="120" w:name="_Toc141195302"/>
      <w:r>
        <w:rPr>
          <w:rFonts w:ascii="Times New Roman"/>
        </w:rPr>
        <w:t>栽植</w:t>
      </w:r>
      <w:bookmarkEnd w:id="120"/>
    </w:p>
    <w:p>
      <w:pPr>
        <w:pStyle w:val="106"/>
        <w:spacing w:before="156" w:after="156"/>
        <w:rPr>
          <w:rFonts w:hint="eastAsia" w:ascii="Times New Roman"/>
        </w:rPr>
      </w:pPr>
      <w:r>
        <w:rPr>
          <w:rFonts w:ascii="Times New Roman"/>
        </w:rPr>
        <w:t>栽植密度</w:t>
      </w:r>
    </w:p>
    <w:p>
      <w:pPr>
        <w:pStyle w:val="57"/>
        <w:ind w:firstLine="420"/>
        <w:rPr>
          <w:rFonts w:hint="eastAsia"/>
        </w:rPr>
      </w:pPr>
      <w:r>
        <w:rPr>
          <w:kern w:val="2"/>
        </w:rPr>
        <w:t>油橄榄的栽植密度也是定植坑密度，即株行距，应根据立地条件（土壤、地形、气候等）、品种、栽培目的等合理确定。一般栽植密度为4m×5m、4m×6m、5m×5m、6m×5m。传统油橄榄园为了适应早期高产、高效，常采用计划密植方式，即早期定植时采用株行距为3m×5m，到树冠交错后可隔株间伐或间移，调整株行距为6m×5m。</w:t>
      </w:r>
    </w:p>
    <w:p>
      <w:pPr>
        <w:pStyle w:val="106"/>
        <w:spacing w:before="156" w:after="156"/>
      </w:pPr>
      <w:r>
        <w:rPr>
          <w:rFonts w:ascii="Times New Roman"/>
        </w:rPr>
        <w:t>栽植时间</w:t>
      </w:r>
    </w:p>
    <w:p>
      <w:pPr>
        <w:pStyle w:val="57"/>
        <w:ind w:firstLine="420"/>
      </w:pPr>
      <w:r>
        <w:rPr>
          <w:kern w:val="2"/>
        </w:rPr>
        <w:t>春季芽未萌动前或秋季苗木停止生长后进行。</w:t>
      </w:r>
    </w:p>
    <w:p>
      <w:pPr>
        <w:pStyle w:val="106"/>
        <w:spacing w:before="156" w:after="156"/>
        <w:rPr>
          <w:rFonts w:hint="eastAsia" w:ascii="Times New Roman"/>
        </w:rPr>
      </w:pPr>
      <w:r>
        <w:rPr>
          <w:rFonts w:ascii="Times New Roman"/>
        </w:rPr>
        <w:t>苗木质量</w:t>
      </w:r>
    </w:p>
    <w:p>
      <w:pPr>
        <w:pStyle w:val="57"/>
        <w:ind w:firstLine="420"/>
      </w:pPr>
      <w:r>
        <w:rPr>
          <w:kern w:val="2"/>
        </w:rPr>
        <w:t>苗木质量符合LY/T 1532-2021油橄榄中</w:t>
      </w:r>
      <w:r>
        <w:rPr>
          <w:rFonts w:hint="eastAsia" w:hAnsi="宋体" w:cs="宋体"/>
          <w:kern w:val="2"/>
        </w:rPr>
        <w:t>Ⅰ</w:t>
      </w:r>
      <w:r>
        <w:rPr>
          <w:kern w:val="2"/>
        </w:rPr>
        <w:t>级苗木标准，苗木检测和检验须按GB 6000—1999主要造林树种苗木质量分级执行。</w:t>
      </w:r>
    </w:p>
    <w:p>
      <w:pPr>
        <w:pStyle w:val="106"/>
        <w:spacing w:before="156" w:after="156"/>
      </w:pPr>
      <w:r>
        <w:rPr>
          <w:rFonts w:ascii="Times New Roman"/>
        </w:rPr>
        <w:t>种植方式</w:t>
      </w:r>
    </w:p>
    <w:p>
      <w:pPr>
        <w:pStyle w:val="166"/>
        <w:ind w:left="780" w:hanging="360"/>
        <w:rPr>
          <w:rFonts w:hint="eastAsia"/>
          <w:kern w:val="2"/>
        </w:rPr>
      </w:pPr>
      <w:r>
        <w:rPr>
          <w:kern w:val="2"/>
        </w:rPr>
        <w:t>浅丘地和低山丘陵地油橄榄种植均采用垒土种植的方式，即以原定植坑的中心为中心，以混有有机肥的土壤为材料进行垒土，最终垒成一个直径2m</w:t>
      </w:r>
      <w:r>
        <w:rPr>
          <w:rFonts w:hint="eastAsia" w:hAnsi="宋体"/>
          <w:color w:val="000000" w:themeColor="text1"/>
          <w14:textFill>
            <w14:solidFill>
              <w14:schemeClr w14:val="tx1"/>
            </w14:solidFill>
          </w14:textFill>
        </w:rPr>
        <w:t>～</w:t>
      </w:r>
      <w:r>
        <w:rPr>
          <w:kern w:val="2"/>
        </w:rPr>
        <w:t>2.5m，高度60cm的圆锥形土盘。</w:t>
      </w:r>
    </w:p>
    <w:p>
      <w:pPr>
        <w:pStyle w:val="166"/>
        <w:ind w:left="780" w:hanging="360"/>
        <w:rPr>
          <w:rFonts w:hint="eastAsia"/>
          <w:kern w:val="2"/>
        </w:rPr>
      </w:pPr>
      <w:r>
        <w:rPr>
          <w:kern w:val="2"/>
        </w:rPr>
        <w:t>栽植苗木时，将土盘中间挖开，坑深30cm，坑的大小略大于苗木根冠冠幅或土球大小。</w:t>
      </w:r>
    </w:p>
    <w:p>
      <w:pPr>
        <w:pStyle w:val="166"/>
        <w:ind w:left="780" w:hanging="360"/>
      </w:pPr>
      <w:r>
        <w:rPr>
          <w:kern w:val="2"/>
        </w:rPr>
        <w:t>栽植后，以树</w:t>
      </w:r>
      <w:r>
        <w:t>干基</w:t>
      </w:r>
      <w:r>
        <w:rPr>
          <w:kern w:val="2"/>
        </w:rPr>
        <w:t>部为中心再次垒土，垒到栽之前的土盘大小为止。</w:t>
      </w:r>
    </w:p>
    <w:p>
      <w:pPr>
        <w:pStyle w:val="106"/>
        <w:spacing w:before="156" w:after="156"/>
        <w:rPr>
          <w:rFonts w:hint="eastAsia" w:ascii="Times New Roman"/>
        </w:rPr>
      </w:pPr>
      <w:r>
        <w:rPr>
          <w:rFonts w:ascii="Times New Roman"/>
        </w:rPr>
        <w:t>栽植</w:t>
      </w:r>
    </w:p>
    <w:p>
      <w:pPr>
        <w:pStyle w:val="166"/>
        <w:ind w:left="780" w:hanging="360"/>
        <w:rPr>
          <w:rFonts w:hint="eastAsia"/>
          <w:kern w:val="2"/>
        </w:rPr>
      </w:pPr>
      <w:r>
        <w:rPr>
          <w:kern w:val="2"/>
        </w:rPr>
        <w:t>栽植容器苗时，先去掉容器后再放入栽植坑内；裸根苗栽植前，先剪除破损根、过长根，然后将根系蘸满泥浆后栽植。</w:t>
      </w:r>
    </w:p>
    <w:p>
      <w:pPr>
        <w:pStyle w:val="166"/>
        <w:ind w:left="780" w:hanging="360"/>
        <w:rPr>
          <w:rFonts w:hint="eastAsia"/>
          <w:kern w:val="2"/>
        </w:rPr>
      </w:pPr>
      <w:r>
        <w:rPr>
          <w:kern w:val="2"/>
        </w:rPr>
        <w:t>栽植时应将油橄榄苗木根系舒展后垂直放入，防止根系弯曲或根尖向上，用细土回填覆盖根系，并向上轻提使根系舒展，与土壤紧密接触，边回填边压紧，回填至苗木根颈部时为止。</w:t>
      </w:r>
    </w:p>
    <w:p>
      <w:pPr>
        <w:pStyle w:val="166"/>
        <w:ind w:left="780" w:hanging="360"/>
        <w:rPr>
          <w:rFonts w:hint="eastAsia"/>
          <w:kern w:val="2"/>
        </w:rPr>
      </w:pPr>
      <w:r>
        <w:rPr>
          <w:kern w:val="2"/>
        </w:rPr>
        <w:t>栽植后，待浇水下沉后在苗木树干基部周围垒土，使其培成一个圆形土盘。在土盘上可覆盖一层稻草或地膜用于保湿和提高地温，也利于根系愈合、生长，提高成活率。</w:t>
      </w:r>
    </w:p>
    <w:p>
      <w:pPr>
        <w:pStyle w:val="166"/>
        <w:ind w:left="780" w:hanging="360"/>
      </w:pPr>
      <w:r>
        <w:rPr>
          <w:kern w:val="2"/>
        </w:rPr>
        <w:t>种植后设立支柱，固定苗木，防止风吹。苗木定植20d后，检查栽植成活情况，对死、伤株应及时补植。补植时应选同龄原有苗木品种。</w:t>
      </w:r>
    </w:p>
    <w:p>
      <w:pPr>
        <w:pStyle w:val="106"/>
        <w:spacing w:before="156" w:after="156"/>
      </w:pPr>
      <w:r>
        <w:rPr>
          <w:rFonts w:ascii="Times New Roman"/>
        </w:rPr>
        <w:t>灌溉</w:t>
      </w:r>
    </w:p>
    <w:p>
      <w:pPr>
        <w:pStyle w:val="57"/>
        <w:ind w:firstLine="420"/>
      </w:pPr>
      <w:r>
        <w:rPr>
          <w:kern w:val="2"/>
        </w:rPr>
        <w:t>栽植后立即浇透定根水。如遇干旱，应及时进行补灌。特别是多风干旱的春季，要密切关注土壤的水分变化，及时灌溉。</w:t>
      </w:r>
    </w:p>
    <w:p>
      <w:pPr>
        <w:pStyle w:val="106"/>
        <w:spacing w:before="156" w:after="156"/>
      </w:pPr>
      <w:r>
        <w:rPr>
          <w:rFonts w:ascii="Times New Roman"/>
        </w:rPr>
        <w:t>保护措施</w:t>
      </w:r>
    </w:p>
    <w:p>
      <w:pPr>
        <w:pStyle w:val="57"/>
        <w:ind w:firstLine="420"/>
        <w:rPr>
          <w:rFonts w:hint="eastAsia"/>
        </w:rPr>
      </w:pPr>
      <w:r>
        <w:rPr>
          <w:kern w:val="2"/>
        </w:rPr>
        <w:t>加强管护，防止人、畜损毁</w:t>
      </w:r>
      <w:r>
        <w:rPr>
          <w:rFonts w:hint="eastAsia"/>
        </w:rPr>
        <w:t>。</w:t>
      </w:r>
    </w:p>
    <w:p>
      <w:pPr>
        <w:pStyle w:val="105"/>
        <w:spacing w:before="312" w:after="312"/>
      </w:pPr>
      <w:bookmarkStart w:id="121" w:name="_Toc141195303"/>
      <w:r>
        <w:rPr>
          <w:rFonts w:ascii="Times New Roman"/>
        </w:rPr>
        <w:t>栽后田间管理</w:t>
      </w:r>
      <w:bookmarkEnd w:id="121"/>
    </w:p>
    <w:p>
      <w:pPr>
        <w:pStyle w:val="106"/>
        <w:spacing w:before="156" w:after="156"/>
        <w:rPr>
          <w:color w:val="000000" w:themeColor="text1"/>
          <w14:textFill>
            <w14:solidFill>
              <w14:schemeClr w14:val="tx1"/>
            </w14:solidFill>
          </w14:textFill>
        </w:rPr>
      </w:pPr>
      <w:r>
        <w:rPr>
          <w:rFonts w:ascii="Times New Roman"/>
        </w:rPr>
        <w:t>灌溉与排水</w:t>
      </w:r>
    </w:p>
    <w:p>
      <w:pPr>
        <w:pStyle w:val="66"/>
        <w:spacing w:before="156" w:after="156"/>
        <w:ind w:left="0"/>
      </w:pPr>
      <w:r>
        <w:rPr>
          <w:rFonts w:ascii="Times New Roman"/>
        </w:rPr>
        <w:t>灌溉</w:t>
      </w:r>
    </w:p>
    <w:p>
      <w:pPr>
        <w:pStyle w:val="165"/>
      </w:pPr>
      <w:r>
        <w:rPr>
          <w:kern w:val="2"/>
        </w:rPr>
        <w:t>油橄榄果园灌溉的关键时间主要在展叶期、花期、幼果期及冬季，凡遇连续干旱，需注意观察，及时灌水</w:t>
      </w:r>
      <w:r>
        <w:rPr>
          <w:rFonts w:hint="eastAsia"/>
        </w:rPr>
        <w:t>。</w:t>
      </w:r>
    </w:p>
    <w:p>
      <w:pPr>
        <w:pStyle w:val="165"/>
      </w:pPr>
      <w:r>
        <w:rPr>
          <w:kern w:val="2"/>
        </w:rPr>
        <w:t>灌溉的方式可根据园地的水源、设施情况使用滴灌、喷灌、穴灌或面灌</w:t>
      </w:r>
      <w:r>
        <w:rPr>
          <w:rFonts w:hint="eastAsia"/>
        </w:rPr>
        <w:t>。</w:t>
      </w:r>
    </w:p>
    <w:p>
      <w:pPr>
        <w:pStyle w:val="66"/>
        <w:spacing w:before="156" w:after="156"/>
        <w:ind w:left="0"/>
      </w:pPr>
      <w:r>
        <w:rPr>
          <w:rFonts w:ascii="Times New Roman"/>
        </w:rPr>
        <w:t>排水</w:t>
      </w:r>
    </w:p>
    <w:p>
      <w:pPr>
        <w:pStyle w:val="57"/>
        <w:ind w:firstLine="420"/>
      </w:pPr>
      <w:r>
        <w:rPr>
          <w:kern w:val="2"/>
        </w:rPr>
        <w:t>坡度在10°以下的平缓地段、土壤中壤及轻粘、地下水位较高的河谷阶地与谷坡地等，均应设置边沟、截沟、竖沟或作垄等进行排水</w:t>
      </w:r>
      <w:r>
        <w:rPr>
          <w:rFonts w:hint="eastAsia"/>
        </w:rPr>
        <w:t>。</w:t>
      </w:r>
    </w:p>
    <w:p>
      <w:pPr>
        <w:pStyle w:val="106"/>
        <w:spacing w:before="156" w:after="156"/>
      </w:pPr>
      <w:r>
        <w:rPr>
          <w:rFonts w:ascii="Times New Roman"/>
        </w:rPr>
        <w:t>施肥</w:t>
      </w:r>
    </w:p>
    <w:p>
      <w:pPr>
        <w:pStyle w:val="166"/>
        <w:ind w:left="780" w:hanging="360"/>
        <w:rPr>
          <w:rFonts w:hint="eastAsia"/>
          <w:kern w:val="2"/>
        </w:rPr>
      </w:pPr>
      <w:r>
        <w:rPr>
          <w:kern w:val="2"/>
        </w:rPr>
        <w:t>萌芽开花期（3月</w:t>
      </w:r>
      <w:r>
        <w:rPr>
          <w:rFonts w:hint="eastAsia" w:hAnsi="宋体"/>
          <w:color w:val="000000" w:themeColor="text1"/>
          <w14:textFill>
            <w14:solidFill>
              <w14:schemeClr w14:val="tx1"/>
            </w14:solidFill>
          </w14:textFill>
        </w:rPr>
        <w:t>～</w:t>
      </w:r>
      <w:r>
        <w:rPr>
          <w:kern w:val="2"/>
        </w:rPr>
        <w:t>4月）以速效N肥为主，前后共2次，间隔20d</w:t>
      </w:r>
      <w:r>
        <w:rPr>
          <w:rFonts w:hint="eastAsia" w:hAnsi="宋体"/>
          <w:color w:val="000000" w:themeColor="text1"/>
          <w14:textFill>
            <w14:solidFill>
              <w14:schemeClr w14:val="tx1"/>
            </w14:solidFill>
          </w14:textFill>
        </w:rPr>
        <w:t>～</w:t>
      </w:r>
      <w:r>
        <w:rPr>
          <w:kern w:val="2"/>
        </w:rPr>
        <w:t>25d，用量15g/株，与此同时，需施1次保花保果叶面肥，叶面肥包括磷酸二氢钾、硼肥、芸苔素，稀释浓度为800倍</w:t>
      </w:r>
      <w:r>
        <w:rPr>
          <w:rFonts w:hint="eastAsia" w:hAnsi="宋体"/>
          <w:color w:val="000000" w:themeColor="text1"/>
          <w14:textFill>
            <w14:solidFill>
              <w14:schemeClr w14:val="tx1"/>
            </w14:solidFill>
          </w14:textFill>
        </w:rPr>
        <w:t>～</w:t>
      </w:r>
      <w:r>
        <w:rPr>
          <w:kern w:val="2"/>
        </w:rPr>
        <w:t>1000倍；果实膨大期（5月）和油脂转化期（9月</w:t>
      </w:r>
      <w:r>
        <w:rPr>
          <w:rFonts w:hint="eastAsia" w:hAnsi="宋体"/>
          <w:color w:val="000000" w:themeColor="text1"/>
          <w14:textFill>
            <w14:solidFill>
              <w14:schemeClr w14:val="tx1"/>
            </w14:solidFill>
          </w14:textFill>
        </w:rPr>
        <w:t>～</w:t>
      </w:r>
      <w:r>
        <w:rPr>
          <w:kern w:val="2"/>
        </w:rPr>
        <w:t>10月），以高氮复合肥为主。</w:t>
      </w:r>
    </w:p>
    <w:p>
      <w:pPr>
        <w:pStyle w:val="166"/>
        <w:ind w:left="780" w:hanging="360"/>
        <w:rPr>
          <w:rFonts w:hint="eastAsia"/>
        </w:rPr>
      </w:pPr>
      <w:r>
        <w:rPr>
          <w:kern w:val="2"/>
        </w:rPr>
        <w:t>施肥方法可以是环状施肥、条状沟施肥、放射状施肥，施肥方式为根外施肥或水肥一体化。详见附录C。</w:t>
      </w:r>
    </w:p>
    <w:p>
      <w:pPr>
        <w:pStyle w:val="106"/>
        <w:spacing w:before="156" w:after="156"/>
      </w:pPr>
      <w:r>
        <w:rPr>
          <w:rFonts w:ascii="Times New Roman"/>
        </w:rPr>
        <w:t>整形修剪</w:t>
      </w:r>
    </w:p>
    <w:p>
      <w:pPr>
        <w:pStyle w:val="66"/>
        <w:spacing w:before="156" w:after="156"/>
        <w:ind w:left="0"/>
      </w:pPr>
      <w:r>
        <w:rPr>
          <w:rFonts w:ascii="Times New Roman"/>
        </w:rPr>
        <w:t>整形修剪时间</w:t>
      </w:r>
    </w:p>
    <w:p>
      <w:pPr>
        <w:pStyle w:val="57"/>
        <w:ind w:firstLine="420"/>
      </w:pPr>
      <w:r>
        <w:rPr>
          <w:rFonts w:hint="eastAsia"/>
        </w:rPr>
        <w:t>修剪主要在秋季采果后至次年春季发芽前进行。在夏季，为了控制树形树体，可采取抹芽、摘心、控稍等方法开展修剪工作。</w:t>
      </w:r>
    </w:p>
    <w:p>
      <w:pPr>
        <w:pStyle w:val="66"/>
        <w:spacing w:before="156" w:after="156"/>
        <w:ind w:left="0"/>
      </w:pPr>
      <w:r>
        <w:rPr>
          <w:rFonts w:ascii="Times New Roman"/>
        </w:rPr>
        <w:t>各生长阶段的整形修剪</w:t>
      </w:r>
    </w:p>
    <w:p>
      <w:pPr>
        <w:pStyle w:val="57"/>
        <w:ind w:firstLine="420"/>
        <w:rPr>
          <w:rFonts w:hint="eastAsia"/>
        </w:rPr>
      </w:pPr>
      <w:r>
        <w:rPr>
          <w:rFonts w:hint="eastAsia"/>
        </w:rPr>
        <w:t>整形修剪根据油橄榄品种枝条的萌芽率、发枝力、开张角度、枝条的软硬度、结果习性以及不同地势、气候、土壤、不同栽培管理条件而定。针对果树不同生长阶段，采用相宜的修剪方法：</w:t>
      </w:r>
    </w:p>
    <w:p>
      <w:pPr>
        <w:pStyle w:val="175"/>
        <w:numPr>
          <w:ilvl w:val="0"/>
          <w:numId w:val="32"/>
        </w:numPr>
        <w:rPr>
          <w:rFonts w:hint="eastAsia"/>
        </w:rPr>
      </w:pPr>
      <w:r>
        <w:rPr>
          <w:rFonts w:hint="eastAsia"/>
        </w:rPr>
        <w:t>幼树：主要任务在于整形，将各级骨干枝分配在适宜的空间，保持良好的主从关系和牢固的骨架。宜轻剪，采取疏除和截短的修剪方法，疏除过密枝、交叉枝和竞争枝，截短着生位置较好的徒长枝，培养树干主枝、辅养枝和结果枝。每次修剪的枝叶量不宜超过总枝叶量的10%。</w:t>
      </w:r>
    </w:p>
    <w:p>
      <w:pPr>
        <w:pStyle w:val="175"/>
        <w:numPr>
          <w:ilvl w:val="0"/>
          <w:numId w:val="32"/>
        </w:numPr>
        <w:rPr>
          <w:rFonts w:hint="eastAsia"/>
        </w:rPr>
      </w:pPr>
      <w:r>
        <w:rPr>
          <w:rFonts w:hint="eastAsia"/>
        </w:rPr>
        <w:t>初果期：结果初期以轻剪缓放为主，疏除过密枝、交叉枝、重叠枝，促进树冠发育，枝桠分布均匀，培养结果枝。</w:t>
      </w:r>
    </w:p>
    <w:p>
      <w:pPr>
        <w:pStyle w:val="175"/>
        <w:numPr>
          <w:ilvl w:val="0"/>
          <w:numId w:val="32"/>
        </w:numPr>
        <w:rPr>
          <w:rFonts w:hint="eastAsia"/>
        </w:rPr>
      </w:pPr>
      <w:r>
        <w:rPr>
          <w:rFonts w:hint="eastAsia"/>
        </w:rPr>
        <w:t>盛果期：盛果期重在调节生长与结果的关系。整形修剪在冬季及早春休眠期进行，疏除过密枝、细弱枝、衰老枝、病虫枝，短截结果枝，促其新稍萌发并形成结果预备枝，保持营养枝、结果枝及结果预备枝在树冠中合理均匀分布，并改善树冠的受光、通风条件，增大结果面积。</w:t>
      </w:r>
    </w:p>
    <w:p>
      <w:pPr>
        <w:pStyle w:val="175"/>
        <w:numPr>
          <w:ilvl w:val="0"/>
          <w:numId w:val="32"/>
        </w:numPr>
      </w:pPr>
      <w:r>
        <w:rPr>
          <w:rFonts w:hint="eastAsia"/>
        </w:rPr>
        <w:t>弱树修剪：衰老期及处于衰老状态下的果树，应注意回缩多年生枝，更新复壮，延长树体寿命。对树冠处于生长衰弱状态且树木整体尚未较健壮的果树，采取重度回缩的方法，疏除衰弱枝，截缩回至健壮并可形成饱满芽的枝干部分，重新构建树形，培养新的结果枝。</w:t>
      </w:r>
    </w:p>
    <w:p>
      <w:pPr>
        <w:pStyle w:val="66"/>
        <w:spacing w:before="156" w:after="156"/>
        <w:ind w:left="0"/>
      </w:pPr>
      <w:r>
        <w:rPr>
          <w:rFonts w:ascii="Times New Roman"/>
        </w:rPr>
        <w:t>修剪树形选择</w:t>
      </w:r>
    </w:p>
    <w:p>
      <w:pPr>
        <w:pStyle w:val="57"/>
        <w:ind w:firstLine="420"/>
        <w:rPr>
          <w:rFonts w:hint="eastAsia"/>
        </w:rPr>
      </w:pPr>
      <w:r>
        <w:rPr>
          <w:rFonts w:hint="eastAsia"/>
        </w:rPr>
        <w:t>油橄榄树冠形态的培养，主要考虑有利于开花结果，常见Y字型、三（四）大主枝开心型和疏散分层型三种。开心型最为普遍。</w:t>
      </w:r>
    </w:p>
    <w:p>
      <w:pPr>
        <w:pStyle w:val="57"/>
        <w:ind w:firstLine="420"/>
      </w:pPr>
      <w:r>
        <w:rPr>
          <w:rFonts w:hint="eastAsia"/>
        </w:rPr>
        <w:t>几种树冠形态的培育详见附录D。</w:t>
      </w:r>
    </w:p>
    <w:p>
      <w:pPr>
        <w:pStyle w:val="106"/>
        <w:spacing w:before="156" w:after="156"/>
      </w:pPr>
      <w:r>
        <w:rPr>
          <w:rFonts w:hint="eastAsia"/>
        </w:rPr>
        <w:t>病虫害防治</w:t>
      </w:r>
    </w:p>
    <w:p>
      <w:pPr>
        <w:pStyle w:val="166"/>
        <w:ind w:left="780" w:hanging="360"/>
      </w:pPr>
      <w:r>
        <w:rPr>
          <w:kern w:val="2"/>
        </w:rPr>
        <w:t>主要病害：炭疽病、疮痂病、青枯病、孔雀斑病、煤烟病、肿瘤病、根腐病、干腐（黄化丛枝）病、根结线虫病等</w:t>
      </w:r>
      <w:r>
        <w:rPr>
          <w:rFonts w:hint="eastAsia"/>
        </w:rPr>
        <w:t>。</w:t>
      </w:r>
    </w:p>
    <w:p>
      <w:pPr>
        <w:pStyle w:val="166"/>
        <w:ind w:left="780" w:hanging="360"/>
      </w:pPr>
      <w:r>
        <w:rPr>
          <w:kern w:val="2"/>
        </w:rPr>
        <w:t>主要虫害：云斑天牛、咖啡豹蠹蛾、大粒横沟象、金龟子、油橄榄蜡蚧、绵蚧、红蜘蛛等</w:t>
      </w:r>
      <w:r>
        <w:rPr>
          <w:rFonts w:hint="eastAsia"/>
        </w:rPr>
        <w:t>。</w:t>
      </w:r>
    </w:p>
    <w:p>
      <w:pPr>
        <w:pStyle w:val="166"/>
        <w:ind w:left="780" w:hanging="360"/>
      </w:pPr>
      <w:r>
        <w:rPr>
          <w:kern w:val="2"/>
        </w:rPr>
        <w:t>防治方法：主要病虫害特征及防治方法详见附录E，也可参照LY/T 1532-2021油橄榄</w:t>
      </w:r>
      <w:r>
        <w:rPr>
          <w:rFonts w:hint="eastAsia"/>
        </w:rPr>
        <w:t>。</w:t>
      </w:r>
    </w:p>
    <w:p>
      <w:pPr>
        <w:pStyle w:val="106"/>
        <w:spacing w:before="156" w:after="156"/>
      </w:pPr>
      <w:r>
        <w:rPr>
          <w:rFonts w:ascii="Times New Roman"/>
        </w:rPr>
        <w:t>田间杂草管理</w:t>
      </w:r>
    </w:p>
    <w:p>
      <w:pPr>
        <w:pStyle w:val="57"/>
        <w:ind w:firstLine="420"/>
        <w:rPr>
          <w:rFonts w:hint="eastAsia"/>
          <w:kern w:val="2"/>
        </w:rPr>
      </w:pPr>
      <w:r>
        <w:rPr>
          <w:kern w:val="2"/>
        </w:rPr>
        <w:t>果园田间锄草坚持“除早、除小”的原则，特别是在夏季生长期，杂草生长速度较快，做到有草必除、有草勤除。为了控制果园杂草生长，可以采用间种、套种作物或中药材的方法，结合间种或套种作物的管理开展田间杂草的管理工作。</w:t>
      </w:r>
    </w:p>
    <w:p>
      <w:pPr>
        <w:pStyle w:val="106"/>
        <w:spacing w:before="156" w:after="156"/>
      </w:pPr>
      <w:r>
        <w:rPr>
          <w:rFonts w:ascii="Times New Roman"/>
        </w:rPr>
        <w:t>园地管理</w:t>
      </w:r>
    </w:p>
    <w:p>
      <w:pPr>
        <w:pStyle w:val="57"/>
        <w:ind w:firstLine="420"/>
        <w:rPr>
          <w:rFonts w:hint="eastAsia"/>
          <w:kern w:val="2"/>
        </w:rPr>
      </w:pPr>
      <w:r>
        <w:rPr>
          <w:kern w:val="2"/>
        </w:rPr>
        <w:t>每年冬春季节对园地进行中耕松土1</w:t>
      </w:r>
      <w:r>
        <w:rPr>
          <w:rFonts w:hint="eastAsia" w:hAnsi="宋体"/>
          <w:color w:val="000000" w:themeColor="text1"/>
          <w14:textFill>
            <w14:solidFill>
              <w14:schemeClr w14:val="tx1"/>
            </w14:solidFill>
          </w14:textFill>
        </w:rPr>
        <w:t>～</w:t>
      </w:r>
      <w:r>
        <w:rPr>
          <w:kern w:val="2"/>
        </w:rPr>
        <w:t>2次，结合锄草，保持土壤疏松。每年冬季修剪完成后对园区进行清园杀菌，春季清明前后对园区进行开园杀菌。</w:t>
      </w:r>
    </w:p>
    <w:p>
      <w:pPr>
        <w:pStyle w:val="106"/>
        <w:spacing w:before="156" w:after="156"/>
      </w:pPr>
      <w:r>
        <w:rPr>
          <w:rFonts w:ascii="Times New Roman"/>
        </w:rPr>
        <w:t>果园周年管理</w:t>
      </w:r>
    </w:p>
    <w:p>
      <w:pPr>
        <w:pStyle w:val="57"/>
        <w:ind w:firstLine="420"/>
        <w:rPr>
          <w:rFonts w:hint="eastAsia"/>
          <w:kern w:val="2"/>
        </w:rPr>
      </w:pPr>
      <w:r>
        <w:rPr>
          <w:kern w:val="2"/>
        </w:rPr>
        <w:t>详见附录F。</w:t>
      </w:r>
    </w:p>
    <w:p>
      <w:pPr>
        <w:pStyle w:val="57"/>
        <w:ind w:firstLine="420"/>
      </w:pPr>
    </w:p>
    <w:p>
      <w:pPr>
        <w:pStyle w:val="166"/>
        <w:sectPr>
          <w:headerReference r:id="rId19" w:type="default"/>
          <w:footerReference r:id="rId21" w:type="default"/>
          <w:headerReference r:id="rId20" w:type="even"/>
          <w:footerReference r:id="rId22" w:type="even"/>
          <w:pgSz w:w="11906" w:h="16838"/>
          <w:pgMar w:top="1928" w:right="1134" w:bottom="1134" w:left="1134" w:header="1418" w:footer="1134" w:gutter="284"/>
          <w:pgNumType w:start="1"/>
          <w:cols w:space="425" w:num="1"/>
          <w:formProt w:val="0"/>
          <w:docGrid w:type="lines" w:linePitch="312" w:charSpace="0"/>
        </w:sectPr>
      </w:pPr>
    </w:p>
    <w:bookmarkEnd w:id="32"/>
    <w:p>
      <w:pPr>
        <w:pStyle w:val="199"/>
      </w:pPr>
      <w:bookmarkStart w:id="122" w:name="BookMark5"/>
    </w:p>
    <w:p>
      <w:pPr>
        <w:pStyle w:val="200"/>
      </w:pPr>
    </w:p>
    <w:p>
      <w:pPr>
        <w:pStyle w:val="77"/>
        <w:spacing w:after="156"/>
      </w:pPr>
      <w:r>
        <w:br w:type="textWrapping"/>
      </w:r>
      <w:bookmarkStart w:id="123" w:name="_Toc139615271"/>
      <w:bookmarkStart w:id="124" w:name="_Toc139371249"/>
      <w:bookmarkStart w:id="125" w:name="_Toc139031629"/>
      <w:bookmarkStart w:id="126" w:name="_Toc139558903"/>
      <w:bookmarkStart w:id="127" w:name="_Toc139620726"/>
      <w:bookmarkStart w:id="128" w:name="_Toc139562835"/>
      <w:bookmarkStart w:id="129" w:name="_Toc141195304"/>
      <w:r>
        <w:rPr>
          <w:rFonts w:hint="eastAsia"/>
        </w:rPr>
        <w:t>（资料性）</w:t>
      </w:r>
      <w:r>
        <w:br w:type="textWrapping"/>
      </w:r>
      <w:bookmarkEnd w:id="123"/>
      <w:bookmarkEnd w:id="124"/>
      <w:bookmarkEnd w:id="125"/>
      <w:bookmarkEnd w:id="126"/>
      <w:bookmarkEnd w:id="127"/>
      <w:bookmarkEnd w:id="128"/>
      <w:bookmarkStart w:id="130" w:name="_Toc140138090"/>
      <w:r>
        <w:rPr>
          <w:bCs/>
          <w:szCs w:val="32"/>
        </w:rPr>
        <w:t>立地分类与油橄榄适宜性评价</w:t>
      </w:r>
      <w:bookmarkEnd w:id="129"/>
      <w:bookmarkEnd w:id="130"/>
    </w:p>
    <w:p>
      <w:pPr>
        <w:pStyle w:val="57"/>
        <w:ind w:firstLine="420"/>
      </w:pPr>
      <w:r>
        <w:rPr>
          <w:rFonts w:hint="eastAsia"/>
        </w:rPr>
        <w:t>成都市油橄榄立地类型与适宜性评价见表</w:t>
      </w:r>
      <w:r>
        <w:t>A</w:t>
      </w:r>
      <w:r>
        <w:rPr>
          <w:rFonts w:hint="eastAsia"/>
        </w:rPr>
        <w:t>.</w:t>
      </w:r>
      <w:r>
        <w:t>1</w:t>
      </w:r>
      <w:r>
        <w:rPr>
          <w:rFonts w:hint="eastAsia"/>
        </w:rPr>
        <w:t>。</w:t>
      </w:r>
    </w:p>
    <w:p>
      <w:pPr>
        <w:pStyle w:val="78"/>
        <w:numPr>
          <w:ilvl w:val="0"/>
          <w:numId w:val="0"/>
        </w:numPr>
        <w:spacing w:before="156" w:after="156"/>
        <w:rPr>
          <w:rFonts w:hint="eastAsia"/>
          <w:bCs/>
          <w:szCs w:val="32"/>
        </w:rPr>
      </w:pPr>
      <w:r>
        <w:rPr>
          <w:bCs/>
          <w:szCs w:val="32"/>
        </w:rPr>
        <w:t>表</w:t>
      </w:r>
      <w:r>
        <w:rPr>
          <w:rFonts w:hint="eastAsia"/>
          <w:bCs/>
          <w:szCs w:val="32"/>
        </w:rPr>
        <w:t xml:space="preserve">A.1  </w:t>
      </w:r>
      <w:r>
        <w:rPr>
          <w:bCs/>
          <w:szCs w:val="32"/>
        </w:rPr>
        <w:t>立地分类与油橄榄适宜性评价</w:t>
      </w:r>
    </w:p>
    <w:tbl>
      <w:tblPr>
        <w:tblStyle w:val="27"/>
        <w:tblW w:w="0" w:type="auto"/>
        <w:tblInd w:w="0" w:type="dxa"/>
        <w:tblLayout w:type="autofit"/>
        <w:tblCellMar>
          <w:top w:w="0" w:type="dxa"/>
          <w:left w:w="108" w:type="dxa"/>
          <w:bottom w:w="0" w:type="dxa"/>
          <w:right w:w="108" w:type="dxa"/>
        </w:tblCellMar>
      </w:tblPr>
      <w:tblGrid>
        <w:gridCol w:w="534"/>
        <w:gridCol w:w="992"/>
        <w:gridCol w:w="5386"/>
        <w:gridCol w:w="426"/>
        <w:gridCol w:w="567"/>
        <w:gridCol w:w="567"/>
        <w:gridCol w:w="1098"/>
      </w:tblGrid>
      <w:tr>
        <w:tc>
          <w:tcPr>
            <w:tcW w:w="534" w:type="dxa"/>
            <w:vMerge w:val="restart"/>
            <w:tcBorders>
              <w:top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序号</w:t>
            </w:r>
          </w:p>
        </w:tc>
        <w:tc>
          <w:tcPr>
            <w:tcW w:w="992" w:type="dxa"/>
            <w:vMerge w:val="restart"/>
            <w:tcBorders>
              <w:top w:val="single" w:color="auto" w:sz="4" w:space="0"/>
            </w:tcBorders>
            <w:shd w:val="clear" w:color="auto" w:fill="auto"/>
            <w:vAlign w:val="center"/>
          </w:tcPr>
          <w:p>
            <w:pPr>
              <w:pStyle w:val="236"/>
              <w:snapToGrid w:val="0"/>
              <w:spacing w:before="15" w:line="320" w:lineRule="exact"/>
              <w:ind w:firstLine="0" w:firstLineChars="0"/>
              <w:jc w:val="center"/>
              <w:rPr>
                <w:rFonts w:ascii="Times New Roman"/>
                <w:sz w:val="18"/>
                <w:szCs w:val="18"/>
              </w:rPr>
            </w:pPr>
            <w:r>
              <w:rPr>
                <w:rFonts w:ascii="Times New Roman"/>
                <w:sz w:val="18"/>
                <w:szCs w:val="18"/>
              </w:rPr>
              <w:t>立地组</w:t>
            </w:r>
          </w:p>
        </w:tc>
        <w:tc>
          <w:tcPr>
            <w:tcW w:w="5386" w:type="dxa"/>
            <w:vMerge w:val="restart"/>
            <w:tcBorders>
              <w:top w:val="single" w:color="auto" w:sz="4" w:space="0"/>
            </w:tcBorders>
            <w:shd w:val="clear" w:color="auto" w:fill="auto"/>
            <w:vAlign w:val="center"/>
          </w:tcPr>
          <w:p>
            <w:pPr>
              <w:pStyle w:val="236"/>
              <w:snapToGrid w:val="0"/>
              <w:spacing w:before="15" w:line="320" w:lineRule="exact"/>
              <w:ind w:firstLine="0" w:firstLineChars="0"/>
              <w:jc w:val="center"/>
              <w:rPr>
                <w:rFonts w:ascii="Times New Roman"/>
                <w:sz w:val="18"/>
                <w:szCs w:val="18"/>
              </w:rPr>
            </w:pPr>
            <w:r>
              <w:rPr>
                <w:rFonts w:ascii="Times New Roman"/>
                <w:sz w:val="18"/>
                <w:szCs w:val="18"/>
              </w:rPr>
              <w:t>立地类型</w:t>
            </w:r>
          </w:p>
        </w:tc>
        <w:tc>
          <w:tcPr>
            <w:tcW w:w="1560" w:type="dxa"/>
            <w:gridSpan w:val="3"/>
            <w:tcBorders>
              <w:top w:val="single" w:color="auto" w:sz="4" w:space="0"/>
              <w:bottom w:val="single" w:color="auto" w:sz="4" w:space="0"/>
            </w:tcBorders>
            <w:shd w:val="clear" w:color="auto" w:fill="auto"/>
            <w:vAlign w:val="center"/>
          </w:tcPr>
          <w:p>
            <w:pPr>
              <w:pStyle w:val="236"/>
              <w:snapToGrid w:val="0"/>
              <w:spacing w:before="15" w:line="320" w:lineRule="exact"/>
              <w:ind w:firstLine="0" w:firstLineChars="0"/>
              <w:jc w:val="center"/>
              <w:rPr>
                <w:rFonts w:ascii="Times New Roman"/>
                <w:sz w:val="18"/>
                <w:szCs w:val="18"/>
              </w:rPr>
            </w:pPr>
            <w:r>
              <w:rPr>
                <w:rFonts w:ascii="Times New Roman"/>
                <w:sz w:val="18"/>
                <w:szCs w:val="18"/>
              </w:rPr>
              <w:t>适生因子评价</w:t>
            </w:r>
          </w:p>
        </w:tc>
        <w:tc>
          <w:tcPr>
            <w:tcW w:w="1098" w:type="dxa"/>
            <w:vMerge w:val="restart"/>
            <w:tcBorders>
              <w:top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油橄榄适应性评价</w:t>
            </w:r>
          </w:p>
        </w:tc>
      </w:tr>
      <w:tr>
        <w:tc>
          <w:tcPr>
            <w:tcW w:w="534" w:type="dxa"/>
            <w:vMerge w:val="continue"/>
            <w:tcBorders>
              <w:bottom w:val="single" w:color="auto" w:sz="4" w:space="0"/>
            </w:tcBorders>
            <w:shd w:val="clear" w:color="auto" w:fill="auto"/>
          </w:tcPr>
          <w:p>
            <w:pPr>
              <w:pStyle w:val="236"/>
              <w:snapToGrid w:val="0"/>
              <w:spacing w:before="15" w:line="320" w:lineRule="exact"/>
              <w:ind w:firstLine="0" w:firstLineChars="0"/>
              <w:rPr>
                <w:rFonts w:ascii="Times New Roman"/>
                <w:sz w:val="18"/>
                <w:szCs w:val="18"/>
              </w:rPr>
            </w:pPr>
          </w:p>
        </w:tc>
        <w:tc>
          <w:tcPr>
            <w:tcW w:w="992" w:type="dxa"/>
            <w:vMerge w:val="continue"/>
            <w:tcBorders>
              <w:bottom w:val="single" w:color="auto" w:sz="4" w:space="0"/>
            </w:tcBorders>
            <w:shd w:val="clear" w:color="auto" w:fill="auto"/>
          </w:tcPr>
          <w:p>
            <w:pPr>
              <w:pStyle w:val="236"/>
              <w:snapToGrid w:val="0"/>
              <w:spacing w:before="15" w:line="320" w:lineRule="exact"/>
              <w:ind w:firstLine="0" w:firstLineChars="0"/>
              <w:rPr>
                <w:rFonts w:ascii="Times New Roman"/>
                <w:sz w:val="18"/>
                <w:szCs w:val="18"/>
              </w:rPr>
            </w:pPr>
          </w:p>
        </w:tc>
        <w:tc>
          <w:tcPr>
            <w:tcW w:w="5386" w:type="dxa"/>
            <w:vMerge w:val="continue"/>
            <w:tcBorders>
              <w:bottom w:val="single" w:color="auto" w:sz="4" w:space="0"/>
            </w:tcBorders>
            <w:shd w:val="clear" w:color="auto" w:fill="auto"/>
          </w:tcPr>
          <w:p>
            <w:pPr>
              <w:pStyle w:val="236"/>
              <w:snapToGrid w:val="0"/>
              <w:spacing w:before="15" w:line="320" w:lineRule="exact"/>
              <w:ind w:firstLine="0" w:firstLineChars="0"/>
              <w:rPr>
                <w:rFonts w:ascii="Times New Roman"/>
                <w:sz w:val="18"/>
                <w:szCs w:val="18"/>
              </w:rPr>
            </w:pPr>
          </w:p>
        </w:tc>
        <w:tc>
          <w:tcPr>
            <w:tcW w:w="426" w:type="dxa"/>
            <w:tcBorders>
              <w:top w:val="single" w:color="auto" w:sz="4" w:space="0"/>
              <w:bottom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坡度</w:t>
            </w:r>
          </w:p>
        </w:tc>
        <w:tc>
          <w:tcPr>
            <w:tcW w:w="567" w:type="dxa"/>
            <w:tcBorders>
              <w:top w:val="single" w:color="auto" w:sz="4" w:space="0"/>
              <w:bottom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坡向</w:t>
            </w:r>
          </w:p>
        </w:tc>
        <w:tc>
          <w:tcPr>
            <w:tcW w:w="567" w:type="dxa"/>
            <w:tcBorders>
              <w:top w:val="single" w:color="auto" w:sz="4" w:space="0"/>
              <w:bottom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土壤</w:t>
            </w:r>
          </w:p>
        </w:tc>
        <w:tc>
          <w:tcPr>
            <w:tcW w:w="1098" w:type="dxa"/>
            <w:vMerge w:val="continue"/>
            <w:tcBorders>
              <w:bottom w:val="single" w:color="auto" w:sz="4" w:space="0"/>
            </w:tcBorders>
            <w:shd w:val="clear" w:color="auto" w:fill="auto"/>
          </w:tcPr>
          <w:p>
            <w:pPr>
              <w:pStyle w:val="236"/>
              <w:snapToGrid w:val="0"/>
              <w:spacing w:before="15" w:line="320" w:lineRule="exact"/>
              <w:ind w:firstLine="0" w:firstLineChars="0"/>
              <w:rPr>
                <w:rFonts w:ascii="Times New Roman"/>
                <w:sz w:val="18"/>
                <w:szCs w:val="18"/>
              </w:rPr>
            </w:pPr>
          </w:p>
        </w:tc>
      </w:tr>
      <w:tr>
        <w:tc>
          <w:tcPr>
            <w:tcW w:w="534" w:type="dxa"/>
            <w:tcBorders>
              <w:top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1</w:t>
            </w:r>
          </w:p>
        </w:tc>
        <w:tc>
          <w:tcPr>
            <w:tcW w:w="992" w:type="dxa"/>
            <w:vMerge w:val="restart"/>
            <w:tcBorders>
              <w:top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河谷</w:t>
            </w:r>
          </w:p>
          <w:p>
            <w:pPr>
              <w:pStyle w:val="236"/>
              <w:snapToGrid w:val="0"/>
              <w:spacing w:before="15" w:line="320" w:lineRule="exact"/>
              <w:ind w:firstLine="0" w:firstLineChars="0"/>
              <w:rPr>
                <w:rFonts w:ascii="Times New Roman"/>
                <w:sz w:val="18"/>
                <w:szCs w:val="18"/>
              </w:rPr>
            </w:pPr>
            <w:r>
              <w:rPr>
                <w:rFonts w:ascii="Times New Roman"/>
                <w:sz w:val="18"/>
                <w:szCs w:val="18"/>
              </w:rPr>
              <w:t>老冲积黄壤组</w:t>
            </w:r>
          </w:p>
        </w:tc>
        <w:tc>
          <w:tcPr>
            <w:tcW w:w="5386" w:type="dxa"/>
            <w:shd w:val="clear" w:color="auto" w:fill="auto"/>
          </w:tcPr>
          <w:p>
            <w:pPr>
              <w:pStyle w:val="236"/>
              <w:snapToGrid w:val="0"/>
              <w:spacing w:before="15" w:line="320" w:lineRule="exact"/>
              <w:ind w:firstLine="0" w:firstLineChars="0"/>
              <w:rPr>
                <w:rFonts w:ascii="Times New Roman"/>
                <w:sz w:val="18"/>
                <w:szCs w:val="18"/>
              </w:rPr>
            </w:pPr>
            <w:r>
              <w:rPr>
                <w:rFonts w:ascii="Times New Roman"/>
                <w:sz w:val="18"/>
                <w:szCs w:val="18"/>
              </w:rPr>
              <w:t>河谷阶（坡、岗）地黄壤型</w:t>
            </w:r>
          </w:p>
        </w:tc>
        <w:tc>
          <w:tcPr>
            <w:tcW w:w="426" w:type="dxa"/>
            <w:tcBorders>
              <w:top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tcBorders>
              <w:top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tcBorders>
              <w:top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tcBorders>
              <w:top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不适宜</w:t>
            </w:r>
          </w:p>
        </w:tc>
      </w:tr>
      <w:tr>
        <w:tc>
          <w:tcPr>
            <w:tcW w:w="534"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2</w:t>
            </w:r>
          </w:p>
        </w:tc>
        <w:tc>
          <w:tcPr>
            <w:tcW w:w="992" w:type="dxa"/>
            <w:vMerge w:val="continue"/>
            <w:shd w:val="clear" w:color="auto" w:fill="auto"/>
          </w:tcPr>
          <w:p>
            <w:pPr>
              <w:pStyle w:val="236"/>
              <w:snapToGrid w:val="0"/>
              <w:spacing w:before="15" w:line="320" w:lineRule="exact"/>
              <w:ind w:firstLine="0" w:firstLineChars="0"/>
              <w:rPr>
                <w:rFonts w:ascii="Times New Roman"/>
                <w:sz w:val="18"/>
                <w:szCs w:val="18"/>
              </w:rPr>
            </w:pPr>
          </w:p>
        </w:tc>
        <w:tc>
          <w:tcPr>
            <w:tcW w:w="5386" w:type="dxa"/>
            <w:shd w:val="clear" w:color="auto" w:fill="auto"/>
          </w:tcPr>
          <w:p>
            <w:pPr>
              <w:pStyle w:val="236"/>
              <w:snapToGrid w:val="0"/>
              <w:spacing w:before="15" w:line="320" w:lineRule="exact"/>
              <w:ind w:firstLine="0" w:firstLineChars="0"/>
              <w:rPr>
                <w:rFonts w:ascii="Times New Roman"/>
                <w:sz w:val="18"/>
                <w:szCs w:val="18"/>
              </w:rPr>
            </w:pPr>
            <w:r>
              <w:rPr>
                <w:rFonts w:ascii="Times New Roman"/>
                <w:sz w:val="18"/>
                <w:szCs w:val="18"/>
              </w:rPr>
              <w:t>河谷阶（坡、岗）地泥质老冲积黄壤型</w:t>
            </w:r>
          </w:p>
        </w:tc>
        <w:tc>
          <w:tcPr>
            <w:tcW w:w="42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不适宜</w:t>
            </w:r>
          </w:p>
        </w:tc>
      </w:tr>
      <w:tr>
        <w:tc>
          <w:tcPr>
            <w:tcW w:w="534" w:type="dxa"/>
            <w:tcBorders>
              <w:bottom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3</w:t>
            </w:r>
          </w:p>
        </w:tc>
        <w:tc>
          <w:tcPr>
            <w:tcW w:w="992" w:type="dxa"/>
            <w:vMerge w:val="continue"/>
            <w:tcBorders>
              <w:bottom w:val="single" w:color="auto" w:sz="4" w:space="0"/>
            </w:tcBorders>
            <w:shd w:val="clear" w:color="auto" w:fill="auto"/>
          </w:tcPr>
          <w:p>
            <w:pPr>
              <w:pStyle w:val="236"/>
              <w:snapToGrid w:val="0"/>
              <w:spacing w:before="15" w:line="320" w:lineRule="exact"/>
              <w:ind w:firstLine="0" w:firstLineChars="0"/>
              <w:rPr>
                <w:rFonts w:ascii="Times New Roman"/>
                <w:sz w:val="18"/>
                <w:szCs w:val="18"/>
              </w:rPr>
            </w:pPr>
          </w:p>
        </w:tc>
        <w:tc>
          <w:tcPr>
            <w:tcW w:w="5386" w:type="dxa"/>
            <w:tcBorders>
              <w:bottom w:val="single" w:color="auto" w:sz="4" w:space="0"/>
            </w:tcBorders>
            <w:shd w:val="clear" w:color="auto" w:fill="auto"/>
          </w:tcPr>
          <w:p>
            <w:pPr>
              <w:pStyle w:val="236"/>
              <w:snapToGrid w:val="0"/>
              <w:spacing w:before="15" w:line="320" w:lineRule="exact"/>
              <w:ind w:firstLine="0" w:firstLineChars="0"/>
              <w:rPr>
                <w:rFonts w:ascii="Times New Roman"/>
                <w:sz w:val="18"/>
                <w:szCs w:val="18"/>
              </w:rPr>
            </w:pPr>
            <w:r>
              <w:rPr>
                <w:rFonts w:ascii="Times New Roman"/>
                <w:sz w:val="18"/>
                <w:szCs w:val="18"/>
              </w:rPr>
              <w:t>河谷阶（坡、岗）地石砾质老冲积黄壤型</w:t>
            </w:r>
          </w:p>
        </w:tc>
        <w:tc>
          <w:tcPr>
            <w:tcW w:w="426" w:type="dxa"/>
            <w:tcBorders>
              <w:bottom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tcBorders>
              <w:bottom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tcBorders>
              <w:bottom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tcBorders>
              <w:bottom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不适宜</w:t>
            </w:r>
          </w:p>
        </w:tc>
      </w:tr>
      <w:tr>
        <w:tc>
          <w:tcPr>
            <w:tcW w:w="534" w:type="dxa"/>
            <w:tcBorders>
              <w:top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4</w:t>
            </w:r>
          </w:p>
        </w:tc>
        <w:tc>
          <w:tcPr>
            <w:tcW w:w="992" w:type="dxa"/>
            <w:vMerge w:val="restart"/>
            <w:tcBorders>
              <w:top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河谷</w:t>
            </w:r>
          </w:p>
          <w:p>
            <w:pPr>
              <w:pStyle w:val="236"/>
              <w:snapToGrid w:val="0"/>
              <w:spacing w:before="15" w:line="320" w:lineRule="exact"/>
              <w:ind w:firstLine="0" w:firstLineChars="0"/>
              <w:rPr>
                <w:rFonts w:ascii="Times New Roman"/>
                <w:sz w:val="18"/>
                <w:szCs w:val="18"/>
              </w:rPr>
            </w:pPr>
            <w:r>
              <w:rPr>
                <w:rFonts w:ascii="Times New Roman"/>
                <w:sz w:val="18"/>
                <w:szCs w:val="18"/>
              </w:rPr>
              <w:t>新冲积土组</w:t>
            </w:r>
          </w:p>
        </w:tc>
        <w:tc>
          <w:tcPr>
            <w:tcW w:w="5386" w:type="dxa"/>
            <w:tcBorders>
              <w:top w:val="single" w:color="auto" w:sz="4" w:space="0"/>
            </w:tcBorders>
            <w:shd w:val="clear" w:color="auto" w:fill="auto"/>
          </w:tcPr>
          <w:p>
            <w:pPr>
              <w:pStyle w:val="236"/>
              <w:snapToGrid w:val="0"/>
              <w:spacing w:before="15" w:line="320" w:lineRule="exact"/>
              <w:ind w:firstLine="0" w:firstLineChars="0"/>
              <w:rPr>
                <w:rFonts w:ascii="Times New Roman"/>
                <w:sz w:val="18"/>
                <w:szCs w:val="18"/>
              </w:rPr>
            </w:pPr>
            <w:r>
              <w:rPr>
                <w:rFonts w:ascii="Times New Roman"/>
                <w:sz w:val="18"/>
                <w:szCs w:val="18"/>
              </w:rPr>
              <w:t>河谷阶地新冲积土型</w:t>
            </w:r>
          </w:p>
        </w:tc>
        <w:tc>
          <w:tcPr>
            <w:tcW w:w="426" w:type="dxa"/>
            <w:tcBorders>
              <w:top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tcBorders>
              <w:top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tcBorders>
              <w:top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tcBorders>
              <w:top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适宜</w:t>
            </w:r>
          </w:p>
        </w:tc>
      </w:tr>
      <w:tr>
        <w:tc>
          <w:tcPr>
            <w:tcW w:w="534"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5</w:t>
            </w:r>
          </w:p>
        </w:tc>
        <w:tc>
          <w:tcPr>
            <w:tcW w:w="992" w:type="dxa"/>
            <w:vMerge w:val="continue"/>
            <w:shd w:val="clear" w:color="auto" w:fill="auto"/>
          </w:tcPr>
          <w:p>
            <w:pPr>
              <w:pStyle w:val="236"/>
              <w:snapToGrid w:val="0"/>
              <w:spacing w:before="15" w:line="320" w:lineRule="exact"/>
              <w:ind w:firstLine="0" w:firstLineChars="0"/>
              <w:rPr>
                <w:rFonts w:ascii="Times New Roman"/>
                <w:sz w:val="18"/>
                <w:szCs w:val="18"/>
              </w:rPr>
            </w:pPr>
          </w:p>
        </w:tc>
        <w:tc>
          <w:tcPr>
            <w:tcW w:w="5386" w:type="dxa"/>
            <w:shd w:val="clear" w:color="auto" w:fill="auto"/>
          </w:tcPr>
          <w:p>
            <w:pPr>
              <w:pStyle w:val="236"/>
              <w:snapToGrid w:val="0"/>
              <w:spacing w:before="15" w:line="320" w:lineRule="exact"/>
              <w:ind w:firstLine="0" w:firstLineChars="0"/>
              <w:rPr>
                <w:rFonts w:ascii="Times New Roman"/>
                <w:sz w:val="18"/>
                <w:szCs w:val="18"/>
              </w:rPr>
            </w:pPr>
            <w:r>
              <w:rPr>
                <w:rFonts w:ascii="Times New Roman"/>
                <w:sz w:val="18"/>
                <w:szCs w:val="18"/>
              </w:rPr>
              <w:t>河谷阶坡新冲积土型</w:t>
            </w:r>
          </w:p>
        </w:tc>
        <w:tc>
          <w:tcPr>
            <w:tcW w:w="42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适宜</w:t>
            </w:r>
          </w:p>
        </w:tc>
      </w:tr>
      <w:tr>
        <w:tc>
          <w:tcPr>
            <w:tcW w:w="534"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6</w:t>
            </w:r>
          </w:p>
        </w:tc>
        <w:tc>
          <w:tcPr>
            <w:tcW w:w="992" w:type="dxa"/>
            <w:vMerge w:val="continue"/>
            <w:shd w:val="clear" w:color="auto" w:fill="auto"/>
          </w:tcPr>
          <w:p>
            <w:pPr>
              <w:pStyle w:val="236"/>
              <w:snapToGrid w:val="0"/>
              <w:spacing w:before="15" w:line="320" w:lineRule="exact"/>
              <w:ind w:firstLine="0" w:firstLineChars="0"/>
              <w:rPr>
                <w:rFonts w:ascii="Times New Roman"/>
                <w:sz w:val="18"/>
                <w:szCs w:val="18"/>
              </w:rPr>
            </w:pPr>
          </w:p>
        </w:tc>
        <w:tc>
          <w:tcPr>
            <w:tcW w:w="5386" w:type="dxa"/>
            <w:shd w:val="clear" w:color="auto" w:fill="auto"/>
          </w:tcPr>
          <w:p>
            <w:pPr>
              <w:pStyle w:val="236"/>
              <w:snapToGrid w:val="0"/>
              <w:spacing w:before="15" w:line="320" w:lineRule="exact"/>
              <w:ind w:firstLine="0" w:firstLineChars="0"/>
              <w:rPr>
                <w:rFonts w:ascii="Times New Roman"/>
                <w:sz w:val="18"/>
                <w:szCs w:val="18"/>
              </w:rPr>
            </w:pPr>
            <w:r>
              <w:rPr>
                <w:rFonts w:ascii="Times New Roman"/>
                <w:sz w:val="18"/>
                <w:szCs w:val="18"/>
              </w:rPr>
              <w:t>河谷阶地石灰性新冲积土（砂壤土）型</w:t>
            </w:r>
          </w:p>
        </w:tc>
        <w:tc>
          <w:tcPr>
            <w:tcW w:w="42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适宜</w:t>
            </w:r>
          </w:p>
        </w:tc>
      </w:tr>
      <w:tr>
        <w:tc>
          <w:tcPr>
            <w:tcW w:w="534"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7</w:t>
            </w:r>
          </w:p>
        </w:tc>
        <w:tc>
          <w:tcPr>
            <w:tcW w:w="992" w:type="dxa"/>
            <w:vMerge w:val="continue"/>
            <w:shd w:val="clear" w:color="auto" w:fill="auto"/>
          </w:tcPr>
          <w:p>
            <w:pPr>
              <w:pStyle w:val="236"/>
              <w:snapToGrid w:val="0"/>
              <w:spacing w:before="15" w:line="320" w:lineRule="exact"/>
              <w:ind w:firstLine="0" w:firstLineChars="0"/>
              <w:rPr>
                <w:rFonts w:ascii="Times New Roman"/>
                <w:sz w:val="18"/>
                <w:szCs w:val="18"/>
              </w:rPr>
            </w:pPr>
          </w:p>
        </w:tc>
        <w:tc>
          <w:tcPr>
            <w:tcW w:w="5386" w:type="dxa"/>
            <w:shd w:val="clear" w:color="auto" w:fill="auto"/>
          </w:tcPr>
          <w:p>
            <w:pPr>
              <w:pStyle w:val="236"/>
              <w:snapToGrid w:val="0"/>
              <w:spacing w:before="15" w:line="320" w:lineRule="exact"/>
              <w:ind w:firstLine="0" w:firstLineChars="0"/>
              <w:rPr>
                <w:rFonts w:ascii="Times New Roman"/>
                <w:sz w:val="18"/>
                <w:szCs w:val="18"/>
              </w:rPr>
            </w:pPr>
            <w:r>
              <w:rPr>
                <w:rFonts w:ascii="Times New Roman"/>
                <w:sz w:val="18"/>
                <w:szCs w:val="18"/>
              </w:rPr>
              <w:t>河谷阶坡石灰性新冲积土（砂壤土）型</w:t>
            </w:r>
          </w:p>
        </w:tc>
        <w:tc>
          <w:tcPr>
            <w:tcW w:w="42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适宜</w:t>
            </w:r>
          </w:p>
        </w:tc>
      </w:tr>
      <w:tr>
        <w:tc>
          <w:tcPr>
            <w:tcW w:w="534"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8</w:t>
            </w:r>
          </w:p>
        </w:tc>
        <w:tc>
          <w:tcPr>
            <w:tcW w:w="992" w:type="dxa"/>
            <w:vMerge w:val="continue"/>
            <w:shd w:val="clear" w:color="auto" w:fill="auto"/>
          </w:tcPr>
          <w:p>
            <w:pPr>
              <w:pStyle w:val="236"/>
              <w:snapToGrid w:val="0"/>
              <w:spacing w:before="15" w:line="320" w:lineRule="exact"/>
              <w:ind w:firstLine="0" w:firstLineChars="0"/>
              <w:rPr>
                <w:rFonts w:ascii="Times New Roman"/>
                <w:sz w:val="18"/>
                <w:szCs w:val="18"/>
              </w:rPr>
            </w:pPr>
          </w:p>
        </w:tc>
        <w:tc>
          <w:tcPr>
            <w:tcW w:w="5386" w:type="dxa"/>
            <w:shd w:val="clear" w:color="auto" w:fill="auto"/>
          </w:tcPr>
          <w:p>
            <w:pPr>
              <w:pStyle w:val="236"/>
              <w:snapToGrid w:val="0"/>
              <w:spacing w:before="15" w:line="320" w:lineRule="exact"/>
              <w:ind w:firstLine="0" w:firstLineChars="0"/>
              <w:rPr>
                <w:rFonts w:ascii="Times New Roman"/>
                <w:sz w:val="18"/>
                <w:szCs w:val="18"/>
              </w:rPr>
            </w:pPr>
            <w:r>
              <w:rPr>
                <w:rFonts w:ascii="Times New Roman"/>
                <w:sz w:val="18"/>
                <w:szCs w:val="18"/>
              </w:rPr>
              <w:t>河谷河漫滩石砾质新冲积土型</w:t>
            </w:r>
          </w:p>
        </w:tc>
        <w:tc>
          <w:tcPr>
            <w:tcW w:w="42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不适宜</w:t>
            </w:r>
          </w:p>
        </w:tc>
      </w:tr>
      <w:tr>
        <w:tc>
          <w:tcPr>
            <w:tcW w:w="534"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9</w:t>
            </w:r>
          </w:p>
        </w:tc>
        <w:tc>
          <w:tcPr>
            <w:tcW w:w="992" w:type="dxa"/>
            <w:vMerge w:val="continue"/>
            <w:shd w:val="clear" w:color="auto" w:fill="auto"/>
          </w:tcPr>
          <w:p>
            <w:pPr>
              <w:pStyle w:val="236"/>
              <w:snapToGrid w:val="0"/>
              <w:spacing w:before="15" w:line="320" w:lineRule="exact"/>
              <w:ind w:firstLine="0" w:firstLineChars="0"/>
              <w:rPr>
                <w:rFonts w:ascii="Times New Roman"/>
                <w:sz w:val="18"/>
                <w:szCs w:val="18"/>
              </w:rPr>
            </w:pPr>
          </w:p>
        </w:tc>
        <w:tc>
          <w:tcPr>
            <w:tcW w:w="5386" w:type="dxa"/>
            <w:shd w:val="clear" w:color="auto" w:fill="auto"/>
          </w:tcPr>
          <w:p>
            <w:pPr>
              <w:pStyle w:val="236"/>
              <w:snapToGrid w:val="0"/>
              <w:spacing w:before="15" w:line="320" w:lineRule="exact"/>
              <w:ind w:firstLine="0" w:firstLineChars="0"/>
              <w:rPr>
                <w:rFonts w:ascii="Times New Roman"/>
                <w:sz w:val="18"/>
                <w:szCs w:val="18"/>
              </w:rPr>
            </w:pPr>
            <w:r>
              <w:rPr>
                <w:rFonts w:ascii="Times New Roman"/>
                <w:sz w:val="18"/>
                <w:szCs w:val="18"/>
              </w:rPr>
              <w:t>河谷河漫滩沙、泥质新冲积土型</w:t>
            </w:r>
          </w:p>
        </w:tc>
        <w:tc>
          <w:tcPr>
            <w:tcW w:w="42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不适宜</w:t>
            </w:r>
          </w:p>
        </w:tc>
      </w:tr>
      <w:tr>
        <w:tc>
          <w:tcPr>
            <w:tcW w:w="534"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10</w:t>
            </w:r>
          </w:p>
        </w:tc>
        <w:tc>
          <w:tcPr>
            <w:tcW w:w="992" w:type="dxa"/>
            <w:vMerge w:val="continue"/>
            <w:shd w:val="clear" w:color="auto" w:fill="auto"/>
          </w:tcPr>
          <w:p>
            <w:pPr>
              <w:pStyle w:val="236"/>
              <w:snapToGrid w:val="0"/>
              <w:spacing w:before="15" w:line="320" w:lineRule="exact"/>
              <w:ind w:firstLine="0" w:firstLineChars="0"/>
              <w:rPr>
                <w:rFonts w:ascii="Times New Roman"/>
                <w:sz w:val="18"/>
                <w:szCs w:val="18"/>
              </w:rPr>
            </w:pPr>
          </w:p>
        </w:tc>
        <w:tc>
          <w:tcPr>
            <w:tcW w:w="5386" w:type="dxa"/>
            <w:shd w:val="clear" w:color="auto" w:fill="auto"/>
          </w:tcPr>
          <w:p>
            <w:pPr>
              <w:pStyle w:val="236"/>
              <w:snapToGrid w:val="0"/>
              <w:spacing w:before="15" w:line="320" w:lineRule="exact"/>
              <w:ind w:firstLine="0" w:firstLineChars="0"/>
              <w:rPr>
                <w:rFonts w:ascii="Times New Roman"/>
                <w:sz w:val="18"/>
                <w:szCs w:val="18"/>
              </w:rPr>
            </w:pPr>
            <w:r>
              <w:rPr>
                <w:rFonts w:ascii="Times New Roman"/>
                <w:sz w:val="18"/>
                <w:szCs w:val="18"/>
              </w:rPr>
              <w:t>河谷河漫滩石砾质石灰性新冲积土型</w:t>
            </w:r>
          </w:p>
        </w:tc>
        <w:tc>
          <w:tcPr>
            <w:tcW w:w="42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不适宜</w:t>
            </w:r>
          </w:p>
        </w:tc>
      </w:tr>
      <w:tr>
        <w:tc>
          <w:tcPr>
            <w:tcW w:w="534" w:type="dxa"/>
            <w:tcBorders>
              <w:bottom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11</w:t>
            </w:r>
          </w:p>
        </w:tc>
        <w:tc>
          <w:tcPr>
            <w:tcW w:w="992" w:type="dxa"/>
            <w:vMerge w:val="continue"/>
            <w:tcBorders>
              <w:bottom w:val="single" w:color="auto" w:sz="4" w:space="0"/>
            </w:tcBorders>
            <w:shd w:val="clear" w:color="auto" w:fill="auto"/>
          </w:tcPr>
          <w:p>
            <w:pPr>
              <w:pStyle w:val="236"/>
              <w:snapToGrid w:val="0"/>
              <w:spacing w:before="15" w:line="320" w:lineRule="exact"/>
              <w:ind w:firstLine="0" w:firstLineChars="0"/>
              <w:rPr>
                <w:rFonts w:ascii="Times New Roman"/>
                <w:sz w:val="18"/>
                <w:szCs w:val="18"/>
              </w:rPr>
            </w:pPr>
          </w:p>
        </w:tc>
        <w:tc>
          <w:tcPr>
            <w:tcW w:w="5386" w:type="dxa"/>
            <w:tcBorders>
              <w:bottom w:val="single" w:color="auto" w:sz="4" w:space="0"/>
            </w:tcBorders>
            <w:shd w:val="clear" w:color="auto" w:fill="auto"/>
          </w:tcPr>
          <w:p>
            <w:pPr>
              <w:pStyle w:val="236"/>
              <w:snapToGrid w:val="0"/>
              <w:spacing w:before="15" w:line="320" w:lineRule="exact"/>
              <w:ind w:firstLine="0" w:firstLineChars="0"/>
              <w:rPr>
                <w:rFonts w:ascii="Times New Roman"/>
                <w:sz w:val="18"/>
                <w:szCs w:val="18"/>
              </w:rPr>
            </w:pPr>
            <w:r>
              <w:rPr>
                <w:rFonts w:ascii="Times New Roman"/>
                <w:sz w:val="18"/>
                <w:szCs w:val="18"/>
              </w:rPr>
              <w:t>河谷河漫滩沙、泥质石灰性新冲积土型</w:t>
            </w:r>
          </w:p>
        </w:tc>
        <w:tc>
          <w:tcPr>
            <w:tcW w:w="426" w:type="dxa"/>
            <w:tcBorders>
              <w:bottom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tcBorders>
              <w:bottom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tcBorders>
              <w:bottom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tcBorders>
              <w:bottom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不适宜</w:t>
            </w:r>
          </w:p>
        </w:tc>
      </w:tr>
      <w:tr>
        <w:tc>
          <w:tcPr>
            <w:tcW w:w="534" w:type="dxa"/>
            <w:tcBorders>
              <w:top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12</w:t>
            </w:r>
          </w:p>
        </w:tc>
        <w:tc>
          <w:tcPr>
            <w:tcW w:w="992" w:type="dxa"/>
            <w:vMerge w:val="restart"/>
            <w:tcBorders>
              <w:top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低山（深丘）钙质紫色土组</w:t>
            </w:r>
          </w:p>
        </w:tc>
        <w:tc>
          <w:tcPr>
            <w:tcW w:w="5386" w:type="dxa"/>
            <w:tcBorders>
              <w:top w:val="single" w:color="auto" w:sz="4" w:space="0"/>
            </w:tcBorders>
            <w:shd w:val="clear" w:color="auto" w:fill="auto"/>
          </w:tcPr>
          <w:p>
            <w:pPr>
              <w:pStyle w:val="236"/>
              <w:snapToGrid w:val="0"/>
              <w:spacing w:before="15" w:line="320" w:lineRule="exact"/>
              <w:ind w:firstLine="0" w:firstLineChars="0"/>
              <w:rPr>
                <w:rFonts w:ascii="Times New Roman"/>
                <w:sz w:val="18"/>
                <w:szCs w:val="18"/>
              </w:rPr>
            </w:pPr>
            <w:r>
              <w:rPr>
                <w:rFonts w:ascii="Times New Roman"/>
                <w:sz w:val="18"/>
                <w:szCs w:val="18"/>
              </w:rPr>
              <w:t>低山（深丘）顶、脊部薄层钙质紫色土型</w:t>
            </w:r>
          </w:p>
        </w:tc>
        <w:tc>
          <w:tcPr>
            <w:tcW w:w="426" w:type="dxa"/>
            <w:tcBorders>
              <w:top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tcBorders>
              <w:top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tcBorders>
              <w:top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tcBorders>
              <w:top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可选择</w:t>
            </w:r>
          </w:p>
        </w:tc>
      </w:tr>
      <w:tr>
        <w:tc>
          <w:tcPr>
            <w:tcW w:w="534"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13</w:t>
            </w:r>
          </w:p>
        </w:tc>
        <w:tc>
          <w:tcPr>
            <w:tcW w:w="992" w:type="dxa"/>
            <w:vMerge w:val="continue"/>
            <w:shd w:val="clear" w:color="auto" w:fill="auto"/>
          </w:tcPr>
          <w:p>
            <w:pPr>
              <w:pStyle w:val="236"/>
              <w:snapToGrid w:val="0"/>
              <w:spacing w:before="15" w:line="320" w:lineRule="exact"/>
              <w:ind w:firstLine="0" w:firstLineChars="0"/>
              <w:rPr>
                <w:rFonts w:ascii="Times New Roman"/>
                <w:sz w:val="18"/>
                <w:szCs w:val="18"/>
              </w:rPr>
            </w:pPr>
          </w:p>
        </w:tc>
        <w:tc>
          <w:tcPr>
            <w:tcW w:w="5386" w:type="dxa"/>
            <w:shd w:val="clear" w:color="auto" w:fill="auto"/>
          </w:tcPr>
          <w:p>
            <w:pPr>
              <w:pStyle w:val="236"/>
              <w:snapToGrid w:val="0"/>
              <w:spacing w:before="15" w:line="320" w:lineRule="exact"/>
              <w:ind w:firstLine="0" w:firstLineChars="0"/>
              <w:rPr>
                <w:rFonts w:ascii="Times New Roman"/>
                <w:sz w:val="18"/>
                <w:szCs w:val="18"/>
              </w:rPr>
            </w:pPr>
            <w:r>
              <w:rPr>
                <w:rFonts w:ascii="Times New Roman"/>
                <w:sz w:val="18"/>
                <w:szCs w:val="18"/>
              </w:rPr>
              <w:t>低山（深丘）顶、脊部中厚层钙质紫色土型</w:t>
            </w:r>
          </w:p>
        </w:tc>
        <w:tc>
          <w:tcPr>
            <w:tcW w:w="42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次适宜</w:t>
            </w:r>
          </w:p>
        </w:tc>
      </w:tr>
      <w:tr>
        <w:tc>
          <w:tcPr>
            <w:tcW w:w="534"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14</w:t>
            </w:r>
          </w:p>
        </w:tc>
        <w:tc>
          <w:tcPr>
            <w:tcW w:w="992" w:type="dxa"/>
            <w:vMerge w:val="continue"/>
            <w:shd w:val="clear" w:color="auto" w:fill="auto"/>
          </w:tcPr>
          <w:p>
            <w:pPr>
              <w:pStyle w:val="236"/>
              <w:snapToGrid w:val="0"/>
              <w:spacing w:before="15" w:line="320" w:lineRule="exact"/>
              <w:ind w:firstLine="0" w:firstLineChars="0"/>
              <w:rPr>
                <w:rFonts w:ascii="Times New Roman"/>
                <w:sz w:val="18"/>
                <w:szCs w:val="18"/>
              </w:rPr>
            </w:pPr>
          </w:p>
        </w:tc>
        <w:tc>
          <w:tcPr>
            <w:tcW w:w="538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低山（深丘）缓斜坡，阳（半阳）向，中、厚层钙质紫色土型</w:t>
            </w:r>
          </w:p>
        </w:tc>
        <w:tc>
          <w:tcPr>
            <w:tcW w:w="42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适宜</w:t>
            </w:r>
          </w:p>
        </w:tc>
      </w:tr>
      <w:tr>
        <w:tc>
          <w:tcPr>
            <w:tcW w:w="534"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15</w:t>
            </w:r>
          </w:p>
        </w:tc>
        <w:tc>
          <w:tcPr>
            <w:tcW w:w="992" w:type="dxa"/>
            <w:vMerge w:val="continue"/>
            <w:shd w:val="clear" w:color="auto" w:fill="auto"/>
          </w:tcPr>
          <w:p>
            <w:pPr>
              <w:pStyle w:val="236"/>
              <w:snapToGrid w:val="0"/>
              <w:spacing w:before="15" w:line="320" w:lineRule="exact"/>
              <w:ind w:firstLine="0" w:firstLineChars="0"/>
              <w:rPr>
                <w:rFonts w:ascii="Times New Roman"/>
                <w:sz w:val="18"/>
                <w:szCs w:val="18"/>
              </w:rPr>
            </w:pPr>
          </w:p>
        </w:tc>
        <w:tc>
          <w:tcPr>
            <w:tcW w:w="5386" w:type="dxa"/>
            <w:shd w:val="clear" w:color="auto" w:fill="auto"/>
          </w:tcPr>
          <w:p>
            <w:pPr>
              <w:pStyle w:val="236"/>
              <w:snapToGrid w:val="0"/>
              <w:spacing w:before="15" w:line="320" w:lineRule="exact"/>
              <w:ind w:firstLine="0" w:firstLineChars="0"/>
              <w:rPr>
                <w:rFonts w:ascii="Times New Roman"/>
                <w:sz w:val="18"/>
                <w:szCs w:val="18"/>
              </w:rPr>
            </w:pPr>
            <w:r>
              <w:rPr>
                <w:rFonts w:ascii="Times New Roman"/>
                <w:sz w:val="18"/>
                <w:szCs w:val="18"/>
              </w:rPr>
              <w:t>低山（深丘）缓斜坡，阴（半阴）向，中、厚层钙质紫色土型</w:t>
            </w:r>
          </w:p>
        </w:tc>
        <w:tc>
          <w:tcPr>
            <w:tcW w:w="42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不适宜</w:t>
            </w:r>
          </w:p>
        </w:tc>
      </w:tr>
      <w:tr>
        <w:tc>
          <w:tcPr>
            <w:tcW w:w="534"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16</w:t>
            </w:r>
          </w:p>
        </w:tc>
        <w:tc>
          <w:tcPr>
            <w:tcW w:w="992" w:type="dxa"/>
            <w:vMerge w:val="continue"/>
            <w:shd w:val="clear" w:color="auto" w:fill="auto"/>
          </w:tcPr>
          <w:p>
            <w:pPr>
              <w:pStyle w:val="236"/>
              <w:snapToGrid w:val="0"/>
              <w:spacing w:before="15" w:line="320" w:lineRule="exact"/>
              <w:ind w:firstLine="0" w:firstLineChars="0"/>
              <w:rPr>
                <w:rFonts w:ascii="Times New Roman"/>
                <w:sz w:val="18"/>
                <w:szCs w:val="18"/>
              </w:rPr>
            </w:pPr>
          </w:p>
        </w:tc>
        <w:tc>
          <w:tcPr>
            <w:tcW w:w="538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低山（深丘）缓斜坡，阳（半阳）向，薄层钙质紫色土型</w:t>
            </w:r>
          </w:p>
        </w:tc>
        <w:tc>
          <w:tcPr>
            <w:tcW w:w="42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次适宜</w:t>
            </w:r>
          </w:p>
        </w:tc>
      </w:tr>
      <w:tr>
        <w:tc>
          <w:tcPr>
            <w:tcW w:w="534"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17</w:t>
            </w:r>
          </w:p>
        </w:tc>
        <w:tc>
          <w:tcPr>
            <w:tcW w:w="992" w:type="dxa"/>
            <w:vMerge w:val="continue"/>
            <w:shd w:val="clear" w:color="auto" w:fill="auto"/>
          </w:tcPr>
          <w:p>
            <w:pPr>
              <w:pStyle w:val="236"/>
              <w:snapToGrid w:val="0"/>
              <w:spacing w:before="15" w:line="320" w:lineRule="exact"/>
              <w:ind w:firstLine="0" w:firstLineChars="0"/>
              <w:rPr>
                <w:rFonts w:ascii="Times New Roman"/>
                <w:sz w:val="18"/>
                <w:szCs w:val="18"/>
              </w:rPr>
            </w:pPr>
          </w:p>
        </w:tc>
        <w:tc>
          <w:tcPr>
            <w:tcW w:w="5386" w:type="dxa"/>
            <w:shd w:val="clear" w:color="auto" w:fill="auto"/>
          </w:tcPr>
          <w:p>
            <w:pPr>
              <w:pStyle w:val="236"/>
              <w:snapToGrid w:val="0"/>
              <w:spacing w:before="15" w:line="320" w:lineRule="exact"/>
              <w:ind w:firstLine="0" w:firstLineChars="0"/>
              <w:rPr>
                <w:rFonts w:ascii="Times New Roman"/>
                <w:sz w:val="18"/>
                <w:szCs w:val="18"/>
              </w:rPr>
            </w:pPr>
            <w:r>
              <w:rPr>
                <w:rFonts w:ascii="Times New Roman"/>
                <w:sz w:val="18"/>
                <w:szCs w:val="18"/>
              </w:rPr>
              <w:t>低山（深丘）缓斜坡，阴（半阴）向，薄层钙质紫色土型</w:t>
            </w:r>
          </w:p>
        </w:tc>
        <w:tc>
          <w:tcPr>
            <w:tcW w:w="42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不适宜</w:t>
            </w:r>
          </w:p>
        </w:tc>
      </w:tr>
      <w:tr>
        <w:tc>
          <w:tcPr>
            <w:tcW w:w="534"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18</w:t>
            </w:r>
          </w:p>
        </w:tc>
        <w:tc>
          <w:tcPr>
            <w:tcW w:w="992" w:type="dxa"/>
            <w:vMerge w:val="continue"/>
            <w:shd w:val="clear" w:color="auto" w:fill="auto"/>
          </w:tcPr>
          <w:p>
            <w:pPr>
              <w:pStyle w:val="236"/>
              <w:snapToGrid w:val="0"/>
              <w:spacing w:before="15" w:line="320" w:lineRule="exact"/>
              <w:ind w:firstLine="0" w:firstLineChars="0"/>
              <w:rPr>
                <w:rFonts w:ascii="Times New Roman"/>
                <w:sz w:val="18"/>
                <w:szCs w:val="18"/>
              </w:rPr>
            </w:pPr>
          </w:p>
        </w:tc>
        <w:tc>
          <w:tcPr>
            <w:tcW w:w="538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低山（深丘）陡急坡，阳（半阳）向，薄层钙质紫色土型</w:t>
            </w:r>
          </w:p>
        </w:tc>
        <w:tc>
          <w:tcPr>
            <w:tcW w:w="42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可选择</w:t>
            </w:r>
          </w:p>
        </w:tc>
      </w:tr>
      <w:tr>
        <w:tc>
          <w:tcPr>
            <w:tcW w:w="534"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19</w:t>
            </w:r>
          </w:p>
        </w:tc>
        <w:tc>
          <w:tcPr>
            <w:tcW w:w="992" w:type="dxa"/>
            <w:vMerge w:val="continue"/>
            <w:shd w:val="clear" w:color="auto" w:fill="auto"/>
          </w:tcPr>
          <w:p>
            <w:pPr>
              <w:pStyle w:val="236"/>
              <w:snapToGrid w:val="0"/>
              <w:spacing w:before="15" w:line="320" w:lineRule="exact"/>
              <w:ind w:firstLine="0" w:firstLineChars="0"/>
              <w:rPr>
                <w:rFonts w:ascii="Times New Roman"/>
                <w:sz w:val="18"/>
                <w:szCs w:val="18"/>
              </w:rPr>
            </w:pPr>
          </w:p>
        </w:tc>
        <w:tc>
          <w:tcPr>
            <w:tcW w:w="5386" w:type="dxa"/>
            <w:shd w:val="clear" w:color="auto" w:fill="auto"/>
          </w:tcPr>
          <w:p>
            <w:pPr>
              <w:pStyle w:val="236"/>
              <w:snapToGrid w:val="0"/>
              <w:spacing w:before="15" w:line="320" w:lineRule="exact"/>
              <w:ind w:firstLine="0" w:firstLineChars="0"/>
              <w:rPr>
                <w:rFonts w:ascii="Times New Roman"/>
                <w:sz w:val="18"/>
                <w:szCs w:val="18"/>
              </w:rPr>
            </w:pPr>
            <w:r>
              <w:rPr>
                <w:rFonts w:ascii="Times New Roman"/>
                <w:sz w:val="18"/>
                <w:szCs w:val="18"/>
              </w:rPr>
              <w:t>低山（深丘）陡急坡，阴（半阴）向，薄层钙质紫色土型</w:t>
            </w:r>
          </w:p>
        </w:tc>
        <w:tc>
          <w:tcPr>
            <w:tcW w:w="42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不适宜</w:t>
            </w:r>
          </w:p>
        </w:tc>
      </w:tr>
      <w:tr>
        <w:tc>
          <w:tcPr>
            <w:tcW w:w="534"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20</w:t>
            </w:r>
          </w:p>
        </w:tc>
        <w:tc>
          <w:tcPr>
            <w:tcW w:w="992" w:type="dxa"/>
            <w:vMerge w:val="continue"/>
            <w:shd w:val="clear" w:color="auto" w:fill="auto"/>
          </w:tcPr>
          <w:p>
            <w:pPr>
              <w:pStyle w:val="236"/>
              <w:snapToGrid w:val="0"/>
              <w:spacing w:before="15" w:line="320" w:lineRule="exact"/>
              <w:ind w:firstLine="0" w:firstLineChars="0"/>
              <w:rPr>
                <w:rFonts w:ascii="Times New Roman"/>
                <w:sz w:val="18"/>
                <w:szCs w:val="18"/>
              </w:rPr>
            </w:pPr>
          </w:p>
        </w:tc>
        <w:tc>
          <w:tcPr>
            <w:tcW w:w="538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低山（深丘）陡急坡，阳（半阳）向，中、厚层钙质紫色土型</w:t>
            </w:r>
          </w:p>
        </w:tc>
        <w:tc>
          <w:tcPr>
            <w:tcW w:w="42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可选择</w:t>
            </w:r>
          </w:p>
        </w:tc>
      </w:tr>
      <w:tr>
        <w:tc>
          <w:tcPr>
            <w:tcW w:w="534" w:type="dxa"/>
            <w:tcBorders>
              <w:bottom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21</w:t>
            </w:r>
          </w:p>
        </w:tc>
        <w:tc>
          <w:tcPr>
            <w:tcW w:w="992" w:type="dxa"/>
            <w:vMerge w:val="continue"/>
            <w:tcBorders>
              <w:bottom w:val="single" w:color="auto" w:sz="4" w:space="0"/>
            </w:tcBorders>
            <w:shd w:val="clear" w:color="auto" w:fill="auto"/>
          </w:tcPr>
          <w:p>
            <w:pPr>
              <w:pStyle w:val="236"/>
              <w:snapToGrid w:val="0"/>
              <w:spacing w:before="15" w:line="320" w:lineRule="exact"/>
              <w:ind w:firstLine="0" w:firstLineChars="0"/>
              <w:rPr>
                <w:rFonts w:ascii="Times New Roman"/>
                <w:sz w:val="18"/>
                <w:szCs w:val="18"/>
              </w:rPr>
            </w:pPr>
          </w:p>
        </w:tc>
        <w:tc>
          <w:tcPr>
            <w:tcW w:w="5386" w:type="dxa"/>
            <w:tcBorders>
              <w:bottom w:val="single" w:color="auto" w:sz="4" w:space="0"/>
            </w:tcBorders>
            <w:shd w:val="clear" w:color="auto" w:fill="auto"/>
          </w:tcPr>
          <w:p>
            <w:pPr>
              <w:pStyle w:val="236"/>
              <w:snapToGrid w:val="0"/>
              <w:spacing w:before="15" w:line="320" w:lineRule="exact"/>
              <w:ind w:firstLine="0" w:firstLineChars="0"/>
              <w:rPr>
                <w:rFonts w:ascii="Times New Roman"/>
                <w:sz w:val="18"/>
                <w:szCs w:val="18"/>
              </w:rPr>
            </w:pPr>
            <w:r>
              <w:rPr>
                <w:rFonts w:ascii="Times New Roman"/>
                <w:sz w:val="18"/>
                <w:szCs w:val="18"/>
              </w:rPr>
              <w:t>低山（深丘）陡急坡，阴（半阴）向，中、厚层钙质紫色土型</w:t>
            </w:r>
          </w:p>
        </w:tc>
        <w:tc>
          <w:tcPr>
            <w:tcW w:w="426" w:type="dxa"/>
            <w:tcBorders>
              <w:bottom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tcBorders>
              <w:bottom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tcBorders>
              <w:bottom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tcBorders>
              <w:bottom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不适宜</w:t>
            </w:r>
          </w:p>
        </w:tc>
      </w:tr>
      <w:tr>
        <w:tc>
          <w:tcPr>
            <w:tcW w:w="534" w:type="dxa"/>
            <w:tcBorders>
              <w:top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22</w:t>
            </w:r>
          </w:p>
        </w:tc>
        <w:tc>
          <w:tcPr>
            <w:tcW w:w="992" w:type="dxa"/>
            <w:vMerge w:val="restart"/>
            <w:tcBorders>
              <w:top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低山（深丘）酸性紫色土组</w:t>
            </w:r>
          </w:p>
        </w:tc>
        <w:tc>
          <w:tcPr>
            <w:tcW w:w="5386" w:type="dxa"/>
            <w:tcBorders>
              <w:top w:val="single" w:color="auto" w:sz="4" w:space="0"/>
            </w:tcBorders>
            <w:shd w:val="clear" w:color="auto" w:fill="auto"/>
          </w:tcPr>
          <w:p>
            <w:pPr>
              <w:pStyle w:val="236"/>
              <w:snapToGrid w:val="0"/>
              <w:spacing w:before="15" w:line="320" w:lineRule="exact"/>
              <w:ind w:firstLine="0" w:firstLineChars="0"/>
              <w:rPr>
                <w:rFonts w:ascii="Times New Roman"/>
                <w:sz w:val="18"/>
                <w:szCs w:val="18"/>
              </w:rPr>
            </w:pPr>
            <w:r>
              <w:rPr>
                <w:rFonts w:ascii="Times New Roman"/>
                <w:sz w:val="18"/>
                <w:szCs w:val="18"/>
              </w:rPr>
              <w:t>低山（深丘）顶、脊部薄层酸性紫色土型</w:t>
            </w:r>
          </w:p>
        </w:tc>
        <w:tc>
          <w:tcPr>
            <w:tcW w:w="426" w:type="dxa"/>
            <w:tcBorders>
              <w:top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tcBorders>
              <w:top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tcBorders>
              <w:top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tcBorders>
              <w:top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不适宜</w:t>
            </w:r>
          </w:p>
        </w:tc>
      </w:tr>
      <w:tr>
        <w:tc>
          <w:tcPr>
            <w:tcW w:w="534"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23</w:t>
            </w:r>
          </w:p>
        </w:tc>
        <w:tc>
          <w:tcPr>
            <w:tcW w:w="992" w:type="dxa"/>
            <w:vMerge w:val="continue"/>
            <w:shd w:val="clear" w:color="auto" w:fill="auto"/>
          </w:tcPr>
          <w:p>
            <w:pPr>
              <w:pStyle w:val="236"/>
              <w:snapToGrid w:val="0"/>
              <w:spacing w:before="15" w:line="320" w:lineRule="exact"/>
              <w:ind w:firstLine="0" w:firstLineChars="0"/>
              <w:rPr>
                <w:rFonts w:ascii="Times New Roman"/>
                <w:sz w:val="18"/>
                <w:szCs w:val="18"/>
              </w:rPr>
            </w:pPr>
          </w:p>
        </w:tc>
        <w:tc>
          <w:tcPr>
            <w:tcW w:w="5386" w:type="dxa"/>
            <w:shd w:val="clear" w:color="auto" w:fill="auto"/>
          </w:tcPr>
          <w:p>
            <w:pPr>
              <w:pStyle w:val="236"/>
              <w:snapToGrid w:val="0"/>
              <w:spacing w:before="15" w:line="320" w:lineRule="exact"/>
              <w:ind w:firstLine="0" w:firstLineChars="0"/>
              <w:rPr>
                <w:rFonts w:ascii="Times New Roman"/>
                <w:sz w:val="18"/>
                <w:szCs w:val="18"/>
              </w:rPr>
            </w:pPr>
            <w:r>
              <w:rPr>
                <w:rFonts w:ascii="Times New Roman"/>
                <w:sz w:val="18"/>
                <w:szCs w:val="18"/>
              </w:rPr>
              <w:t>低山（深丘）顶、脊部中厚层酸性紫色土型</w:t>
            </w:r>
          </w:p>
        </w:tc>
        <w:tc>
          <w:tcPr>
            <w:tcW w:w="42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不适宜</w:t>
            </w:r>
          </w:p>
        </w:tc>
      </w:tr>
      <w:tr>
        <w:tc>
          <w:tcPr>
            <w:tcW w:w="534"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24</w:t>
            </w:r>
          </w:p>
        </w:tc>
        <w:tc>
          <w:tcPr>
            <w:tcW w:w="992" w:type="dxa"/>
            <w:vMerge w:val="continue"/>
            <w:shd w:val="clear" w:color="auto" w:fill="auto"/>
          </w:tcPr>
          <w:p>
            <w:pPr>
              <w:pStyle w:val="236"/>
              <w:snapToGrid w:val="0"/>
              <w:spacing w:before="15" w:line="320" w:lineRule="exact"/>
              <w:ind w:firstLine="0" w:firstLineChars="0"/>
              <w:rPr>
                <w:rFonts w:ascii="Times New Roman"/>
                <w:sz w:val="18"/>
                <w:szCs w:val="18"/>
              </w:rPr>
            </w:pPr>
          </w:p>
        </w:tc>
        <w:tc>
          <w:tcPr>
            <w:tcW w:w="538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低山（深丘）缓斜坡，阳（半阳）向，中、厚层酸性紫色土型</w:t>
            </w:r>
          </w:p>
        </w:tc>
        <w:tc>
          <w:tcPr>
            <w:tcW w:w="42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可选择</w:t>
            </w:r>
          </w:p>
        </w:tc>
      </w:tr>
      <w:tr>
        <w:tc>
          <w:tcPr>
            <w:tcW w:w="534"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25</w:t>
            </w:r>
          </w:p>
        </w:tc>
        <w:tc>
          <w:tcPr>
            <w:tcW w:w="992" w:type="dxa"/>
            <w:vMerge w:val="continue"/>
            <w:shd w:val="clear" w:color="auto" w:fill="auto"/>
          </w:tcPr>
          <w:p>
            <w:pPr>
              <w:pStyle w:val="236"/>
              <w:snapToGrid w:val="0"/>
              <w:spacing w:before="15" w:line="320" w:lineRule="exact"/>
              <w:ind w:firstLine="0" w:firstLineChars="0"/>
              <w:rPr>
                <w:rFonts w:ascii="Times New Roman"/>
                <w:sz w:val="18"/>
                <w:szCs w:val="18"/>
              </w:rPr>
            </w:pPr>
          </w:p>
        </w:tc>
        <w:tc>
          <w:tcPr>
            <w:tcW w:w="5386" w:type="dxa"/>
            <w:shd w:val="clear" w:color="auto" w:fill="auto"/>
          </w:tcPr>
          <w:p>
            <w:pPr>
              <w:pStyle w:val="236"/>
              <w:snapToGrid w:val="0"/>
              <w:spacing w:before="15" w:line="320" w:lineRule="exact"/>
              <w:ind w:firstLine="0" w:firstLineChars="0"/>
              <w:rPr>
                <w:rFonts w:ascii="Times New Roman"/>
                <w:sz w:val="18"/>
                <w:szCs w:val="18"/>
              </w:rPr>
            </w:pPr>
            <w:r>
              <w:rPr>
                <w:rFonts w:ascii="Times New Roman"/>
                <w:sz w:val="18"/>
                <w:szCs w:val="18"/>
              </w:rPr>
              <w:t>低山（深丘）缓斜坡，阴（半阴）向，中、厚层酸性紫色土型</w:t>
            </w:r>
          </w:p>
        </w:tc>
        <w:tc>
          <w:tcPr>
            <w:tcW w:w="42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不适宜</w:t>
            </w:r>
          </w:p>
        </w:tc>
      </w:tr>
      <w:tr>
        <w:tc>
          <w:tcPr>
            <w:tcW w:w="534"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26</w:t>
            </w:r>
          </w:p>
        </w:tc>
        <w:tc>
          <w:tcPr>
            <w:tcW w:w="992" w:type="dxa"/>
            <w:vMerge w:val="continue"/>
            <w:shd w:val="clear" w:color="auto" w:fill="auto"/>
          </w:tcPr>
          <w:p>
            <w:pPr>
              <w:pStyle w:val="236"/>
              <w:snapToGrid w:val="0"/>
              <w:spacing w:before="15" w:line="320" w:lineRule="exact"/>
              <w:ind w:firstLine="0" w:firstLineChars="0"/>
              <w:rPr>
                <w:rFonts w:ascii="Times New Roman"/>
                <w:sz w:val="18"/>
                <w:szCs w:val="18"/>
              </w:rPr>
            </w:pPr>
          </w:p>
        </w:tc>
        <w:tc>
          <w:tcPr>
            <w:tcW w:w="538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低山（深丘）缓斜坡，阳（半阳）向，薄层酸性紫色土型</w:t>
            </w:r>
          </w:p>
        </w:tc>
        <w:tc>
          <w:tcPr>
            <w:tcW w:w="42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可选择</w:t>
            </w:r>
          </w:p>
        </w:tc>
      </w:tr>
      <w:tr>
        <w:tc>
          <w:tcPr>
            <w:tcW w:w="534"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27</w:t>
            </w:r>
          </w:p>
        </w:tc>
        <w:tc>
          <w:tcPr>
            <w:tcW w:w="992" w:type="dxa"/>
            <w:vMerge w:val="continue"/>
            <w:shd w:val="clear" w:color="auto" w:fill="auto"/>
          </w:tcPr>
          <w:p>
            <w:pPr>
              <w:pStyle w:val="236"/>
              <w:snapToGrid w:val="0"/>
              <w:spacing w:before="15" w:line="320" w:lineRule="exact"/>
              <w:ind w:firstLine="0" w:firstLineChars="0"/>
              <w:rPr>
                <w:rFonts w:ascii="Times New Roman"/>
                <w:sz w:val="18"/>
                <w:szCs w:val="18"/>
              </w:rPr>
            </w:pPr>
          </w:p>
        </w:tc>
        <w:tc>
          <w:tcPr>
            <w:tcW w:w="5386" w:type="dxa"/>
            <w:shd w:val="clear" w:color="auto" w:fill="auto"/>
          </w:tcPr>
          <w:p>
            <w:pPr>
              <w:pStyle w:val="236"/>
              <w:snapToGrid w:val="0"/>
              <w:spacing w:before="15" w:line="320" w:lineRule="exact"/>
              <w:ind w:firstLine="0" w:firstLineChars="0"/>
              <w:rPr>
                <w:rFonts w:ascii="Times New Roman"/>
                <w:sz w:val="18"/>
                <w:szCs w:val="18"/>
              </w:rPr>
            </w:pPr>
            <w:r>
              <w:rPr>
                <w:rFonts w:ascii="Times New Roman"/>
                <w:sz w:val="18"/>
                <w:szCs w:val="18"/>
              </w:rPr>
              <w:t>低山（深丘）缓斜坡，阴（半阴）向，薄层酸性紫色土型</w:t>
            </w:r>
          </w:p>
        </w:tc>
        <w:tc>
          <w:tcPr>
            <w:tcW w:w="42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不适宜</w:t>
            </w:r>
          </w:p>
        </w:tc>
      </w:tr>
      <w:tr>
        <w:tc>
          <w:tcPr>
            <w:tcW w:w="534"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28</w:t>
            </w:r>
          </w:p>
        </w:tc>
        <w:tc>
          <w:tcPr>
            <w:tcW w:w="992" w:type="dxa"/>
            <w:vMerge w:val="continue"/>
            <w:shd w:val="clear" w:color="auto" w:fill="auto"/>
          </w:tcPr>
          <w:p>
            <w:pPr>
              <w:pStyle w:val="236"/>
              <w:snapToGrid w:val="0"/>
              <w:spacing w:before="15" w:line="320" w:lineRule="exact"/>
              <w:ind w:firstLine="0" w:firstLineChars="0"/>
              <w:rPr>
                <w:rFonts w:ascii="Times New Roman"/>
                <w:sz w:val="18"/>
                <w:szCs w:val="18"/>
              </w:rPr>
            </w:pPr>
          </w:p>
        </w:tc>
        <w:tc>
          <w:tcPr>
            <w:tcW w:w="538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低山（深丘）陡急坡，阳（半阳）向，薄层酸性紫色土型</w:t>
            </w:r>
          </w:p>
        </w:tc>
        <w:tc>
          <w:tcPr>
            <w:tcW w:w="42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不适宜</w:t>
            </w:r>
          </w:p>
        </w:tc>
      </w:tr>
      <w:tr>
        <w:tc>
          <w:tcPr>
            <w:tcW w:w="534"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29</w:t>
            </w:r>
          </w:p>
        </w:tc>
        <w:tc>
          <w:tcPr>
            <w:tcW w:w="992" w:type="dxa"/>
            <w:vMerge w:val="continue"/>
            <w:shd w:val="clear" w:color="auto" w:fill="auto"/>
          </w:tcPr>
          <w:p>
            <w:pPr>
              <w:pStyle w:val="236"/>
              <w:snapToGrid w:val="0"/>
              <w:spacing w:before="15" w:line="320" w:lineRule="exact"/>
              <w:ind w:firstLine="0" w:firstLineChars="0"/>
              <w:rPr>
                <w:rFonts w:ascii="Times New Roman"/>
                <w:sz w:val="18"/>
                <w:szCs w:val="18"/>
              </w:rPr>
            </w:pPr>
          </w:p>
        </w:tc>
        <w:tc>
          <w:tcPr>
            <w:tcW w:w="5386" w:type="dxa"/>
            <w:shd w:val="clear" w:color="auto" w:fill="auto"/>
          </w:tcPr>
          <w:p>
            <w:pPr>
              <w:pStyle w:val="236"/>
              <w:snapToGrid w:val="0"/>
              <w:spacing w:before="15" w:line="320" w:lineRule="exact"/>
              <w:ind w:firstLine="0" w:firstLineChars="0"/>
              <w:rPr>
                <w:rFonts w:ascii="Times New Roman"/>
                <w:sz w:val="18"/>
                <w:szCs w:val="18"/>
              </w:rPr>
            </w:pPr>
            <w:r>
              <w:rPr>
                <w:rFonts w:ascii="Times New Roman"/>
                <w:sz w:val="18"/>
                <w:szCs w:val="18"/>
              </w:rPr>
              <w:t>低山（深丘）陡急坡，阴（半阴）向，薄层酸性紫色土型</w:t>
            </w:r>
          </w:p>
        </w:tc>
        <w:tc>
          <w:tcPr>
            <w:tcW w:w="42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不适宜</w:t>
            </w:r>
          </w:p>
        </w:tc>
      </w:tr>
      <w:tr>
        <w:tc>
          <w:tcPr>
            <w:tcW w:w="534"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30</w:t>
            </w:r>
          </w:p>
        </w:tc>
        <w:tc>
          <w:tcPr>
            <w:tcW w:w="992" w:type="dxa"/>
            <w:vMerge w:val="continue"/>
            <w:shd w:val="clear" w:color="auto" w:fill="auto"/>
          </w:tcPr>
          <w:p>
            <w:pPr>
              <w:pStyle w:val="236"/>
              <w:snapToGrid w:val="0"/>
              <w:spacing w:before="15" w:line="320" w:lineRule="exact"/>
              <w:ind w:firstLine="0" w:firstLineChars="0"/>
              <w:rPr>
                <w:rFonts w:ascii="Times New Roman"/>
                <w:sz w:val="18"/>
                <w:szCs w:val="18"/>
              </w:rPr>
            </w:pPr>
          </w:p>
        </w:tc>
        <w:tc>
          <w:tcPr>
            <w:tcW w:w="538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低山（深丘）陡急坡，阳（半阳）向，中、厚层酸性紫色土型</w:t>
            </w:r>
          </w:p>
        </w:tc>
        <w:tc>
          <w:tcPr>
            <w:tcW w:w="426"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不适宜</w:t>
            </w:r>
          </w:p>
        </w:tc>
      </w:tr>
      <w:tr>
        <w:tc>
          <w:tcPr>
            <w:tcW w:w="534" w:type="dxa"/>
            <w:tcBorders>
              <w:bottom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31</w:t>
            </w:r>
          </w:p>
        </w:tc>
        <w:tc>
          <w:tcPr>
            <w:tcW w:w="992" w:type="dxa"/>
            <w:vMerge w:val="continue"/>
            <w:tcBorders>
              <w:bottom w:val="single" w:color="auto" w:sz="4" w:space="0"/>
            </w:tcBorders>
            <w:shd w:val="clear" w:color="auto" w:fill="auto"/>
          </w:tcPr>
          <w:p>
            <w:pPr>
              <w:pStyle w:val="236"/>
              <w:snapToGrid w:val="0"/>
              <w:spacing w:before="15" w:line="320" w:lineRule="exact"/>
              <w:ind w:firstLine="0" w:firstLineChars="0"/>
              <w:rPr>
                <w:rFonts w:ascii="Times New Roman"/>
                <w:sz w:val="18"/>
                <w:szCs w:val="18"/>
              </w:rPr>
            </w:pPr>
          </w:p>
        </w:tc>
        <w:tc>
          <w:tcPr>
            <w:tcW w:w="5386" w:type="dxa"/>
            <w:tcBorders>
              <w:bottom w:val="single" w:color="auto" w:sz="4" w:space="0"/>
            </w:tcBorders>
            <w:shd w:val="clear" w:color="auto" w:fill="auto"/>
          </w:tcPr>
          <w:p>
            <w:pPr>
              <w:pStyle w:val="236"/>
              <w:snapToGrid w:val="0"/>
              <w:spacing w:before="15" w:line="320" w:lineRule="exact"/>
              <w:ind w:firstLine="0" w:firstLineChars="0"/>
              <w:rPr>
                <w:rFonts w:ascii="Times New Roman"/>
                <w:sz w:val="18"/>
                <w:szCs w:val="18"/>
              </w:rPr>
            </w:pPr>
            <w:r>
              <w:rPr>
                <w:rFonts w:ascii="Times New Roman"/>
                <w:sz w:val="18"/>
                <w:szCs w:val="18"/>
              </w:rPr>
              <w:t>低山（深丘）陡急坡，阴（半阴）向，中、厚层酸性紫色土型</w:t>
            </w:r>
          </w:p>
        </w:tc>
        <w:tc>
          <w:tcPr>
            <w:tcW w:w="426" w:type="dxa"/>
            <w:tcBorders>
              <w:bottom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tcBorders>
              <w:bottom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567" w:type="dxa"/>
            <w:tcBorders>
              <w:bottom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w:t>
            </w:r>
          </w:p>
        </w:tc>
        <w:tc>
          <w:tcPr>
            <w:tcW w:w="1098" w:type="dxa"/>
            <w:tcBorders>
              <w:bottom w:val="single" w:color="auto" w:sz="4" w:space="0"/>
            </w:tcBorders>
            <w:shd w:val="clear" w:color="auto" w:fill="auto"/>
            <w:vAlign w:val="center"/>
          </w:tcPr>
          <w:p>
            <w:pPr>
              <w:pStyle w:val="236"/>
              <w:snapToGrid w:val="0"/>
              <w:spacing w:before="15" w:line="320" w:lineRule="exact"/>
              <w:ind w:firstLine="0" w:firstLineChars="0"/>
              <w:rPr>
                <w:rFonts w:ascii="Times New Roman"/>
                <w:sz w:val="18"/>
                <w:szCs w:val="18"/>
              </w:rPr>
            </w:pPr>
            <w:r>
              <w:rPr>
                <w:rFonts w:ascii="Times New Roman"/>
                <w:sz w:val="18"/>
                <w:szCs w:val="18"/>
              </w:rPr>
              <w:t>不适宜</w:t>
            </w:r>
          </w:p>
        </w:tc>
      </w:tr>
    </w:tbl>
    <w:p>
      <w:pPr>
        <w:pStyle w:val="57"/>
        <w:ind w:firstLine="420"/>
      </w:pPr>
    </w:p>
    <w:p>
      <w:pPr>
        <w:pStyle w:val="57"/>
        <w:ind w:firstLine="420"/>
      </w:pPr>
    </w:p>
    <w:p>
      <w:pPr>
        <w:pStyle w:val="57"/>
        <w:ind w:firstLine="420"/>
        <w:sectPr>
          <w:headerReference r:id="rId23" w:type="default"/>
          <w:footerReference r:id="rId25" w:type="default"/>
          <w:headerReference r:id="rId24" w:type="even"/>
          <w:footerReference r:id="rId26" w:type="even"/>
          <w:pgSz w:w="11906" w:h="16838"/>
          <w:pgMar w:top="1928" w:right="1134" w:bottom="1134" w:left="1134" w:header="1418" w:footer="1134" w:gutter="284"/>
          <w:cols w:space="425" w:num="1"/>
          <w:formProt w:val="0"/>
          <w:docGrid w:type="lines" w:linePitch="312" w:charSpace="0"/>
        </w:sectPr>
      </w:pPr>
    </w:p>
    <w:p>
      <w:pPr>
        <w:pStyle w:val="199"/>
      </w:pPr>
    </w:p>
    <w:p>
      <w:pPr>
        <w:pStyle w:val="200"/>
      </w:pPr>
    </w:p>
    <w:p>
      <w:pPr>
        <w:pStyle w:val="77"/>
        <w:spacing w:after="156"/>
      </w:pPr>
      <w:r>
        <w:br w:type="textWrapping"/>
      </w:r>
      <w:bookmarkStart w:id="131" w:name="_Toc139615272"/>
      <w:bookmarkStart w:id="132" w:name="_Toc139620727"/>
      <w:bookmarkStart w:id="133" w:name="_Toc139562836"/>
      <w:bookmarkStart w:id="134" w:name="_Toc139558904"/>
      <w:bookmarkStart w:id="135" w:name="_Toc141195305"/>
      <w:r>
        <w:rPr>
          <w:rFonts w:hint="eastAsia"/>
        </w:rPr>
        <w:t>（资料性）</w:t>
      </w:r>
      <w:r>
        <w:br w:type="textWrapping"/>
      </w:r>
      <w:bookmarkEnd w:id="131"/>
      <w:bookmarkEnd w:id="132"/>
      <w:bookmarkEnd w:id="133"/>
      <w:bookmarkEnd w:id="134"/>
      <w:r>
        <w:t>油橄榄建园整地方法</w:t>
      </w:r>
      <w:bookmarkEnd w:id="135"/>
    </w:p>
    <w:p>
      <w:pPr>
        <w:pStyle w:val="57"/>
        <w:ind w:firstLine="420"/>
      </w:pPr>
      <w:bookmarkStart w:id="136" w:name="_Hlk139557982"/>
      <w:r>
        <w:t>油橄榄建园整地方法</w:t>
      </w:r>
      <w:r>
        <w:rPr>
          <w:rFonts w:hint="eastAsia"/>
        </w:rPr>
        <w:t>见图B.</w:t>
      </w:r>
      <w:r>
        <w:t>1</w:t>
      </w:r>
      <w:r>
        <w:rPr>
          <w:rFonts w:hint="eastAsia"/>
        </w:rPr>
        <w:t>。</w:t>
      </w:r>
    </w:p>
    <w:bookmarkEnd w:id="136"/>
    <w:p>
      <w:pPr>
        <w:pStyle w:val="57"/>
        <w:ind w:firstLine="420"/>
        <w:jc w:val="center"/>
      </w:pPr>
      <w:r>
        <w:drawing>
          <wp:inline distT="0" distB="0" distL="114300" distR="114300">
            <wp:extent cx="3480435" cy="2428240"/>
            <wp:effectExtent l="0" t="0" r="5715" b="0"/>
            <wp:docPr id="9" name="图片 9"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2"/>
                    <pic:cNvPicPr>
                      <a:picLocks noChangeAspect="1"/>
                    </pic:cNvPicPr>
                  </pic:nvPicPr>
                  <pic:blipFill>
                    <a:blip r:embed="rId41"/>
                    <a:stretch>
                      <a:fillRect/>
                    </a:stretch>
                  </pic:blipFill>
                  <pic:spPr>
                    <a:xfrm>
                      <a:off x="0" y="0"/>
                      <a:ext cx="3485317" cy="2431869"/>
                    </a:xfrm>
                    <a:prstGeom prst="rect">
                      <a:avLst/>
                    </a:prstGeom>
                  </pic:spPr>
                </pic:pic>
              </a:graphicData>
            </a:graphic>
          </wp:inline>
        </w:drawing>
      </w:r>
    </w:p>
    <w:p>
      <w:pPr>
        <w:pStyle w:val="57"/>
        <w:ind w:firstLine="420"/>
        <w:jc w:val="center"/>
        <w:rPr>
          <w:rFonts w:ascii="Times New Roman" w:eastAsia="黑体"/>
        </w:rPr>
      </w:pPr>
      <w:r>
        <w:rPr>
          <w:rFonts w:ascii="Times New Roman" w:eastAsia="黑体"/>
        </w:rPr>
        <w:t>图B.1  水平梯田整地造林断面示意图</w:t>
      </w:r>
    </w:p>
    <w:p>
      <w:pPr>
        <w:pStyle w:val="57"/>
        <w:ind w:firstLine="420"/>
      </w:pPr>
    </w:p>
    <w:p>
      <w:pPr>
        <w:pStyle w:val="57"/>
        <w:ind w:firstLine="420"/>
        <w:sectPr>
          <w:headerReference r:id="rId27" w:type="default"/>
          <w:footerReference r:id="rId29" w:type="default"/>
          <w:headerReference r:id="rId28" w:type="even"/>
          <w:footerReference r:id="rId30" w:type="even"/>
          <w:pgSz w:w="11906" w:h="16838"/>
          <w:pgMar w:top="1928" w:right="1134" w:bottom="1134" w:left="1134" w:header="1418" w:footer="1134" w:gutter="284"/>
          <w:cols w:space="425" w:num="1"/>
          <w:formProt w:val="0"/>
          <w:docGrid w:type="lines" w:linePitch="312" w:charSpace="0"/>
        </w:sectPr>
      </w:pPr>
    </w:p>
    <w:p>
      <w:pPr>
        <w:pStyle w:val="199"/>
      </w:pPr>
    </w:p>
    <w:p>
      <w:pPr>
        <w:pStyle w:val="200"/>
      </w:pPr>
    </w:p>
    <w:p>
      <w:pPr>
        <w:pStyle w:val="77"/>
        <w:spacing w:after="156"/>
      </w:pPr>
      <w:r>
        <w:br w:type="textWrapping"/>
      </w:r>
      <w:bookmarkStart w:id="137" w:name="_Toc139620728"/>
      <w:bookmarkStart w:id="138" w:name="_Toc139558905"/>
      <w:bookmarkStart w:id="139" w:name="_Toc139615273"/>
      <w:bookmarkStart w:id="140" w:name="_Toc139562837"/>
      <w:bookmarkStart w:id="141" w:name="_Toc141195306"/>
      <w:r>
        <w:rPr>
          <w:rFonts w:hint="eastAsia"/>
        </w:rPr>
        <w:t>（规范性）</w:t>
      </w:r>
      <w:r>
        <w:br w:type="textWrapping"/>
      </w:r>
      <w:bookmarkEnd w:id="137"/>
      <w:bookmarkEnd w:id="138"/>
      <w:bookmarkEnd w:id="139"/>
      <w:bookmarkEnd w:id="140"/>
      <w:r>
        <w:t>油橄榄果园施肥方法</w:t>
      </w:r>
      <w:bookmarkEnd w:id="141"/>
    </w:p>
    <w:p>
      <w:pPr>
        <w:pStyle w:val="57"/>
        <w:ind w:firstLine="420"/>
        <w:rPr>
          <w:rFonts w:hint="eastAsia"/>
        </w:rPr>
      </w:pPr>
      <w:r>
        <w:rPr>
          <w:rFonts w:hint="eastAsia"/>
        </w:rPr>
        <w:t>油橄榄果园施肥常见有环状施肥、条状沟施肥、放射状施肥、根外施肥和水肥一体化五种：</w:t>
      </w:r>
    </w:p>
    <w:p>
      <w:pPr>
        <w:pStyle w:val="57"/>
        <w:ind w:firstLine="420"/>
        <w:rPr>
          <w:rFonts w:hint="eastAsia"/>
        </w:rPr>
      </w:pPr>
      <w:r>
        <w:rPr>
          <w:rFonts w:hint="eastAsia"/>
        </w:rPr>
        <w:t>C.1 环状施肥</w:t>
      </w:r>
    </w:p>
    <w:p>
      <w:pPr>
        <w:pStyle w:val="57"/>
        <w:ind w:firstLine="420"/>
      </w:pPr>
      <w:r>
        <w:rPr>
          <w:rFonts w:hint="eastAsia"/>
        </w:rPr>
        <w:t>沿着树冠的外缘，挖深20cm</w:t>
      </w:r>
      <w:r>
        <w:rPr>
          <w:rFonts w:hint="eastAsia" w:hAnsi="宋体"/>
          <w:color w:val="000000" w:themeColor="text1"/>
          <w14:textFill>
            <w14:solidFill>
              <w14:schemeClr w14:val="tx1"/>
            </w14:solidFill>
          </w14:textFill>
        </w:rPr>
        <w:t>～</w:t>
      </w:r>
      <w:r>
        <w:rPr>
          <w:rFonts w:hint="eastAsia"/>
        </w:rPr>
        <w:t>30cm、宽30cm</w:t>
      </w:r>
      <w:r>
        <w:rPr>
          <w:rFonts w:hint="eastAsia" w:hAnsi="宋体"/>
          <w:color w:val="000000" w:themeColor="text1"/>
          <w14:textFill>
            <w14:solidFill>
              <w14:schemeClr w14:val="tx1"/>
            </w14:solidFill>
          </w14:textFill>
        </w:rPr>
        <w:t>～</w:t>
      </w:r>
      <w:r>
        <w:rPr>
          <w:rFonts w:hint="eastAsia"/>
        </w:rPr>
        <w:t>50cm的环状施肥沟，将肥料撒在沟内，用土覆盖整平。基肥可埋深些，速效肥应浅埋。施肥沟的位置每年随树冠的扩大而向外扩展。</w:t>
      </w:r>
    </w:p>
    <w:tbl>
      <w:tblPr>
        <w:tblStyle w:val="28"/>
        <w:tblW w:w="434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3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4348" w:type="dxa"/>
          </w:tcPr>
          <w:p>
            <w:pPr>
              <w:pStyle w:val="14"/>
              <w:spacing w:before="156" w:beforeLines="50" w:after="156" w:afterLines="50" w:line="240" w:lineRule="auto"/>
              <w:jc w:val="center"/>
            </w:pPr>
            <w:r>
              <w:object>
                <v:shape id="_x0000_i1025" o:spt="75" type="#_x0000_t75" style="height:174.55pt;width:161pt;" o:ole="t" filled="f" o:preferrelative="t" stroked="f" coordsize="21600,21600">
                  <v:path/>
                  <v:fill on="f" focussize="0,0"/>
                  <v:stroke on="f" joinstyle="miter"/>
                  <v:imagedata r:id="rId43" o:title=""/>
                  <o:lock v:ext="edit" aspectratio="t"/>
                  <w10:wrap type="none"/>
                  <w10:anchorlock/>
                </v:shape>
                <o:OLEObject Type="Embed" ProgID="PBrush" ShapeID="_x0000_i1025" DrawAspect="Content" ObjectID="_1468075725" r:id="rId42">
                  <o:LockedField>false</o:LockedField>
                </o:OLEObject>
              </w:objec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348" w:type="dxa"/>
          </w:tcPr>
          <w:p>
            <w:pPr>
              <w:spacing w:line="240" w:lineRule="auto"/>
              <w:jc w:val="center"/>
              <w:rPr>
                <w:rFonts w:ascii="Times New Roman" w:hAnsi="Times New Roman" w:eastAsia="黑体"/>
              </w:rPr>
            </w:pPr>
            <w:r>
              <w:rPr>
                <w:rFonts w:ascii="Times New Roman" w:hAnsi="Times New Roman" w:eastAsia="黑体"/>
              </w:rPr>
              <w:t>图C.1  环状沟施肥</w:t>
            </w:r>
          </w:p>
          <w:p>
            <w:pPr>
              <w:spacing w:line="240" w:lineRule="auto"/>
              <w:jc w:val="center"/>
              <w:rPr>
                <w:rFonts w:ascii="Times New Roman" w:hAnsi="Times New Roman" w:eastAsia="黑体"/>
                <w:sz w:val="18"/>
                <w:szCs w:val="18"/>
              </w:rPr>
            </w:pPr>
            <w:r>
              <w:rPr>
                <w:rFonts w:ascii="Times New Roman" w:hAnsi="Times New Roman" w:eastAsia="黑体"/>
                <w:sz w:val="18"/>
                <w:szCs w:val="18"/>
              </w:rPr>
              <w:t>（1）平面图 （2）断面图</w:t>
            </w:r>
          </w:p>
          <w:p>
            <w:pPr>
              <w:pStyle w:val="14"/>
              <w:spacing w:after="0" w:line="240" w:lineRule="auto"/>
              <w:jc w:val="center"/>
            </w:pPr>
            <w:r>
              <w:rPr>
                <w:rFonts w:ascii="Times New Roman" w:hAnsi="Times New Roman" w:eastAsia="黑体"/>
                <w:sz w:val="18"/>
                <w:szCs w:val="18"/>
              </w:rPr>
              <w:t>1.施肥沟；2.原栽植穴；3.尚未挖掘的施肥沟</w:t>
            </w:r>
          </w:p>
        </w:tc>
      </w:tr>
    </w:tbl>
    <w:p>
      <w:pPr>
        <w:pStyle w:val="57"/>
        <w:ind w:firstLine="420"/>
      </w:pPr>
      <w:r>
        <w:t>C.2 条状沟施肥</w:t>
      </w:r>
    </w:p>
    <w:p>
      <w:pPr>
        <w:pStyle w:val="57"/>
        <w:ind w:firstLine="420"/>
      </w:pPr>
      <w:r>
        <w:t>切冠影边缘相对的两侧，分别挖掘平行的施肥沟。深、宽各40cm</w:t>
      </w:r>
      <w:r>
        <w:rPr>
          <w:rFonts w:hint="eastAsia" w:hAnsi="宋体"/>
          <w:color w:val="000000" w:themeColor="text1"/>
          <w14:textFill>
            <w14:solidFill>
              <w14:schemeClr w14:val="tx1"/>
            </w14:solidFill>
          </w14:textFill>
        </w:rPr>
        <w:t>～</w:t>
      </w:r>
      <w:r>
        <w:t>50cm，长度视树冠的大小而定，幼树一般为1cm</w:t>
      </w:r>
      <w:r>
        <w:rPr>
          <w:rFonts w:hint="eastAsia" w:hAnsi="宋体"/>
          <w:color w:val="000000" w:themeColor="text1"/>
          <w14:textFill>
            <w14:solidFill>
              <w14:schemeClr w14:val="tx1"/>
            </w14:solidFill>
          </w14:textFill>
        </w:rPr>
        <w:t>～</w:t>
      </w:r>
      <w:r>
        <w:t>3m。第二年的挖沟位置应换到另外两侧。</w:t>
      </w:r>
    </w:p>
    <w:tbl>
      <w:tblPr>
        <w:tblStyle w:val="28"/>
        <w:tblW w:w="434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3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4349" w:type="dxa"/>
          </w:tcPr>
          <w:p>
            <w:pPr>
              <w:pStyle w:val="14"/>
              <w:spacing w:before="156" w:beforeLines="50" w:after="156" w:afterLines="50" w:line="240" w:lineRule="auto"/>
              <w:jc w:val="center"/>
            </w:pPr>
            <w:r>
              <w:rPr>
                <w:szCs w:val="28"/>
              </w:rPr>
              <w:drawing>
                <wp:inline distT="0" distB="0" distL="114300" distR="114300">
                  <wp:extent cx="2448560" cy="2159635"/>
                  <wp:effectExtent l="0" t="0" r="0" b="0"/>
                  <wp:docPr id="20" name="图片 20"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2"/>
                          <pic:cNvPicPr>
                            <a:picLocks noChangeAspect="1"/>
                          </pic:cNvPicPr>
                        </pic:nvPicPr>
                        <pic:blipFill>
                          <a:blip r:embed="rId44"/>
                          <a:srcRect l="6767" r="6124" b="1880"/>
                          <a:stretch>
                            <a:fillRect/>
                          </a:stretch>
                        </pic:blipFill>
                        <pic:spPr>
                          <a:xfrm>
                            <a:off x="0" y="0"/>
                            <a:ext cx="2448946" cy="216000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4349" w:type="dxa"/>
          </w:tcPr>
          <w:p>
            <w:pPr>
              <w:spacing w:line="240" w:lineRule="auto"/>
              <w:jc w:val="center"/>
              <w:rPr>
                <w:rFonts w:ascii="Times New Roman" w:hAnsi="Times New Roman" w:eastAsia="黑体"/>
              </w:rPr>
            </w:pPr>
            <w:r>
              <w:rPr>
                <w:rFonts w:hint="eastAsia" w:ascii="Times New Roman" w:hAnsi="Times New Roman" w:eastAsia="黑体"/>
              </w:rPr>
              <w:t>图C.</w:t>
            </w:r>
            <w:r>
              <w:rPr>
                <w:rFonts w:ascii="Times New Roman" w:hAnsi="Times New Roman" w:eastAsia="黑体"/>
              </w:rPr>
              <w:t>2  条状沟施肥</w:t>
            </w:r>
          </w:p>
          <w:p>
            <w:pPr>
              <w:spacing w:line="240" w:lineRule="auto"/>
              <w:jc w:val="center"/>
              <w:rPr>
                <w:rFonts w:ascii="Times New Roman" w:hAnsi="Times New Roman" w:eastAsia="黑体"/>
                <w:sz w:val="18"/>
                <w:szCs w:val="18"/>
              </w:rPr>
            </w:pPr>
            <w:r>
              <w:rPr>
                <w:rFonts w:ascii="Times New Roman" w:hAnsi="Times New Roman" w:eastAsia="黑体"/>
                <w:sz w:val="18"/>
                <w:szCs w:val="18"/>
              </w:rPr>
              <w:t>（1）平面图 （2）断面图</w:t>
            </w:r>
          </w:p>
          <w:p>
            <w:pPr>
              <w:spacing w:line="240" w:lineRule="auto"/>
              <w:jc w:val="center"/>
            </w:pPr>
            <w:r>
              <w:rPr>
                <w:rFonts w:ascii="Times New Roman" w:hAnsi="Times New Roman" w:eastAsia="黑体"/>
                <w:sz w:val="18"/>
                <w:szCs w:val="18"/>
              </w:rPr>
              <w:t>1.当年施肥沟；2.次年施肥</w:t>
            </w:r>
          </w:p>
        </w:tc>
      </w:tr>
    </w:tbl>
    <w:p>
      <w:pPr>
        <w:pStyle w:val="57"/>
        <w:ind w:firstLine="420"/>
        <w:rPr>
          <w:kern w:val="2"/>
        </w:rPr>
      </w:pPr>
      <w:r>
        <w:rPr>
          <w:kern w:val="2"/>
        </w:rPr>
        <w:t xml:space="preserve">C.3 </w:t>
      </w:r>
      <w:r>
        <w:t>放射状施肥</w:t>
      </w:r>
    </w:p>
    <w:p>
      <w:pPr>
        <w:pStyle w:val="57"/>
        <w:ind w:firstLine="420"/>
        <w:rPr>
          <w:rFonts w:hint="eastAsia"/>
          <w:kern w:val="2"/>
        </w:rPr>
      </w:pPr>
      <w:r>
        <w:rPr>
          <w:kern w:val="2"/>
        </w:rPr>
        <w:t>以树干为中心，从树冠边缘的不同方位开始，挖4</w:t>
      </w:r>
      <w:r>
        <w:rPr>
          <w:rFonts w:hint="eastAsia" w:hAnsi="宋体"/>
          <w:color w:val="000000" w:themeColor="text1"/>
          <w14:textFill>
            <w14:solidFill>
              <w14:schemeClr w14:val="tx1"/>
            </w14:solidFill>
          </w14:textFill>
        </w:rPr>
        <w:t>～</w:t>
      </w:r>
      <w:r>
        <w:rPr>
          <w:kern w:val="2"/>
        </w:rPr>
        <w:t>8条放射状的施肥沟，沟的长短视树冠的大小而定，一般为1m</w:t>
      </w:r>
      <w:r>
        <w:rPr>
          <w:rFonts w:hint="eastAsia" w:hAnsi="宋体"/>
          <w:color w:val="000000" w:themeColor="text1"/>
          <w14:textFill>
            <w14:solidFill>
              <w14:schemeClr w14:val="tx1"/>
            </w14:solidFill>
          </w14:textFill>
        </w:rPr>
        <w:t>～</w:t>
      </w:r>
      <w:r>
        <w:rPr>
          <w:kern w:val="2"/>
        </w:rPr>
        <w:t>2m。靠树干处浅，向外逐渐加深，沟宽20cm</w:t>
      </w:r>
      <w:r>
        <w:rPr>
          <w:rFonts w:hint="eastAsia" w:hAnsi="宋体"/>
          <w:color w:val="000000" w:themeColor="text1"/>
          <w14:textFill>
            <w14:solidFill>
              <w14:schemeClr w14:val="tx1"/>
            </w14:solidFill>
          </w14:textFill>
        </w:rPr>
        <w:t>～</w:t>
      </w:r>
      <w:r>
        <w:rPr>
          <w:kern w:val="2"/>
        </w:rPr>
        <w:t>30cm。将肥料撒在沟内，用土覆盖整平。每年施肥沟的位置要变更，并且随着树冠的不断扩大而逐渐外移。多用于春、夏追肥。</w:t>
      </w:r>
    </w:p>
    <w:p>
      <w:pPr>
        <w:spacing w:line="240" w:lineRule="auto"/>
        <w:jc w:val="center"/>
      </w:pPr>
      <w:r>
        <w:drawing>
          <wp:inline distT="0" distB="0" distL="0" distR="0">
            <wp:extent cx="2447925" cy="215963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45">
                      <a:extLst>
                        <a:ext uri="{28A0092B-C50C-407E-A947-70E740481C1C}">
                          <a14:useLocalDpi xmlns:a14="http://schemas.microsoft.com/office/drawing/2010/main" val="0"/>
                        </a:ext>
                      </a:extLst>
                    </a:blip>
                    <a:srcRect b="6683"/>
                    <a:stretch>
                      <a:fillRect/>
                    </a:stretch>
                  </pic:blipFill>
                  <pic:spPr>
                    <a:xfrm>
                      <a:off x="0" y="0"/>
                      <a:ext cx="2448000" cy="2160000"/>
                    </a:xfrm>
                    <a:prstGeom prst="rect">
                      <a:avLst/>
                    </a:prstGeom>
                  </pic:spPr>
                </pic:pic>
              </a:graphicData>
            </a:graphic>
          </wp:inline>
        </w:drawing>
      </w:r>
    </w:p>
    <w:p>
      <w:pPr>
        <w:spacing w:line="240" w:lineRule="auto"/>
        <w:jc w:val="center"/>
        <w:rPr>
          <w:rFonts w:ascii="Times New Roman" w:hAnsi="Times New Roman" w:eastAsia="黑体"/>
        </w:rPr>
      </w:pPr>
      <w:r>
        <w:rPr>
          <w:rFonts w:hint="eastAsia" w:ascii="Times New Roman" w:hAnsi="Times New Roman" w:eastAsia="黑体"/>
        </w:rPr>
        <w:t>图C.</w:t>
      </w:r>
      <w:r>
        <w:rPr>
          <w:rFonts w:ascii="Times New Roman" w:hAnsi="Times New Roman" w:eastAsia="黑体"/>
        </w:rPr>
        <w:t>3  放射状施肥</w:t>
      </w:r>
    </w:p>
    <w:p>
      <w:pPr>
        <w:pStyle w:val="57"/>
        <w:ind w:firstLine="420"/>
      </w:pPr>
      <w:r>
        <w:t>C.4 根外施肥</w:t>
      </w:r>
    </w:p>
    <w:p>
      <w:pPr>
        <w:pStyle w:val="57"/>
        <w:ind w:firstLine="420"/>
      </w:pPr>
      <w:r>
        <w:t>多用于微量元素肥料的施用，喷肥时间宜在晴天的早晚进行；施肥时间、用量、浓度及间隔期根据施用微肥的种类而定。</w:t>
      </w:r>
    </w:p>
    <w:p>
      <w:pPr>
        <w:pStyle w:val="57"/>
        <w:ind w:firstLine="420"/>
      </w:pPr>
      <w:r>
        <w:t>C.5 水肥一体化</w:t>
      </w:r>
    </w:p>
    <w:p>
      <w:pPr>
        <w:pStyle w:val="57"/>
        <w:ind w:firstLine="420"/>
      </w:pPr>
      <w:r>
        <w:t>现代标准化果园施肥方式。结合灌溉系统，根据土壤诊断结果和树木不同生长时期所需养分，将肥料配置于灌溉水体中，通过滴灌进行施肥</w:t>
      </w:r>
    </w:p>
    <w:p>
      <w:pPr>
        <w:pStyle w:val="57"/>
        <w:ind w:firstLine="420"/>
      </w:pPr>
    </w:p>
    <w:p>
      <w:pPr>
        <w:pStyle w:val="57"/>
        <w:ind w:firstLine="420"/>
        <w:sectPr>
          <w:headerReference r:id="rId31" w:type="default"/>
          <w:footerReference r:id="rId33" w:type="default"/>
          <w:headerReference r:id="rId32" w:type="even"/>
          <w:footerReference r:id="rId34" w:type="even"/>
          <w:pgSz w:w="11906" w:h="16838"/>
          <w:pgMar w:top="1928" w:right="1134" w:bottom="1134" w:left="1134" w:header="1418" w:footer="1134" w:gutter="284"/>
          <w:cols w:space="425" w:num="1"/>
          <w:formProt w:val="0"/>
          <w:docGrid w:type="lines" w:linePitch="312" w:charSpace="0"/>
        </w:sectPr>
      </w:pPr>
    </w:p>
    <w:p>
      <w:pPr>
        <w:pStyle w:val="199"/>
      </w:pPr>
    </w:p>
    <w:p>
      <w:pPr>
        <w:pStyle w:val="200"/>
      </w:pPr>
    </w:p>
    <w:p>
      <w:pPr>
        <w:pStyle w:val="77"/>
        <w:spacing w:after="156"/>
      </w:pPr>
      <w:r>
        <w:br w:type="textWrapping"/>
      </w:r>
      <w:bookmarkStart w:id="142" w:name="_Toc139615274"/>
      <w:bookmarkStart w:id="143" w:name="_Toc139558906"/>
      <w:bookmarkStart w:id="144" w:name="_Toc139562838"/>
      <w:bookmarkStart w:id="145" w:name="_Toc139620729"/>
      <w:bookmarkStart w:id="146" w:name="_Toc141195307"/>
      <w:r>
        <w:rPr>
          <w:rFonts w:hint="eastAsia"/>
        </w:rPr>
        <w:t>（规范性）</w:t>
      </w:r>
      <w:r>
        <w:br w:type="textWrapping"/>
      </w:r>
      <w:bookmarkEnd w:id="142"/>
      <w:bookmarkEnd w:id="143"/>
      <w:bookmarkEnd w:id="144"/>
      <w:bookmarkEnd w:id="145"/>
      <w:r>
        <w:t>油橄榄果园整形修剪的树形选择</w:t>
      </w:r>
      <w:bookmarkEnd w:id="146"/>
    </w:p>
    <w:p>
      <w:pPr>
        <w:pStyle w:val="57"/>
        <w:ind w:firstLine="420"/>
      </w:pPr>
      <w:r>
        <w:t>油橄榄的树冠培育通常选择以下几种形态：</w:t>
      </w:r>
    </w:p>
    <w:p>
      <w:pPr>
        <w:pStyle w:val="57"/>
        <w:ind w:firstLine="420"/>
      </w:pPr>
      <w:r>
        <w:t>D.1</w:t>
      </w:r>
      <w:r>
        <w:rPr>
          <w:rFonts w:hint="eastAsia"/>
        </w:rPr>
        <w:t xml:space="preserve">  </w:t>
      </w:r>
      <w:r>
        <w:t>“Y”字型</w:t>
      </w:r>
    </w:p>
    <w:p>
      <w:pPr>
        <w:pStyle w:val="57"/>
        <w:ind w:firstLine="420"/>
        <w:rPr>
          <w:rFonts w:hint="eastAsia"/>
        </w:rPr>
      </w:pPr>
      <w:r>
        <w:t>“Y”字形树形，又称塔图拉形(Tatura)，与开心形、开心扇形等同属于“扁平形”树形。采用“Y”字形树形时，栽植行向一般为南北向,每株仅两个骨干枝并分向东、西两方</w:t>
      </w:r>
      <w:r>
        <w:rPr>
          <w:rFonts w:hint="eastAsia"/>
        </w:rPr>
        <w:t>。</w:t>
      </w:r>
    </w:p>
    <w:p>
      <w:pPr>
        <w:adjustRightInd/>
        <w:spacing w:line="240" w:lineRule="auto"/>
        <w:jc w:val="center"/>
      </w:pPr>
      <w:r>
        <w:drawing>
          <wp:inline distT="0" distB="0" distL="0" distR="0">
            <wp:extent cx="3737610" cy="1499235"/>
            <wp:effectExtent l="0" t="0" r="0" b="5715"/>
            <wp:docPr id="10" name="图片 10"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
                    <pic:cNvPicPr>
                      <a:picLocks noChangeAspect="1"/>
                    </pic:cNvPicPr>
                  </pic:nvPicPr>
                  <pic:blipFill>
                    <a:blip r:embed="rId46">
                      <a:extLst>
                        <a:ext uri="{28A0092B-C50C-407E-A947-70E740481C1C}">
                          <a14:useLocalDpi xmlns:a14="http://schemas.microsoft.com/office/drawing/2010/main" val="0"/>
                        </a:ext>
                      </a:extLst>
                    </a:blip>
                    <a:srcRect l="6191" t="9379" r="12052" b="22939"/>
                    <a:stretch>
                      <a:fillRect/>
                    </a:stretch>
                  </pic:blipFill>
                  <pic:spPr>
                    <a:xfrm>
                      <a:off x="0" y="0"/>
                      <a:ext cx="3742954" cy="1501576"/>
                    </a:xfrm>
                    <a:prstGeom prst="rect">
                      <a:avLst/>
                    </a:prstGeom>
                    <a:ln>
                      <a:noFill/>
                    </a:ln>
                  </pic:spPr>
                </pic:pic>
              </a:graphicData>
            </a:graphic>
          </wp:inline>
        </w:drawing>
      </w:r>
    </w:p>
    <w:p>
      <w:pPr>
        <w:spacing w:line="240" w:lineRule="auto"/>
        <w:jc w:val="center"/>
        <w:rPr>
          <w:rFonts w:ascii="Times New Roman" w:hAnsi="Times New Roman" w:eastAsia="黑体"/>
        </w:rPr>
      </w:pPr>
      <w:r>
        <w:rPr>
          <w:rFonts w:ascii="Times New Roman" w:hAnsi="Times New Roman" w:eastAsia="黑体"/>
        </w:rPr>
        <w:t>图D.1  Y行1.5m×4m，人工生产示意图</w:t>
      </w:r>
    </w:p>
    <w:p>
      <w:pPr>
        <w:pStyle w:val="57"/>
        <w:ind w:firstLine="420"/>
      </w:pPr>
      <w:r>
        <w:t>D.2</w:t>
      </w:r>
      <w:r>
        <w:rPr>
          <w:rFonts w:hint="eastAsia"/>
        </w:rPr>
        <w:t xml:space="preserve">  </w:t>
      </w:r>
      <w:r>
        <w:t>三大主枝开心形</w:t>
      </w:r>
    </w:p>
    <w:p>
      <w:pPr>
        <w:pStyle w:val="57"/>
        <w:ind w:firstLine="420"/>
      </w:pPr>
      <w:r>
        <w:t>三个主枝延伸到顶，没有二级主枝，树冠低矮，中心开张，易于整形修剪。此树形主枝少，骨架坚强牢固，透风透光好，结果早，产量高，适宜坡地、平地及大多数品种。</w:t>
      </w:r>
    </w:p>
    <w:tbl>
      <w:tblPr>
        <w:tblStyle w:val="28"/>
        <w:tblW w:w="0" w:type="auto"/>
        <w:tblInd w:w="138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3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379" w:type="dxa"/>
          </w:tcPr>
          <w:p>
            <w:pPr>
              <w:pStyle w:val="14"/>
              <w:spacing w:after="0" w:line="240" w:lineRule="auto"/>
              <w:jc w:val="center"/>
            </w:pPr>
            <w:r>
              <w:drawing>
                <wp:inline distT="0" distB="0" distL="0" distR="0">
                  <wp:extent cx="2785745" cy="1707515"/>
                  <wp:effectExtent l="0" t="0" r="0" b="6985"/>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r:embed="rId47"/>
                          <a:srcRect l="12051" r="13077" b="5967"/>
                          <a:stretch>
                            <a:fillRect/>
                          </a:stretch>
                        </pic:blipFill>
                        <pic:spPr>
                          <a:xfrm>
                            <a:off x="0" y="0"/>
                            <a:ext cx="2786905" cy="1708381"/>
                          </a:xfrm>
                          <a:prstGeom prst="rect">
                            <a:avLst/>
                          </a:prstGeom>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379" w:type="dxa"/>
          </w:tcPr>
          <w:p>
            <w:pPr>
              <w:spacing w:line="240" w:lineRule="auto"/>
              <w:jc w:val="center"/>
              <w:rPr>
                <w:rFonts w:ascii="Times New Roman" w:hAnsi="Times New Roman" w:eastAsia="黑体"/>
              </w:rPr>
            </w:pPr>
            <w:r>
              <w:rPr>
                <w:rFonts w:hint="eastAsia" w:ascii="Times New Roman" w:hAnsi="Times New Roman" w:eastAsia="黑体"/>
              </w:rPr>
              <w:t xml:space="preserve">图D.2  </w:t>
            </w:r>
            <w:r>
              <w:rPr>
                <w:rFonts w:ascii="Times New Roman" w:hAnsi="Times New Roman" w:eastAsia="黑体"/>
              </w:rPr>
              <w:t>三大主枝开心形侧枝培养及成形图</w:t>
            </w:r>
          </w:p>
          <w:p>
            <w:pPr>
              <w:spacing w:line="240" w:lineRule="auto"/>
              <w:jc w:val="center"/>
              <w:rPr>
                <w:rFonts w:hint="eastAsia" w:ascii="Times New Roman" w:hAnsi="Times New Roman" w:eastAsia="黑体"/>
                <w:sz w:val="18"/>
                <w:szCs w:val="18"/>
              </w:rPr>
            </w:pPr>
            <w:r>
              <w:rPr>
                <w:rFonts w:ascii="Times New Roman" w:hAnsi="Times New Roman" w:eastAsia="黑体"/>
                <w:sz w:val="18"/>
                <w:szCs w:val="18"/>
              </w:rPr>
              <w:t>1.主枝上第一个一级侧枝与主干距离 50cm左右；2.一级侧枝；3.二级侧枝；</w:t>
            </w:r>
          </w:p>
          <w:p>
            <w:pPr>
              <w:spacing w:line="240" w:lineRule="auto"/>
              <w:jc w:val="center"/>
              <w:rPr>
                <w:rFonts w:ascii="Times New Roman" w:hAnsi="Times New Roman" w:eastAsia="黑体"/>
                <w:sz w:val="18"/>
                <w:szCs w:val="18"/>
              </w:rPr>
            </w:pPr>
            <w:r>
              <w:rPr>
                <w:rFonts w:ascii="Times New Roman" w:hAnsi="Times New Roman" w:eastAsia="黑体"/>
                <w:sz w:val="18"/>
                <w:szCs w:val="18"/>
              </w:rPr>
              <w:t>4.一级侧枝彼此间相距 50cm左右</w:t>
            </w:r>
          </w:p>
        </w:tc>
      </w:tr>
    </w:tbl>
    <w:p>
      <w:pPr>
        <w:pStyle w:val="57"/>
        <w:ind w:firstLine="420"/>
        <w:rPr>
          <w:rFonts w:hint="eastAsia"/>
        </w:rPr>
      </w:pPr>
      <w:r>
        <w:rPr>
          <w:rFonts w:hint="eastAsia"/>
        </w:rPr>
        <w:t>主枝与主干的夹角宜保持在45°左右。三个主枝任其自然斜向生长，待长度达到3m左右，每个主枝上有5</w:t>
      </w:r>
      <w:r>
        <w:rPr>
          <w:rFonts w:hint="eastAsia" w:hAnsi="宋体"/>
          <w:color w:val="000000" w:themeColor="text1"/>
          <w14:textFill>
            <w14:solidFill>
              <w14:schemeClr w14:val="tx1"/>
            </w14:solidFill>
          </w14:textFill>
        </w:rPr>
        <w:t>～</w:t>
      </w:r>
      <w:r>
        <w:rPr>
          <w:rFonts w:hint="eastAsia"/>
        </w:rPr>
        <w:t>6个一级侧枝时将主枝顶端剪掉。即成为三主枝开心形骨架。</w:t>
      </w:r>
    </w:p>
    <w:p>
      <w:pPr>
        <w:pStyle w:val="57"/>
        <w:ind w:firstLine="420"/>
        <w:rPr>
          <w:rFonts w:hint="eastAsia"/>
        </w:rPr>
      </w:pPr>
      <w:r>
        <w:rPr>
          <w:rFonts w:hint="eastAsia"/>
        </w:rPr>
        <w:t>在三主枝生长的同时，在每个主枝上，按50cm的间距，分别于左右两侧或外侧三个方向，以轮换位置选留一级侧枝5</w:t>
      </w:r>
      <w:r>
        <w:rPr>
          <w:rFonts w:hint="eastAsia" w:hAnsi="宋体"/>
          <w:color w:val="000000" w:themeColor="text1"/>
          <w14:textFill>
            <w14:solidFill>
              <w14:schemeClr w14:val="tx1"/>
            </w14:solidFill>
          </w14:textFill>
        </w:rPr>
        <w:t>～</w:t>
      </w:r>
      <w:r>
        <w:rPr>
          <w:rFonts w:hint="eastAsia"/>
        </w:rPr>
        <w:t>6个，选留以外的侧枝进行疏剪或短截。主枝和一级侧枝上着生的枝条应明确从属关系，并按结果枝或辅养枝进行修剪培育，多留小枝、少留大枝，使其成为结果枝结果。</w:t>
      </w:r>
    </w:p>
    <w:p>
      <w:pPr>
        <w:pStyle w:val="57"/>
        <w:ind w:firstLine="420"/>
        <w:rPr>
          <w:rFonts w:hint="eastAsia"/>
        </w:rPr>
      </w:pPr>
      <w:r>
        <w:rPr>
          <w:rFonts w:hint="eastAsia"/>
        </w:rPr>
        <w:t>D.3  疏散分层形</w:t>
      </w:r>
    </w:p>
    <w:p>
      <w:pPr>
        <w:pStyle w:val="57"/>
        <w:ind w:firstLine="420"/>
        <w:rPr>
          <w:rFonts w:hint="eastAsia"/>
        </w:rPr>
      </w:pPr>
      <w:r>
        <w:rPr>
          <w:rFonts w:hint="eastAsia"/>
        </w:rPr>
        <w:t>有一个中央领导干，主枝5</w:t>
      </w:r>
      <w:r>
        <w:rPr>
          <w:rFonts w:hint="eastAsia" w:hAnsi="宋体"/>
          <w:color w:val="000000" w:themeColor="text1"/>
          <w14:textFill>
            <w14:solidFill>
              <w14:schemeClr w14:val="tx1"/>
            </w14:solidFill>
          </w14:textFill>
        </w:rPr>
        <w:t>～</w:t>
      </w:r>
      <w:r>
        <w:rPr>
          <w:rFonts w:hint="eastAsia"/>
        </w:rPr>
        <w:t>6个，分三层排列，主枝层次多，层间距大，树体相对高些、主侧枝立体分布好，支撑力强。通风透光好，单株产量高。5个主枝树形，第一、二层各有2个、第三层为1个主枝；6个主枝树形，第一层3个、第二层2个、第三层为1个主枝。</w:t>
      </w:r>
    </w:p>
    <w:p>
      <w:pPr>
        <w:pStyle w:val="57"/>
        <w:ind w:firstLine="420"/>
        <w:rPr>
          <w:rFonts w:hint="eastAsia"/>
        </w:rPr>
      </w:pPr>
      <w:r>
        <w:rPr>
          <w:rFonts w:hint="eastAsia"/>
        </w:rPr>
        <w:t>第一层主枝在苗高50cm</w:t>
      </w:r>
      <w:r>
        <w:rPr>
          <w:rFonts w:hint="eastAsia" w:hAnsi="宋体"/>
          <w:color w:val="000000" w:themeColor="text1"/>
          <w14:textFill>
            <w14:solidFill>
              <w14:schemeClr w14:val="tx1"/>
            </w14:solidFill>
          </w14:textFill>
        </w:rPr>
        <w:t>～</w:t>
      </w:r>
      <w:r>
        <w:rPr>
          <w:rFonts w:hint="eastAsia"/>
        </w:rPr>
        <w:t>60cm以上处，由下向上按15cm</w:t>
      </w:r>
      <w:r>
        <w:rPr>
          <w:rFonts w:hint="eastAsia" w:hAnsi="宋体"/>
          <w:color w:val="000000" w:themeColor="text1"/>
          <w14:textFill>
            <w14:solidFill>
              <w14:schemeClr w14:val="tx1"/>
            </w14:solidFill>
          </w14:textFill>
        </w:rPr>
        <w:t>～</w:t>
      </w:r>
      <w:r>
        <w:rPr>
          <w:rFonts w:hint="eastAsia"/>
        </w:rPr>
        <w:t>20cm间距，选3个生长健壮，分布均匀，平面夹角在120°左右的侧枝作为第一层3个主枝。保留主干，主枝与主干的夹角应为50°</w:t>
      </w:r>
      <w:r>
        <w:rPr>
          <w:rFonts w:hint="eastAsia" w:hAnsi="宋体"/>
          <w:color w:val="000000" w:themeColor="text1"/>
          <w14:textFill>
            <w14:solidFill>
              <w14:schemeClr w14:val="tx1"/>
            </w14:solidFill>
          </w14:textFill>
        </w:rPr>
        <w:t>～</w:t>
      </w:r>
      <w:r>
        <w:rPr>
          <w:rFonts w:hint="eastAsia"/>
        </w:rPr>
        <w:t>60°。</w:t>
      </w:r>
    </w:p>
    <w:p>
      <w:pPr>
        <w:pStyle w:val="57"/>
        <w:ind w:firstLine="420"/>
        <w:rPr>
          <w:rFonts w:hint="eastAsia"/>
        </w:rPr>
      </w:pPr>
      <w:r>
        <w:rPr>
          <w:rFonts w:hint="eastAsia"/>
        </w:rPr>
        <w:t>第二层主枝在第一层主枝以上80cm</w:t>
      </w:r>
      <w:r>
        <w:rPr>
          <w:rFonts w:hint="eastAsia" w:hAnsi="宋体"/>
          <w:color w:val="000000" w:themeColor="text1"/>
          <w14:textFill>
            <w14:solidFill>
              <w14:schemeClr w14:val="tx1"/>
            </w14:solidFill>
          </w14:textFill>
        </w:rPr>
        <w:t>～</w:t>
      </w:r>
      <w:r>
        <w:rPr>
          <w:rFonts w:hint="eastAsia"/>
        </w:rPr>
        <w:t>100cm处，按20cm间距离再选留2个枝条，作为第二层主枝。主枝与主干的夹角40°左右，并与第一主枝相互错开。主干仍继续保留，让其延伸生长。主干上着生的未被选留作为主枝的枝条，进行疏强留弱处理。</w:t>
      </w:r>
    </w:p>
    <w:p>
      <w:pPr>
        <w:pStyle w:val="57"/>
        <w:ind w:firstLine="420"/>
        <w:rPr>
          <w:rFonts w:hint="eastAsia"/>
        </w:rPr>
      </w:pPr>
      <w:r>
        <w:rPr>
          <w:rFonts w:hint="eastAsia"/>
        </w:rPr>
        <w:t>第三层主枝在第二层主枝以上60cm</w:t>
      </w:r>
      <w:r>
        <w:rPr>
          <w:rFonts w:hint="eastAsia" w:hAnsi="宋体"/>
          <w:color w:val="000000" w:themeColor="text1"/>
          <w14:textFill>
            <w14:solidFill>
              <w14:schemeClr w14:val="tx1"/>
            </w14:solidFill>
          </w14:textFill>
        </w:rPr>
        <w:t>～</w:t>
      </w:r>
      <w:r>
        <w:rPr>
          <w:rFonts w:hint="eastAsia"/>
        </w:rPr>
        <w:t>70cm处，选留1个枝条，作为第三层主枝。这时将主干从第三层主枝上部剪去。</w:t>
      </w:r>
    </w:p>
    <w:tbl>
      <w:tblPr>
        <w:tblStyle w:val="28"/>
        <w:tblW w:w="889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944"/>
        <w:gridCol w:w="2976"/>
        <w:gridCol w:w="29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897" w:type="dxa"/>
            <w:gridSpan w:val="3"/>
          </w:tcPr>
          <w:p>
            <w:pPr>
              <w:pStyle w:val="14"/>
              <w:spacing w:after="0" w:line="240" w:lineRule="auto"/>
              <w:jc w:val="center"/>
            </w:pPr>
            <w:r>
              <w:rPr>
                <w:spacing w:val="-1"/>
                <w:szCs w:val="28"/>
              </w:rPr>
              <w:drawing>
                <wp:inline distT="0" distB="0" distL="0" distR="0">
                  <wp:extent cx="5237480" cy="2689225"/>
                  <wp:effectExtent l="0" t="0" r="1270" b="0"/>
                  <wp:docPr id="1" name="图片 1" descr="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111"/>
                          <pic:cNvPicPr>
                            <a:picLocks noChangeAspect="1"/>
                          </pic:cNvPicPr>
                        </pic:nvPicPr>
                        <pic:blipFill>
                          <a:blip r:embed="rId48">
                            <a:extLst>
                              <a:ext uri="{28A0092B-C50C-407E-A947-70E740481C1C}">
                                <a14:useLocalDpi xmlns:a14="http://schemas.microsoft.com/office/drawing/2010/main" val="0"/>
                              </a:ext>
                            </a:extLst>
                          </a:blip>
                          <a:stretch>
                            <a:fillRect/>
                          </a:stretch>
                        </pic:blipFill>
                        <pic:spPr>
                          <a:xfrm>
                            <a:off x="0" y="0"/>
                            <a:ext cx="5235552" cy="2688609"/>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944" w:type="dxa"/>
          </w:tcPr>
          <w:p>
            <w:pPr>
              <w:spacing w:line="240" w:lineRule="auto"/>
              <w:jc w:val="center"/>
              <w:rPr>
                <w:rFonts w:ascii="Times New Roman" w:hAnsi="Times New Roman" w:eastAsia="黑体"/>
                <w:sz w:val="18"/>
                <w:szCs w:val="18"/>
              </w:rPr>
            </w:pPr>
            <w:r>
              <w:rPr>
                <w:rFonts w:hint="eastAsia" w:ascii="Times New Roman" w:hAnsi="Times New Roman" w:eastAsia="黑体"/>
                <w:sz w:val="18"/>
                <w:szCs w:val="18"/>
              </w:rPr>
              <w:t>a) 第一层主枝剪留示意图</w:t>
            </w:r>
          </w:p>
          <w:p>
            <w:pPr>
              <w:spacing w:line="240" w:lineRule="auto"/>
              <w:rPr>
                <w:rFonts w:ascii="Times New Roman" w:hAnsi="Times New Roman" w:eastAsia="黑体"/>
                <w:sz w:val="18"/>
                <w:szCs w:val="18"/>
              </w:rPr>
            </w:pPr>
            <w:r>
              <w:rPr>
                <w:rFonts w:hint="eastAsia" w:ascii="Times New Roman" w:hAnsi="Times New Roman" w:eastAsia="黑体"/>
                <w:sz w:val="18"/>
                <w:szCs w:val="18"/>
              </w:rPr>
              <w:t>1.主干距地面高度50~60cm;2.选留的第一层3主枝之一；3.主枝与主干之间的夹角55~60度为宜；4第一层主枝与第二层主枝间的其它枝条若生长过旺就予以短截；5.选留主枝间上下距离宜保持15~20cm；6.第一个主枝以下的枝条宜短截暂时作为辅养枝留用。</w:t>
            </w:r>
          </w:p>
        </w:tc>
        <w:tc>
          <w:tcPr>
            <w:tcW w:w="2976" w:type="dxa"/>
          </w:tcPr>
          <w:p>
            <w:pPr>
              <w:spacing w:line="240" w:lineRule="auto"/>
              <w:jc w:val="center"/>
              <w:rPr>
                <w:rFonts w:ascii="Times New Roman" w:hAnsi="Times New Roman" w:eastAsia="黑体"/>
                <w:sz w:val="18"/>
                <w:szCs w:val="18"/>
              </w:rPr>
            </w:pPr>
            <w:r>
              <w:rPr>
                <w:rFonts w:hint="eastAsia" w:ascii="Times New Roman" w:hAnsi="Times New Roman" w:eastAsia="黑体"/>
                <w:sz w:val="18"/>
                <w:szCs w:val="18"/>
              </w:rPr>
              <w:t>b) 第二层主枝选留示意图</w:t>
            </w:r>
          </w:p>
          <w:p>
            <w:pPr>
              <w:spacing w:line="240" w:lineRule="auto"/>
              <w:rPr>
                <w:rFonts w:ascii="Times New Roman" w:hAnsi="Times New Roman" w:eastAsia="黑体"/>
                <w:sz w:val="18"/>
                <w:szCs w:val="18"/>
              </w:rPr>
            </w:pPr>
            <w:r>
              <w:rPr>
                <w:rFonts w:hint="eastAsia" w:ascii="Times New Roman" w:hAnsi="Times New Roman" w:eastAsia="黑体"/>
                <w:sz w:val="18"/>
                <w:szCs w:val="18"/>
              </w:rPr>
              <w:t>1.第一层主枝与第二层主枝的间距80~100cm左右；2.第二层主枝与主干的夹角应有40度左右；3.着生在第二层主枝以上的其它枝条，生长较旺的宜短截；4.第二层主枝彼此之间的距离宜有20cm;5.辅养枝。</w:t>
            </w:r>
          </w:p>
        </w:tc>
        <w:tc>
          <w:tcPr>
            <w:tcW w:w="2977" w:type="dxa"/>
          </w:tcPr>
          <w:p>
            <w:pPr>
              <w:spacing w:line="240" w:lineRule="auto"/>
              <w:jc w:val="center"/>
              <w:rPr>
                <w:rFonts w:ascii="Times New Roman" w:hAnsi="Times New Roman" w:eastAsia="黑体"/>
                <w:sz w:val="18"/>
                <w:szCs w:val="18"/>
              </w:rPr>
            </w:pPr>
            <w:r>
              <w:rPr>
                <w:rFonts w:hint="eastAsia" w:ascii="Times New Roman" w:hAnsi="Times New Roman" w:eastAsia="黑体"/>
                <w:sz w:val="18"/>
                <w:szCs w:val="18"/>
              </w:rPr>
              <w:t>c) 第三层主枝选留示意图</w:t>
            </w:r>
          </w:p>
          <w:p>
            <w:pPr>
              <w:spacing w:line="240" w:lineRule="auto"/>
              <w:rPr>
                <w:rFonts w:ascii="Times New Roman" w:hAnsi="Times New Roman" w:eastAsia="黑体"/>
                <w:sz w:val="18"/>
                <w:szCs w:val="18"/>
              </w:rPr>
            </w:pPr>
            <w:r>
              <w:rPr>
                <w:rFonts w:hint="eastAsia" w:ascii="Times New Roman" w:hAnsi="Times New Roman" w:eastAsia="黑体"/>
                <w:sz w:val="18"/>
                <w:szCs w:val="18"/>
              </w:rPr>
              <w:t>1.主干剪截处；2.第二层主枝与第三层主枝间的间距60~70cm;3.一级侧枝；4.二级侧枝；5.第一个一级侧枝与第二个一级侧枝间的间距40~50cm；6.主枝上选择留的第一个侧枝距主干60cm左右。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897" w:type="dxa"/>
            <w:gridSpan w:val="3"/>
          </w:tcPr>
          <w:p>
            <w:pPr>
              <w:spacing w:line="240" w:lineRule="auto"/>
              <w:jc w:val="center"/>
              <w:rPr>
                <w:rFonts w:ascii="Times New Roman" w:hAnsi="Times New Roman" w:eastAsia="黑体"/>
              </w:rPr>
            </w:pPr>
            <w:r>
              <w:rPr>
                <w:rFonts w:ascii="Times New Roman" w:hAnsi="Times New Roman" w:eastAsia="黑体"/>
              </w:rPr>
              <w:t>图D.3  疏散分层形培养过程示意图</w:t>
            </w:r>
          </w:p>
        </w:tc>
      </w:tr>
    </w:tbl>
    <w:p>
      <w:pPr>
        <w:spacing w:line="240" w:lineRule="auto"/>
        <w:ind w:firstLine="560"/>
        <w:jc w:val="center"/>
      </w:pPr>
    </w:p>
    <w:p>
      <w:pPr>
        <w:pStyle w:val="57"/>
        <w:ind w:firstLine="420"/>
        <w:rPr>
          <w:kern w:val="2"/>
        </w:rPr>
        <w:sectPr>
          <w:headerReference r:id="rId35" w:type="default"/>
          <w:footerReference r:id="rId37" w:type="default"/>
          <w:headerReference r:id="rId36" w:type="even"/>
          <w:footerReference r:id="rId38" w:type="even"/>
          <w:pgSz w:w="11906" w:h="16838"/>
          <w:pgMar w:top="1928" w:right="1134" w:bottom="1134" w:left="1134" w:header="1418" w:footer="1134" w:gutter="284"/>
          <w:cols w:space="425" w:num="1"/>
          <w:formProt w:val="0"/>
          <w:docGrid w:type="lines" w:linePitch="312" w:charSpace="0"/>
        </w:sectPr>
      </w:pPr>
      <w:r>
        <w:rPr>
          <w:kern w:val="2"/>
        </w:rPr>
        <w:t>经过3年的整形修剪，三层6个主枝的疏散分层形树形骨架基本形成。在选留培养主枝的同时，可在各级主枝上选留一级侧枝。各主枝的第1个一级侧枝，应与主干保持60cm左右的间距。一级侧枝之间应保持40cm</w:t>
      </w:r>
      <w:r>
        <w:rPr>
          <w:rFonts w:hint="eastAsia" w:hAnsi="宋体"/>
          <w:color w:val="000000" w:themeColor="text1"/>
          <w14:textFill>
            <w14:solidFill>
              <w14:schemeClr w14:val="tx1"/>
            </w14:solidFill>
          </w14:textFill>
        </w:rPr>
        <w:t>～</w:t>
      </w:r>
      <w:r>
        <w:rPr>
          <w:kern w:val="2"/>
        </w:rPr>
        <w:t>50cm间距。选留的侧枝应在主枝的左右两侧或外侧，位置应轮换错开。</w:t>
      </w:r>
    </w:p>
    <w:p>
      <w:pPr>
        <w:pStyle w:val="77"/>
        <w:spacing w:after="156"/>
      </w:pPr>
      <w:r>
        <w:br w:type="textWrapping"/>
      </w:r>
      <w:bookmarkStart w:id="147" w:name="_Toc141195308"/>
      <w:r>
        <w:rPr>
          <w:rFonts w:hint="eastAsia"/>
        </w:rPr>
        <w:t>（规范性）</w:t>
      </w:r>
      <w:r>
        <w:br w:type="textWrapping"/>
      </w:r>
      <w:bookmarkStart w:id="148" w:name="_Toc140138102"/>
      <w:r>
        <w:rPr>
          <w:bCs/>
          <w:szCs w:val="32"/>
        </w:rPr>
        <w:t>油橄榄主要病虫害特征及防治方法</w:t>
      </w:r>
      <w:bookmarkEnd w:id="147"/>
      <w:bookmarkEnd w:id="148"/>
    </w:p>
    <w:p>
      <w:pPr>
        <w:pStyle w:val="57"/>
        <w:ind w:firstLine="420"/>
      </w:pPr>
      <w:r>
        <w:rPr>
          <w:bCs/>
          <w:szCs w:val="32"/>
        </w:rPr>
        <w:t>油橄榄主要病虫害特征及防治方法</w:t>
      </w:r>
      <w:r>
        <w:rPr>
          <w:rFonts w:hint="eastAsia"/>
        </w:rPr>
        <w:t>见表E.</w:t>
      </w:r>
      <w:r>
        <w:t>1</w:t>
      </w:r>
      <w:r>
        <w:rPr>
          <w:rFonts w:hint="eastAsia"/>
        </w:rPr>
        <w:t>。</w:t>
      </w:r>
    </w:p>
    <w:p>
      <w:pPr>
        <w:pStyle w:val="78"/>
        <w:numPr>
          <w:ilvl w:val="0"/>
          <w:numId w:val="0"/>
        </w:numPr>
        <w:spacing w:before="156" w:after="156"/>
        <w:rPr>
          <w:rFonts w:hint="eastAsia"/>
          <w:bCs/>
          <w:szCs w:val="32"/>
        </w:rPr>
      </w:pPr>
      <w:r>
        <w:rPr>
          <w:bCs/>
          <w:szCs w:val="32"/>
        </w:rPr>
        <w:t>表</w:t>
      </w:r>
      <w:r>
        <w:rPr>
          <w:rFonts w:hint="eastAsia"/>
          <w:bCs/>
          <w:szCs w:val="32"/>
        </w:rPr>
        <w:t xml:space="preserve">E.1  </w:t>
      </w:r>
      <w:r>
        <w:rPr>
          <w:bCs/>
          <w:szCs w:val="32"/>
        </w:rPr>
        <w:t>立地分类与油橄榄适宜性评价</w:t>
      </w:r>
    </w:p>
    <w:tbl>
      <w:tblPr>
        <w:tblStyle w:val="27"/>
        <w:tblW w:w="0" w:type="auto"/>
        <w:jc w:val="center"/>
        <w:tblLayout w:type="autofit"/>
        <w:tblCellMar>
          <w:top w:w="0" w:type="dxa"/>
          <w:left w:w="0" w:type="dxa"/>
          <w:bottom w:w="0" w:type="dxa"/>
          <w:right w:w="0" w:type="dxa"/>
        </w:tblCellMar>
      </w:tblPr>
      <w:tblGrid>
        <w:gridCol w:w="688"/>
        <w:gridCol w:w="3482"/>
        <w:gridCol w:w="2522"/>
        <w:gridCol w:w="2177"/>
      </w:tblGrid>
      <w:tr>
        <w:trPr>
          <w:jc w:val="center"/>
        </w:trPr>
        <w:tc>
          <w:tcPr>
            <w:tcW w:w="68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before="100" w:beforeAutospacing="1" w:after="100" w:afterAutospacing="1" w:line="320" w:lineRule="exact"/>
              <w:textAlignment w:val="baseline"/>
              <w:rPr>
                <w:rFonts w:ascii="Times New Roman" w:hAnsi="Times New Roman" w:eastAsia="方正黑体_GBK"/>
                <w:snapToGrid w:val="0"/>
                <w:kern w:val="0"/>
                <w:sz w:val="18"/>
                <w:szCs w:val="18"/>
              </w:rPr>
            </w:pPr>
            <w:r>
              <w:rPr>
                <w:rFonts w:ascii="Times New Roman" w:hAnsi="Times New Roman" w:eastAsia="方正黑体_GBK"/>
                <w:snapToGrid w:val="0"/>
                <w:kern w:val="0"/>
                <w:sz w:val="18"/>
                <w:szCs w:val="18"/>
              </w:rPr>
              <w:t>病虫害种类</w:t>
            </w:r>
          </w:p>
        </w:tc>
        <w:tc>
          <w:tcPr>
            <w:tcW w:w="348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before="100" w:beforeAutospacing="1" w:after="100" w:afterAutospacing="1" w:line="320" w:lineRule="exact"/>
              <w:jc w:val="center"/>
              <w:textAlignment w:val="baseline"/>
              <w:rPr>
                <w:rFonts w:ascii="Times New Roman" w:hAnsi="Times New Roman" w:eastAsia="方正黑体_GBK"/>
                <w:snapToGrid w:val="0"/>
                <w:kern w:val="0"/>
                <w:sz w:val="18"/>
                <w:szCs w:val="18"/>
              </w:rPr>
            </w:pPr>
            <w:r>
              <w:rPr>
                <w:rFonts w:ascii="Times New Roman" w:hAnsi="Times New Roman" w:eastAsia="方正黑体_GBK"/>
                <w:snapToGrid w:val="0"/>
                <w:kern w:val="0"/>
                <w:sz w:val="18"/>
                <w:szCs w:val="18"/>
              </w:rPr>
              <w:t>特征</w:t>
            </w:r>
          </w:p>
        </w:tc>
        <w:tc>
          <w:tcPr>
            <w:tcW w:w="252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before="100" w:beforeAutospacing="1" w:after="100" w:afterAutospacing="1" w:line="320" w:lineRule="exact"/>
              <w:jc w:val="center"/>
              <w:textAlignment w:val="baseline"/>
              <w:rPr>
                <w:rFonts w:ascii="Times New Roman" w:hAnsi="Times New Roman" w:eastAsia="方正黑体_GBK"/>
                <w:snapToGrid w:val="0"/>
                <w:kern w:val="0"/>
                <w:sz w:val="18"/>
                <w:szCs w:val="18"/>
              </w:rPr>
            </w:pPr>
            <w:r>
              <w:rPr>
                <w:rFonts w:ascii="Times New Roman" w:hAnsi="Times New Roman" w:eastAsia="方正黑体_GBK"/>
                <w:snapToGrid w:val="0"/>
                <w:kern w:val="0"/>
                <w:sz w:val="18"/>
                <w:szCs w:val="18"/>
              </w:rPr>
              <w:t>防治方法</w:t>
            </w:r>
          </w:p>
        </w:tc>
        <w:tc>
          <w:tcPr>
            <w:tcW w:w="217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before="100" w:beforeAutospacing="1" w:after="100" w:afterAutospacing="1" w:line="320" w:lineRule="exact"/>
              <w:jc w:val="center"/>
              <w:textAlignment w:val="baseline"/>
              <w:rPr>
                <w:rFonts w:ascii="Times New Roman" w:hAnsi="Times New Roman" w:eastAsia="方正黑体_GBK"/>
                <w:snapToGrid w:val="0"/>
                <w:kern w:val="0"/>
                <w:sz w:val="18"/>
                <w:szCs w:val="18"/>
              </w:rPr>
            </w:pPr>
            <w:r>
              <w:rPr>
                <w:rFonts w:ascii="Times New Roman" w:hAnsi="Times New Roman" w:eastAsia="方正黑体_GBK"/>
                <w:snapToGrid w:val="0"/>
                <w:kern w:val="0"/>
                <w:sz w:val="18"/>
                <w:szCs w:val="18"/>
              </w:rPr>
              <w:t>田间配套措施</w:t>
            </w:r>
          </w:p>
        </w:tc>
      </w:tr>
      <w:tr>
        <w:trPr>
          <w:jc w:val="center"/>
        </w:trPr>
        <w:tc>
          <w:tcPr>
            <w:tcW w:w="68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大粒横沟象</w:t>
            </w:r>
          </w:p>
        </w:tc>
        <w:tc>
          <w:tcPr>
            <w:tcW w:w="348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成虫：体长13～15毫米，黑褐色，被覆白色或金黄色毛状鳞片。前胸两侧、肩的周围和翅的鳞片较密并覆白色粉末，喙粗而长，触角鞭节第二节短于第一节。前胸背板有圆形大颗粒，背板前半部中央有一条纵隆线，特别凸起。鞘翅肩显著，翅上有刻点列，刻点大，行间宽，第三、五行间高于其他行间，第五行间端部有一个瘤突；鞘翅端部尖。腿节棒状，各有1个发达的齿。</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卵：椭圆形，长约1.5毫米，梨黄色，不透明。</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幼虫：体弯曲，老熟幼虫体长17～20毫米。头部黄褐色，虫体乳白色。蛹：长16～18毫米，乳白色，快羽化时变为黑色。体上布满对称排列的刺，头部，腹部两端的1对保护刺尤其明显。</w:t>
            </w:r>
          </w:p>
        </w:tc>
        <w:tc>
          <w:tcPr>
            <w:tcW w:w="252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1、3-6月，将75%吡虫啉颗粒剂每cm胸径使0.3-0.5g，即：（吡虫啉:水=1：60）配成60倍药液，于根部施入药液20～30ml。</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2、幼虫期，白僵菌毒泥堵塞虫孔、昆虫致病线虫注射虫孔。</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3、采用输液技术，对树体施用内吸性药物液体，杀死树体内包括大粒横沟象在内的各类蛀干害虫和食叶害虫。</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4、药剂喷雾防治：可用3%高效氯氰菊酯微囊悬浮剂1000-2000倍液或2%噻虫啉微囊悬浮剂1000倍液，该虫取食或爬行时可触破微囊，而快速释放的高溶度药剂能杀灭害虫。</w:t>
            </w:r>
          </w:p>
        </w:tc>
        <w:tc>
          <w:tcPr>
            <w:tcW w:w="217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1、人工捕杀或冬季挖土捕杀。发现树皮有凹形下陷或树皮干瘪坏死，枝桠树叶发黄等现象时，可用钢丝在危害的枝丫部位掏挖穿虫孔，然后塞入少许药棉或涂抹拌有熏蒸性或内吸性的药泥封堵虫孔。</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2、成虫期的清晨和傍晚摇曳枝干，捕捉假死后掉落地面的成虫。</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3、加强管理，中耕除草、松土，捕杀在土中产卵的成虫和卵粒。</w:t>
            </w:r>
          </w:p>
        </w:tc>
      </w:tr>
      <w:tr>
        <w:trPr>
          <w:jc w:val="center"/>
        </w:trPr>
        <w:tc>
          <w:tcPr>
            <w:tcW w:w="68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云斑天牛</w:t>
            </w:r>
          </w:p>
        </w:tc>
        <w:tc>
          <w:tcPr>
            <w:tcW w:w="348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成虫：体长32－65毫米，宽9～20毫米。体黑色或黑褐色，密被灰白色绒毛。前胸背板近中央有1对黄白色肾形斑，两侧各有一粗大刺突；小盾片半圆形密被白色绒毛。鞘翅上有排成2～3纵行10余个云片状斑纹，斑纹形状和颜色有较大变异，色斑呈黄白色或杏黄、橘黄混杂。鞘翅基有颗粒状光亮瘤突，约占鞘翅四分之一。复眼后方至腹末节的体两侧有白色绒毛组成的阔纵带1条。</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卵：长6－10毫米，宽3～4毫米，长椭圆形，稍弯，一端略细；初产时乳白色，后变成黄白色。</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幼虫：老熟幼虫体长70－80毫米，粗肥多皱，乳白色至淡黄色，前胸背板淡棕色，略呈方形，中线前方两侧各有1个小黄点，点内生刚毛1根。</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蛹：长40～70毫米，淡黄白色。</w:t>
            </w:r>
          </w:p>
        </w:tc>
        <w:tc>
          <w:tcPr>
            <w:tcW w:w="252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ind w:firstLine="270" w:firstLineChars="150"/>
              <w:textAlignment w:val="baseline"/>
              <w:rPr>
                <w:rFonts w:ascii="Times New Roman" w:hAnsi="Times New Roman"/>
                <w:snapToGrid w:val="0"/>
                <w:kern w:val="0"/>
                <w:sz w:val="18"/>
                <w:szCs w:val="18"/>
              </w:rPr>
            </w:pPr>
            <w:r>
              <w:rPr>
                <w:rFonts w:ascii="Times New Roman" w:hAnsi="Times New Roman"/>
                <w:snapToGrid w:val="0"/>
                <w:kern w:val="0"/>
                <w:sz w:val="18"/>
                <w:szCs w:val="18"/>
              </w:rPr>
              <w:t>1、卵期和初孵幼虫期喷洒渗透性内吸药剂蛀虫清500－800倍液。</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2、幼虫危害期(6月～8月)，用注射器从虫道注入内吸性药物。也可用浸药棉花塞虫孔, 然后用粘泥或塑料带封堵虫孔。</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3、毒签熏杀。幼虫危害期,从虫道插入“天牛净毒签”毒杀幼虫。</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4、成虫期喷药毒杀，在干基部喷绿色威雷触破式微囊剂150～200倍液。保护利用天敌，如跳小蜂、小茧蜂、核型多角病毒等。</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5、成虫发生期,对集中连片危害的林木,向树冠喷洒胃毒剂或内吸剂，以消灭进行补充营养的成虫。</w:t>
            </w:r>
          </w:p>
        </w:tc>
        <w:tc>
          <w:tcPr>
            <w:tcW w:w="217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1、加强养护，提高树木生长势。</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2、成虫产卵前树干涂白，防止产卵。</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3、成虫期人工捕杀成虫或用钢丝勾杀幼虫。</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4、卵孵化前用木榔头或塑料榔头敲击产卵刻槽，杀灭虫卵。</w:t>
            </w:r>
          </w:p>
        </w:tc>
      </w:tr>
      <w:tr>
        <w:trPr>
          <w:trHeight w:val="4300" w:hRule="atLeast"/>
          <w:jc w:val="center"/>
        </w:trPr>
        <w:tc>
          <w:tcPr>
            <w:tcW w:w="68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豹蠹蛾</w:t>
            </w:r>
          </w:p>
        </w:tc>
        <w:tc>
          <w:tcPr>
            <w:tcW w:w="348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成体：长20—36毫米，翅展40－60毫米、体灰白色。胸部背板有蓝黑斑点6个排成2行。前翅上有许多蓝黑色斑点，后翅外缘有少量蓝黑斑。雌虫触角丝状，雄虫触角基半部羽毛状，端半部丝状。</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卵：椭圆形，长约1．2毫米，初产时淡黄色，后变为橘黄色。</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幼虫：头部黑褐色．体暗紫红色或深红色，尾部淡黄色。老熟幼虫体长27～45毫米，每节有黑色毛瘤，上有毛1～2根，前胸背板上有黑色发亮的大斑1个，后半部密布黑色小刻点，臀板硬化、黑色。</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蛹：长圆筒形，黄褐色，长18～36毫米。</w:t>
            </w:r>
          </w:p>
        </w:tc>
        <w:tc>
          <w:tcPr>
            <w:tcW w:w="252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1、注意监测掌握成虫羽化期，用黑光灯或频振式杀虫灯进行诱捕。</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2、将蛀孔内的虫粪掏出，用注射器注入杀虫剂，或用棉球蘸药塞进虫孔，再用泥土封住虫孔，毒杀幼虫。</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3、在卵孵化盛期，初孵幼虫未钻入枝梢前，喷施2.5%功夫乳油3000倍液，2.5%天王星乳油1500倍液。</w:t>
            </w:r>
          </w:p>
        </w:tc>
        <w:tc>
          <w:tcPr>
            <w:tcW w:w="217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1、及时剪除凋萎的蛀害枝条和从环蛀处折断的枝条，集中烧毁或深埋。</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2、用铁丝将幼虫捅死或勾出消灭。</w:t>
            </w:r>
          </w:p>
        </w:tc>
      </w:tr>
      <w:tr>
        <w:trPr>
          <w:jc w:val="center"/>
        </w:trPr>
        <w:tc>
          <w:tcPr>
            <w:tcW w:w="68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黄刺蛾</w:t>
            </w:r>
          </w:p>
        </w:tc>
        <w:tc>
          <w:tcPr>
            <w:tcW w:w="348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成虫：体长13～17毫米，翅展35毫米左右。头、胸部黄色。前翅有2条暗色斜线，汇合于翅尖，呈倒“V”字形，内半部黄色，外半部褐色，褐色区中央有一深褐色线：后翅灰黄色，偶可见黑型成虫。</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卵：椭圆形，扁平，黄绿色，长1．4～15毫米。</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幼虫：老熟幼虫体长19～25毫米，头部黄褐色，小；胸、腹部黄绿色，肥大；体背有一紫褐色“哑铃”状大斑；每个体节有4个枝刺，以后胸和腹部第一、第七节上较大。</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蛹：椭圆形，长13－15毫米，黄褐色。茧椭圆形，质地坚硬，灰白色，表面光滑，上有数条深褐色纵条纹，形似雀蛋。</w:t>
            </w:r>
          </w:p>
        </w:tc>
        <w:tc>
          <w:tcPr>
            <w:tcW w:w="252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1、利用成虫有较强趋光性的特点，在成虫羽化期用黑光灯、频振式杀虫灯诱杀成虫。</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2、保护和利用天敌、微生物制剂及病毒制剂，如刺蛾广肩小蜂、刺蛾紫姬蜂、上海青蜂、寄蝇、绒茧蜂、赤眼蜂、白僵菌、青虫菌、核型多角体病毒等。</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3、在低龄幼虫期喷20％除虫脲悬浮剂8000—10000倍液，或25％灭幼脲</w:t>
            </w:r>
            <w:r>
              <w:rPr>
                <w:rFonts w:hint="eastAsia" w:ascii="宋体" w:hAnsi="宋体" w:cs="宋体"/>
                <w:snapToGrid w:val="0"/>
                <w:kern w:val="0"/>
                <w:sz w:val="18"/>
                <w:szCs w:val="18"/>
              </w:rPr>
              <w:t>Ⅲ</w:t>
            </w:r>
            <w:r>
              <w:rPr>
                <w:rFonts w:ascii="Times New Roman" w:hAnsi="Times New Roman"/>
                <w:snapToGrid w:val="0"/>
                <w:kern w:val="0"/>
                <w:sz w:val="18"/>
                <w:szCs w:val="18"/>
              </w:rPr>
              <w:t>号悬浮剂1500—2000倍液，或1．2％苦烟乳油800－1000倍液；或于较高龄幼虫期喷500－1000倍液、每毫升含孢子100亿以上的Bt乳剂。</w:t>
            </w:r>
          </w:p>
        </w:tc>
        <w:tc>
          <w:tcPr>
            <w:tcW w:w="217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1、冬季击杀、刮除枝干上的虫茧，集中销毁，因茧内寄生天敌种类、数量较多，可以收集虫茧放入有一定孔径网格盛器的天敌保护器内，保证天敌昆虫可以飞出、而刺蛾成虫不能飞出。</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2、摘除虫叶。黄刺蛾初龄幼虫多群集于叶背面为害，使被害叶呈枯黄膜状，发现这种现象，及时摘除虫叶，消灭幼虫。</w:t>
            </w:r>
          </w:p>
        </w:tc>
      </w:tr>
      <w:tr>
        <w:trPr>
          <w:jc w:val="center"/>
        </w:trPr>
        <w:tc>
          <w:tcPr>
            <w:tcW w:w="68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铜绿丽金龟</w:t>
            </w:r>
          </w:p>
        </w:tc>
        <w:tc>
          <w:tcPr>
            <w:tcW w:w="348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成虫：体长24－30毫米，宽15～18毫米。背面铜绿色，有光泽。前胸背板两侧具有黄褐色细边。鞘翅铜绿色、每翅各有隆起的纵线3条。腹部米黄色，有光泽，臀板三角形，常有1个近三角形黑斑。</w:t>
            </w:r>
          </w:p>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卵：白色，初产为椭圆形，后逐渐变为球形，长2毫米左右。</w:t>
            </w:r>
          </w:p>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幼虫：体长约40毫米；头部暗黄色，体乳白色，常弯曲成“C”形，各体节多褶皱，腹部末端3节膨大，青黑色，肛门呈“一”字横裂，在肛门周边散生多根刚毛，其中央有15－18对刚毛分2列相对横生。</w:t>
            </w:r>
          </w:p>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蛹：椭圆形，长约25毫米，土黄色。</w:t>
            </w:r>
          </w:p>
        </w:tc>
        <w:tc>
          <w:tcPr>
            <w:tcW w:w="252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1、灯光诱杀成虫。</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2、幼虫危害时，开沟、打洞浇灌，或泼浇触杀性药物。</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3、成虫危害期可叶面喷洒触杀性或者胃毒性药物毒杀成虫。</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4、用苏云菌杆菌或灭幼脲</w:t>
            </w:r>
            <w:r>
              <w:rPr>
                <w:rFonts w:hint="eastAsia" w:ascii="宋体" w:hAnsi="宋体" w:cs="宋体"/>
                <w:snapToGrid w:val="0"/>
                <w:kern w:val="0"/>
                <w:sz w:val="18"/>
                <w:szCs w:val="18"/>
              </w:rPr>
              <w:t>Ⅲ</w:t>
            </w:r>
            <w:r>
              <w:rPr>
                <w:rFonts w:ascii="Times New Roman" w:hAnsi="Times New Roman"/>
                <w:snapToGrid w:val="0"/>
                <w:kern w:val="0"/>
                <w:sz w:val="18"/>
                <w:szCs w:val="18"/>
              </w:rPr>
              <w:t>号1500倍液防治幼虫。</w:t>
            </w:r>
          </w:p>
        </w:tc>
        <w:tc>
          <w:tcPr>
            <w:tcW w:w="217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1、利用成虫的假死习性，早晚振落捕杀成虫。</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2、加强管理，中耕除草、松土，捕杀幼虫。</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3、施用的有机肥务必充分腐熟，避免成虫产卵。</w:t>
            </w:r>
          </w:p>
        </w:tc>
      </w:tr>
      <w:tr>
        <w:trPr>
          <w:jc w:val="center"/>
        </w:trPr>
        <w:tc>
          <w:tcPr>
            <w:tcW w:w="68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橄榄肿瘤病</w:t>
            </w:r>
          </w:p>
        </w:tc>
        <w:tc>
          <w:tcPr>
            <w:tcW w:w="348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危害症状：主要危害植株的根部、根颈、主干、枝条、叶柄和果柄等部位。肿瘤常为乳头状突起，初为小瘤，直径1－3cm．通常1－5个或数十个肿瘤连成一片，或与枝干伤口等长。病斑一般为淡灰褐色，表面光滑。后期色泽加深，表面变粗糙并开裂，质地逐渐变硬、变脆为海绵状，瘤内表层组织为浅灰绿色，里层灰白色略带浅色，常有褐色斑带深及木质部。最后病斑分崩脱落，形成溃疡，以后可再长新瘤。瘤内有大量细菌，遇雨水或空气潮湿时由孔道溢出或呈黏液状附着在瘤外。</w:t>
            </w:r>
          </w:p>
        </w:tc>
        <w:tc>
          <w:tcPr>
            <w:tcW w:w="252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1、实行严格检疫措施，避免带病苗木或插条随调运传播，发现病株立即烧毀。</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2、在油橄榄生长季节，每月喷洒一次有机铜药剂，雨季每月喷洒二次，可保护植株免受病菌侵染。</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3、发现罹病植株时，立即实行移植隔离并用漂白粉对土壤进行消毒，或在树冠投影周围筑一小埂，以防病菌随雨水外流传播。</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4、对发病枝梢，可用修剪或切除病瘤的手术治疗方法，“手术”时先用酒精对肿瘤表面消毒．切除位置以在肿瘤以下15厘米以外为宜，切除后的伤口和工具均需进行化学消毒（常用药剂有：辛菌胺，土霉素软膏或1％的二硝基邻甲酚溶液）。</w:t>
            </w:r>
          </w:p>
        </w:tc>
        <w:tc>
          <w:tcPr>
            <w:tcW w:w="217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1、加强管理，中耕除草、松土、施肥，培育健康抗病植株。</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2、剪除肿瘤是最简易方法。剪下的病枝集中烧毁。</w:t>
            </w:r>
          </w:p>
        </w:tc>
      </w:tr>
      <w:tr>
        <w:trPr>
          <w:jc w:val="center"/>
        </w:trPr>
        <w:tc>
          <w:tcPr>
            <w:tcW w:w="68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油橄榄孔雀斑病</w:t>
            </w:r>
          </w:p>
        </w:tc>
        <w:tc>
          <w:tcPr>
            <w:tcW w:w="348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危害症状：受害部位主要为叶片，也能侵染果实及嫩枝，造成大量落叶及严重减产。病斑在叶片上初为灰黑小点，逐渐扩大，边缘由浅褐变深褐色。病斑外围有一黄色晕环，形如孔雀羽斑，故名孔雀斑病。叶片感病严重时，常沿叶片背面主脉分布较多呈线状霉斑，病叶逐渐枯黄早落。成熟期的果实容易染病。病果表面出现圆形褐色病斑，稍下陷，症状与叶片病斑相似。果柄受侵染后，果实早落，病果脱落时常带有部分果柄。</w:t>
            </w:r>
          </w:p>
        </w:tc>
        <w:tc>
          <w:tcPr>
            <w:tcW w:w="252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1、防治应以检疫为主，出圃病苗不应外运。</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2、药剂防治应以喷施保护剂为主要措施。</w:t>
            </w:r>
          </w:p>
        </w:tc>
        <w:tc>
          <w:tcPr>
            <w:tcW w:w="217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1、清除落叶、落果，保持林内良好卫生状况。</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2、合理灌溉及施肥，适度修剪。</w:t>
            </w:r>
          </w:p>
        </w:tc>
      </w:tr>
      <w:tr>
        <w:trPr>
          <w:jc w:val="center"/>
        </w:trPr>
        <w:tc>
          <w:tcPr>
            <w:tcW w:w="68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油橄榄炭疽病</w:t>
            </w:r>
          </w:p>
        </w:tc>
        <w:tc>
          <w:tcPr>
            <w:tcW w:w="348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危害症状：该病主要危害果实、嫩芽、嫩叶及嫩梢，引起大量落果、落叶、枯梢，果实品质下降。病斑初为褐色小点，圆形，后扩大，中心略凹陷，呈灰白色，周围有白色环圈。以后病斑中央出现许多黑色颗粒，呈轮纹排列，即病菌分生孢子盘。逢阴雨天气，涌现大量橘黄色分生孢子，借雨水或昆虫传播。</w:t>
            </w:r>
          </w:p>
        </w:tc>
        <w:tc>
          <w:tcPr>
            <w:tcW w:w="252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可在油橄榄座果初期（病害发生初期）喷施代森锌进行化学防治。</w:t>
            </w:r>
          </w:p>
        </w:tc>
        <w:tc>
          <w:tcPr>
            <w:tcW w:w="217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1、加强抚育管理．増强树势和抗病力，注意土壤排水和树冠通风透光。</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2、冬季修剪清除感病落叶、落果和枯梢，以最大限度地减少次年的病菌源。</w:t>
            </w:r>
          </w:p>
        </w:tc>
      </w:tr>
      <w:tr>
        <w:trPr>
          <w:jc w:val="center"/>
        </w:trPr>
        <w:tc>
          <w:tcPr>
            <w:tcW w:w="68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油橄榄青枯病</w:t>
            </w:r>
          </w:p>
        </w:tc>
        <w:tc>
          <w:tcPr>
            <w:tcW w:w="348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危害症状：地上部的枝、叶、果表现为失水萎焉，主干出现不规则的渍疡斑。病死植株主根腐烂，木质部变褐色至黑褐色，重者皮层腐烂，轻者完好。剖视病根横切面可见乳白色至淡棕色粘稠状的菌脓溢出。</w:t>
            </w:r>
          </w:p>
        </w:tc>
        <w:tc>
          <w:tcPr>
            <w:tcW w:w="252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1、选育抗病品种，如尖叶木樨榄和非洲油橄榄等有较强抗病力。</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2、初发病株可用甲基硫菌灵灌根防治。</w:t>
            </w:r>
          </w:p>
        </w:tc>
        <w:tc>
          <w:tcPr>
            <w:tcW w:w="217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1、严格选地：忌用种植过马铃薯、西红柿、辣椒、茄子、花生、芝麻、西瓜、萝卜等易发青枯病的前茬作物的土地营造油橄榄林或严禁在油橄榄林中间种上述作物。</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2、加强林间管理，减少发病条件，对零星病株及时治疗或清除。</w:t>
            </w:r>
          </w:p>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3、开沟排水，合理灌溉，防止病菌随水流传播，改良土壤，合理施肥，增强植株抗病力，间种覆盖作物，以降低土温，抑制病害发生。</w:t>
            </w:r>
          </w:p>
        </w:tc>
      </w:tr>
      <w:tr>
        <w:trPr>
          <w:jc w:val="center"/>
        </w:trPr>
        <w:tc>
          <w:tcPr>
            <w:tcW w:w="68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油橄榄根结线虫病</w:t>
            </w:r>
          </w:p>
        </w:tc>
        <w:tc>
          <w:tcPr>
            <w:tcW w:w="348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危害症状：危害油橄榄的侧根，造成伤痕和虫瘿，影响根系吸收，致使植株生长衰弱、果实减产，甚至枯死。感病植株小苗或大树的嫩根上，形成大小不等的虫瘿，树龄不同其受害程度各异。以5－10年生逐渐进入结果期的幼树侧根最易染病，受害最严重。大部分虫瘿是由根尖膨大形成的。虫瘿初期表面光滑，淡黄色，剖开可见许多容易剥离的细胞和白色透明的雌虫。雌虫产卵后，虫瘿表面变粗糙，有许多小孔，瘿内有空洞和黄褐色胶黏物。</w:t>
            </w:r>
          </w:p>
        </w:tc>
        <w:tc>
          <w:tcPr>
            <w:tcW w:w="252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在种植前20天用淡紫拟青霉处理土壞，可较好控制该病危害。</w:t>
            </w:r>
          </w:p>
        </w:tc>
        <w:tc>
          <w:tcPr>
            <w:tcW w:w="217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kinsoku w:val="0"/>
              <w:autoSpaceDE w:val="0"/>
              <w:autoSpaceDN w:val="0"/>
              <w:snapToGrid w:val="0"/>
              <w:spacing w:line="320" w:lineRule="exact"/>
              <w:ind w:firstLine="360" w:firstLineChars="200"/>
              <w:textAlignment w:val="baseline"/>
              <w:rPr>
                <w:rFonts w:ascii="Times New Roman" w:hAnsi="Times New Roman"/>
                <w:snapToGrid w:val="0"/>
                <w:kern w:val="0"/>
                <w:sz w:val="18"/>
                <w:szCs w:val="18"/>
              </w:rPr>
            </w:pPr>
            <w:r>
              <w:rPr>
                <w:rFonts w:ascii="Times New Roman" w:hAnsi="Times New Roman"/>
                <w:snapToGrid w:val="0"/>
                <w:kern w:val="0"/>
                <w:sz w:val="18"/>
                <w:szCs w:val="18"/>
              </w:rPr>
              <w:t>选择抗性品种，避免间种线虫寄主植物如花生、黄豆、绿豆、西瓜、南瓜、红薯等。</w:t>
            </w:r>
          </w:p>
        </w:tc>
      </w:tr>
    </w:tbl>
    <w:p>
      <w:pPr>
        <w:pStyle w:val="57"/>
        <w:ind w:firstLine="420"/>
        <w:rPr>
          <w:kern w:val="2"/>
        </w:rPr>
        <w:sectPr>
          <w:pgSz w:w="11906" w:h="16838"/>
          <w:pgMar w:top="1928" w:right="1134" w:bottom="1134" w:left="1134" w:header="1418" w:footer="1134" w:gutter="284"/>
          <w:cols w:space="425" w:num="1"/>
          <w:formProt w:val="0"/>
          <w:docGrid w:type="lines" w:linePitch="312" w:charSpace="0"/>
        </w:sectPr>
      </w:pPr>
    </w:p>
    <w:p>
      <w:pPr>
        <w:pStyle w:val="77"/>
        <w:spacing w:after="156"/>
        <w:ind w:firstLine="560"/>
      </w:pPr>
      <w:r>
        <w:br w:type="textWrapping"/>
      </w:r>
      <w:bookmarkStart w:id="149" w:name="_Toc141195309"/>
      <w:r>
        <w:rPr>
          <w:rFonts w:hint="eastAsia"/>
        </w:rPr>
        <w:t>（规范性）</w:t>
      </w:r>
      <w:r>
        <w:br w:type="textWrapping"/>
      </w:r>
      <w:r>
        <w:rPr>
          <w:bCs/>
          <w:szCs w:val="32"/>
        </w:rPr>
        <w:t>油橄榄果园周年管理历</w:t>
      </w:r>
      <w:bookmarkEnd w:id="149"/>
    </w:p>
    <w:p>
      <w:pPr>
        <w:pStyle w:val="57"/>
        <w:ind w:firstLine="420"/>
      </w:pPr>
      <w:r>
        <w:rPr>
          <w:bCs/>
          <w:szCs w:val="32"/>
        </w:rPr>
        <w:t>油橄榄果园周年管理历见</w:t>
      </w:r>
      <w:r>
        <w:rPr>
          <w:rFonts w:hint="eastAsia"/>
        </w:rPr>
        <w:t>表F.</w:t>
      </w:r>
      <w:r>
        <w:t>1</w:t>
      </w:r>
      <w:r>
        <w:rPr>
          <w:rFonts w:hint="eastAsia"/>
        </w:rPr>
        <w:t>。</w:t>
      </w:r>
    </w:p>
    <w:p>
      <w:pPr>
        <w:pStyle w:val="57"/>
        <w:ind w:firstLine="420"/>
        <w:jc w:val="center"/>
        <w:rPr>
          <w:rFonts w:hint="eastAsia" w:eastAsia="黑体"/>
          <w:bCs/>
          <w:szCs w:val="32"/>
        </w:rPr>
      </w:pPr>
      <w:r>
        <w:rPr>
          <w:rFonts w:ascii="Times New Roman" w:eastAsia="黑体"/>
          <w:bCs/>
          <w:szCs w:val="32"/>
        </w:rPr>
        <w:t xml:space="preserve">表F.1 </w:t>
      </w:r>
      <w:r>
        <w:rPr>
          <w:rFonts w:hint="eastAsia" w:eastAsia="黑体"/>
          <w:bCs/>
          <w:szCs w:val="32"/>
        </w:rPr>
        <w:t xml:space="preserve"> 油橄榄果园周年管理历</w:t>
      </w:r>
    </w:p>
    <w:tbl>
      <w:tblPr>
        <w:tblStyle w:val="238"/>
        <w:tblW w:w="9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2"/>
        <w:gridCol w:w="614"/>
        <w:gridCol w:w="3262"/>
        <w:gridCol w:w="4029"/>
        <w:gridCol w:w="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22" w:type="dxa"/>
            <w:tcMar>
              <w:left w:w="28" w:type="dxa"/>
              <w:right w:w="28" w:type="dxa"/>
            </w:tcMar>
            <w:vAlign w:val="center"/>
          </w:tcPr>
          <w:p>
            <w:pPr>
              <w:widowControl/>
              <w:kinsoku w:val="0"/>
              <w:autoSpaceDE w:val="0"/>
              <w:autoSpaceDN w:val="0"/>
              <w:snapToGrid w:val="0"/>
              <w:spacing w:line="320" w:lineRule="exact"/>
              <w:jc w:val="center"/>
              <w:textAlignment w:val="baseline"/>
              <w:rPr>
                <w:rFonts w:ascii="Times New Roman" w:hAnsi="Times New Roman" w:eastAsia="方正黑体_GBK"/>
                <w:snapToGrid w:val="0"/>
                <w:kern w:val="0"/>
                <w:sz w:val="18"/>
                <w:szCs w:val="18"/>
              </w:rPr>
            </w:pPr>
            <w:r>
              <w:rPr>
                <w:rFonts w:ascii="Times New Roman" w:hAnsi="Times New Roman" w:eastAsia="方正黑体_GBK"/>
                <w:snapToGrid w:val="0"/>
                <w:kern w:val="0"/>
                <w:sz w:val="18"/>
                <w:szCs w:val="18"/>
              </w:rPr>
              <w:t>物候期及</w:t>
            </w:r>
          </w:p>
          <w:p>
            <w:pPr>
              <w:widowControl/>
              <w:kinsoku w:val="0"/>
              <w:autoSpaceDE w:val="0"/>
              <w:autoSpaceDN w:val="0"/>
              <w:snapToGrid w:val="0"/>
              <w:spacing w:line="320" w:lineRule="exact"/>
              <w:jc w:val="center"/>
              <w:textAlignment w:val="baseline"/>
              <w:rPr>
                <w:rFonts w:ascii="Times New Roman" w:hAnsi="Times New Roman" w:eastAsia="方正黑体_GBK"/>
                <w:snapToGrid w:val="0"/>
                <w:kern w:val="0"/>
                <w:sz w:val="18"/>
                <w:szCs w:val="18"/>
              </w:rPr>
            </w:pPr>
            <w:r>
              <w:rPr>
                <w:rFonts w:ascii="Times New Roman" w:hAnsi="Times New Roman" w:eastAsia="方正黑体_GBK"/>
                <w:snapToGrid w:val="0"/>
                <w:kern w:val="0"/>
                <w:sz w:val="18"/>
                <w:szCs w:val="18"/>
              </w:rPr>
              <w:t>生长特点</w:t>
            </w:r>
          </w:p>
        </w:tc>
        <w:tc>
          <w:tcPr>
            <w:tcW w:w="614" w:type="dxa"/>
            <w:tcMar>
              <w:left w:w="28" w:type="dxa"/>
              <w:right w:w="28" w:type="dxa"/>
            </w:tcMar>
            <w:vAlign w:val="center"/>
          </w:tcPr>
          <w:p>
            <w:pPr>
              <w:widowControl/>
              <w:kinsoku w:val="0"/>
              <w:autoSpaceDE w:val="0"/>
              <w:autoSpaceDN w:val="0"/>
              <w:snapToGrid w:val="0"/>
              <w:spacing w:line="320" w:lineRule="exact"/>
              <w:jc w:val="center"/>
              <w:textAlignment w:val="baseline"/>
              <w:rPr>
                <w:rFonts w:ascii="Times New Roman" w:hAnsi="Times New Roman" w:eastAsia="方正黑体_GBK"/>
                <w:snapToGrid w:val="0"/>
                <w:kern w:val="0"/>
                <w:sz w:val="18"/>
                <w:szCs w:val="18"/>
              </w:rPr>
            </w:pPr>
            <w:r>
              <w:rPr>
                <w:rFonts w:ascii="Times New Roman" w:hAnsi="Times New Roman" w:eastAsia="方正黑体_GBK"/>
                <w:snapToGrid w:val="0"/>
                <w:kern w:val="0"/>
                <w:sz w:val="18"/>
                <w:szCs w:val="18"/>
              </w:rPr>
              <w:t>月份</w:t>
            </w:r>
          </w:p>
        </w:tc>
        <w:tc>
          <w:tcPr>
            <w:tcW w:w="3262" w:type="dxa"/>
            <w:tcMar>
              <w:left w:w="28" w:type="dxa"/>
              <w:right w:w="28" w:type="dxa"/>
            </w:tcMar>
            <w:vAlign w:val="center"/>
          </w:tcPr>
          <w:p>
            <w:pPr>
              <w:widowControl/>
              <w:kinsoku w:val="0"/>
              <w:autoSpaceDE w:val="0"/>
              <w:autoSpaceDN w:val="0"/>
              <w:snapToGrid w:val="0"/>
              <w:spacing w:line="320" w:lineRule="exact"/>
              <w:jc w:val="center"/>
              <w:textAlignment w:val="baseline"/>
              <w:rPr>
                <w:rFonts w:ascii="Times New Roman" w:hAnsi="Times New Roman" w:eastAsia="方正黑体_GBK"/>
                <w:snapToGrid w:val="0"/>
                <w:kern w:val="0"/>
                <w:sz w:val="18"/>
                <w:szCs w:val="18"/>
              </w:rPr>
            </w:pPr>
            <w:r>
              <w:rPr>
                <w:rFonts w:ascii="Times New Roman" w:hAnsi="Times New Roman" w:eastAsia="方正黑体_GBK"/>
                <w:snapToGrid w:val="0"/>
                <w:kern w:val="0"/>
                <w:sz w:val="18"/>
                <w:szCs w:val="18"/>
              </w:rPr>
              <w:t>果园特点与问题诊断</w:t>
            </w:r>
          </w:p>
        </w:tc>
        <w:tc>
          <w:tcPr>
            <w:tcW w:w="4029" w:type="dxa"/>
            <w:tcMar>
              <w:left w:w="28" w:type="dxa"/>
              <w:right w:w="28" w:type="dxa"/>
            </w:tcMar>
            <w:vAlign w:val="center"/>
          </w:tcPr>
          <w:p>
            <w:pPr>
              <w:widowControl/>
              <w:kinsoku w:val="0"/>
              <w:autoSpaceDE w:val="0"/>
              <w:autoSpaceDN w:val="0"/>
              <w:snapToGrid w:val="0"/>
              <w:spacing w:line="320" w:lineRule="exact"/>
              <w:jc w:val="center"/>
              <w:textAlignment w:val="baseline"/>
              <w:rPr>
                <w:rFonts w:ascii="Times New Roman" w:hAnsi="Times New Roman" w:eastAsia="方正黑体_GBK"/>
                <w:snapToGrid w:val="0"/>
                <w:kern w:val="0"/>
                <w:sz w:val="18"/>
                <w:szCs w:val="18"/>
              </w:rPr>
            </w:pPr>
            <w:r>
              <w:rPr>
                <w:rFonts w:ascii="Times New Roman" w:hAnsi="Times New Roman" w:eastAsia="方正黑体_GBK"/>
                <w:snapToGrid w:val="0"/>
                <w:kern w:val="0"/>
                <w:sz w:val="18"/>
                <w:szCs w:val="18"/>
              </w:rPr>
              <w:t>生产管理措施</w:t>
            </w:r>
          </w:p>
        </w:tc>
        <w:tc>
          <w:tcPr>
            <w:tcW w:w="891" w:type="dxa"/>
            <w:tcMar>
              <w:left w:w="28" w:type="dxa"/>
              <w:right w:w="28" w:type="dxa"/>
            </w:tcMar>
            <w:vAlign w:val="center"/>
          </w:tcPr>
          <w:p>
            <w:pPr>
              <w:widowControl/>
              <w:kinsoku w:val="0"/>
              <w:autoSpaceDE w:val="0"/>
              <w:autoSpaceDN w:val="0"/>
              <w:snapToGrid w:val="0"/>
              <w:spacing w:line="320" w:lineRule="exact"/>
              <w:jc w:val="center"/>
              <w:textAlignment w:val="baseline"/>
              <w:rPr>
                <w:rFonts w:ascii="Times New Roman" w:hAnsi="Times New Roman" w:eastAsia="方正黑体_GBK"/>
                <w:snapToGrid w:val="0"/>
                <w:kern w:val="0"/>
                <w:sz w:val="18"/>
                <w:szCs w:val="18"/>
              </w:rPr>
            </w:pPr>
            <w:r>
              <w:rPr>
                <w:rFonts w:ascii="Times New Roman" w:hAnsi="Times New Roman" w:eastAsia="方正黑体_GBK"/>
                <w:snapToGrid w:val="0"/>
                <w:kern w:val="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22" w:type="dxa"/>
            <w:vMerge w:val="restart"/>
            <w:tcMar>
              <w:left w:w="28" w:type="dxa"/>
              <w:right w:w="28" w:type="dxa"/>
            </w:tcMar>
            <w:vAlign w:val="center"/>
          </w:tcPr>
          <w:p>
            <w:pPr>
              <w:widowControl/>
              <w:kinsoku w:val="0"/>
              <w:autoSpaceDE w:val="0"/>
              <w:autoSpaceDN w:val="0"/>
              <w:snapToGrid w:val="0"/>
              <w:spacing w:line="320" w:lineRule="exact"/>
              <w:jc w:val="center"/>
              <w:textAlignment w:val="baseline"/>
              <w:rPr>
                <w:rFonts w:ascii="Times New Roman" w:hAnsi="Times New Roman"/>
                <w:snapToGrid w:val="0"/>
                <w:kern w:val="0"/>
                <w:sz w:val="18"/>
                <w:szCs w:val="18"/>
              </w:rPr>
            </w:pPr>
            <w:r>
              <w:rPr>
                <w:rFonts w:ascii="Times New Roman" w:hAnsi="Times New Roman"/>
                <w:snapToGrid w:val="0"/>
                <w:kern w:val="0"/>
                <w:sz w:val="18"/>
                <w:szCs w:val="18"/>
              </w:rPr>
              <w:t>休眠期</w:t>
            </w:r>
          </w:p>
        </w:tc>
        <w:tc>
          <w:tcPr>
            <w:tcW w:w="614" w:type="dxa"/>
            <w:tcMar>
              <w:left w:w="28" w:type="dxa"/>
              <w:right w:w="28" w:type="dxa"/>
            </w:tcMar>
            <w:vAlign w:val="center"/>
          </w:tcPr>
          <w:p>
            <w:pPr>
              <w:widowControl/>
              <w:kinsoku w:val="0"/>
              <w:autoSpaceDE w:val="0"/>
              <w:autoSpaceDN w:val="0"/>
              <w:snapToGrid w:val="0"/>
              <w:spacing w:line="320" w:lineRule="exact"/>
              <w:jc w:val="center"/>
              <w:textAlignment w:val="baseline"/>
              <w:rPr>
                <w:rFonts w:ascii="Times New Roman" w:hAnsi="Times New Roman"/>
                <w:snapToGrid w:val="0"/>
                <w:kern w:val="0"/>
                <w:sz w:val="18"/>
                <w:szCs w:val="18"/>
              </w:rPr>
            </w:pPr>
            <w:r>
              <w:rPr>
                <w:rFonts w:ascii="Times New Roman" w:hAnsi="Times New Roman"/>
                <w:snapToGrid w:val="0"/>
                <w:kern w:val="0"/>
                <w:sz w:val="18"/>
                <w:szCs w:val="18"/>
              </w:rPr>
              <w:t>1月</w:t>
            </w:r>
          </w:p>
        </w:tc>
        <w:tc>
          <w:tcPr>
            <w:tcW w:w="3262" w:type="dxa"/>
            <w:tcMar>
              <w:left w:w="28" w:type="dxa"/>
              <w:right w:w="2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果树进入休眠状态。</w:t>
            </w:r>
          </w:p>
        </w:tc>
        <w:tc>
          <w:tcPr>
            <w:tcW w:w="4029" w:type="dxa"/>
            <w:tcMar>
              <w:left w:w="28" w:type="dxa"/>
              <w:right w:w="2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b/>
                <w:snapToGrid w:val="0"/>
                <w:kern w:val="0"/>
                <w:sz w:val="18"/>
                <w:szCs w:val="18"/>
              </w:rPr>
              <w:t>园地清理</w:t>
            </w:r>
            <w:r>
              <w:rPr>
                <w:rFonts w:ascii="Times New Roman" w:hAnsi="Times New Roman"/>
                <w:snapToGrid w:val="0"/>
                <w:kern w:val="0"/>
                <w:sz w:val="18"/>
                <w:szCs w:val="18"/>
              </w:rPr>
              <w:t>、沟渠疏通、道路维护、土壤改良、</w:t>
            </w:r>
            <w:r>
              <w:rPr>
                <w:rFonts w:ascii="Times New Roman" w:hAnsi="Times New Roman"/>
                <w:b/>
                <w:snapToGrid w:val="0"/>
                <w:kern w:val="0"/>
                <w:sz w:val="18"/>
                <w:szCs w:val="18"/>
              </w:rPr>
              <w:t>整形修剪</w:t>
            </w:r>
            <w:r>
              <w:rPr>
                <w:rFonts w:ascii="Times New Roman" w:hAnsi="Times New Roman"/>
                <w:snapToGrid w:val="0"/>
                <w:kern w:val="0"/>
                <w:sz w:val="18"/>
                <w:szCs w:val="18"/>
              </w:rPr>
              <w:t>、</w:t>
            </w:r>
            <w:r>
              <w:rPr>
                <w:rFonts w:ascii="Times New Roman" w:hAnsi="Times New Roman"/>
                <w:b/>
                <w:snapToGrid w:val="0"/>
                <w:kern w:val="0"/>
                <w:sz w:val="18"/>
                <w:szCs w:val="18"/>
              </w:rPr>
              <w:t>施基肥</w:t>
            </w:r>
            <w:r>
              <w:rPr>
                <w:rFonts w:ascii="Times New Roman" w:hAnsi="Times New Roman"/>
                <w:snapToGrid w:val="0"/>
                <w:kern w:val="0"/>
                <w:sz w:val="18"/>
                <w:szCs w:val="18"/>
              </w:rPr>
              <w:t>、病虫防治、防止冻伤、适时灌溉等。</w:t>
            </w:r>
          </w:p>
        </w:tc>
        <w:tc>
          <w:tcPr>
            <w:tcW w:w="891" w:type="dxa"/>
            <w:tcMar>
              <w:left w:w="28" w:type="dxa"/>
              <w:right w:w="28" w:type="dxa"/>
            </w:tcMar>
          </w:tcPr>
          <w:p>
            <w:pPr>
              <w:widowControl/>
              <w:kinsoku w:val="0"/>
              <w:autoSpaceDE w:val="0"/>
              <w:autoSpaceDN w:val="0"/>
              <w:snapToGrid w:val="0"/>
              <w:spacing w:line="320" w:lineRule="exact"/>
              <w:ind w:firstLine="360" w:firstLineChars="200"/>
              <w:jc w:val="center"/>
              <w:textAlignment w:val="baseline"/>
              <w:rPr>
                <w:rFonts w:ascii="Times New Roman" w:hAnsi="Times New Roman"/>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22" w:type="dxa"/>
            <w:vMerge w:val="continue"/>
            <w:tcMar>
              <w:left w:w="28" w:type="dxa"/>
              <w:right w:w="28" w:type="dxa"/>
            </w:tcMar>
            <w:vAlign w:val="center"/>
          </w:tcPr>
          <w:p>
            <w:pPr>
              <w:widowControl/>
              <w:kinsoku w:val="0"/>
              <w:autoSpaceDE w:val="0"/>
              <w:autoSpaceDN w:val="0"/>
              <w:snapToGrid w:val="0"/>
              <w:spacing w:line="320" w:lineRule="exact"/>
              <w:ind w:firstLine="360" w:firstLineChars="200"/>
              <w:jc w:val="center"/>
              <w:textAlignment w:val="baseline"/>
              <w:rPr>
                <w:rFonts w:ascii="Times New Roman" w:hAnsi="Times New Roman"/>
                <w:snapToGrid w:val="0"/>
                <w:kern w:val="0"/>
                <w:sz w:val="18"/>
                <w:szCs w:val="18"/>
              </w:rPr>
            </w:pPr>
          </w:p>
        </w:tc>
        <w:tc>
          <w:tcPr>
            <w:tcW w:w="614" w:type="dxa"/>
            <w:tcMar>
              <w:left w:w="28" w:type="dxa"/>
              <w:right w:w="28" w:type="dxa"/>
            </w:tcMar>
            <w:vAlign w:val="center"/>
          </w:tcPr>
          <w:p>
            <w:pPr>
              <w:widowControl/>
              <w:kinsoku w:val="0"/>
              <w:autoSpaceDE w:val="0"/>
              <w:autoSpaceDN w:val="0"/>
              <w:snapToGrid w:val="0"/>
              <w:spacing w:line="320" w:lineRule="exact"/>
              <w:jc w:val="center"/>
              <w:textAlignment w:val="baseline"/>
              <w:rPr>
                <w:rFonts w:ascii="Times New Roman" w:hAnsi="Times New Roman"/>
                <w:snapToGrid w:val="0"/>
                <w:kern w:val="0"/>
                <w:sz w:val="18"/>
                <w:szCs w:val="18"/>
              </w:rPr>
            </w:pPr>
            <w:r>
              <w:rPr>
                <w:rFonts w:ascii="Times New Roman" w:hAnsi="Times New Roman"/>
                <w:snapToGrid w:val="0"/>
                <w:kern w:val="0"/>
                <w:sz w:val="18"/>
                <w:szCs w:val="18"/>
              </w:rPr>
              <w:t>2月</w:t>
            </w:r>
          </w:p>
        </w:tc>
        <w:tc>
          <w:tcPr>
            <w:tcW w:w="3262" w:type="dxa"/>
            <w:tcMar>
              <w:left w:w="28" w:type="dxa"/>
              <w:right w:w="2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休眠期，下旬开始萌动。</w:t>
            </w:r>
          </w:p>
        </w:tc>
        <w:tc>
          <w:tcPr>
            <w:tcW w:w="4029" w:type="dxa"/>
            <w:tcMar>
              <w:left w:w="28" w:type="dxa"/>
              <w:right w:w="2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园地清理、整形修剪、施基肥。</w:t>
            </w:r>
          </w:p>
        </w:tc>
        <w:tc>
          <w:tcPr>
            <w:tcW w:w="891" w:type="dxa"/>
            <w:tcMar>
              <w:left w:w="28" w:type="dxa"/>
              <w:right w:w="28" w:type="dxa"/>
            </w:tcMar>
          </w:tcPr>
          <w:p>
            <w:pPr>
              <w:widowControl/>
              <w:kinsoku w:val="0"/>
              <w:autoSpaceDE w:val="0"/>
              <w:autoSpaceDN w:val="0"/>
              <w:snapToGrid w:val="0"/>
              <w:spacing w:line="320" w:lineRule="exact"/>
              <w:ind w:firstLine="360" w:firstLineChars="200"/>
              <w:jc w:val="center"/>
              <w:textAlignment w:val="baseline"/>
              <w:rPr>
                <w:rFonts w:ascii="Times New Roman" w:hAnsi="Times New Roman"/>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22" w:type="dxa"/>
            <w:vMerge w:val="restart"/>
            <w:tcMar>
              <w:left w:w="28" w:type="dxa"/>
              <w:right w:w="28" w:type="dxa"/>
            </w:tcMar>
            <w:vAlign w:val="center"/>
          </w:tcPr>
          <w:p>
            <w:pPr>
              <w:widowControl/>
              <w:kinsoku w:val="0"/>
              <w:autoSpaceDE w:val="0"/>
              <w:autoSpaceDN w:val="0"/>
              <w:snapToGrid w:val="0"/>
              <w:spacing w:line="320" w:lineRule="exact"/>
              <w:jc w:val="center"/>
              <w:textAlignment w:val="baseline"/>
              <w:rPr>
                <w:rFonts w:ascii="Times New Roman" w:hAnsi="Times New Roman"/>
                <w:snapToGrid w:val="0"/>
                <w:kern w:val="0"/>
                <w:sz w:val="18"/>
                <w:szCs w:val="18"/>
              </w:rPr>
            </w:pPr>
            <w:r>
              <w:rPr>
                <w:rFonts w:ascii="Times New Roman" w:hAnsi="Times New Roman"/>
                <w:snapToGrid w:val="0"/>
                <w:kern w:val="0"/>
                <w:sz w:val="18"/>
                <w:szCs w:val="18"/>
              </w:rPr>
              <w:t>开花期</w:t>
            </w:r>
          </w:p>
        </w:tc>
        <w:tc>
          <w:tcPr>
            <w:tcW w:w="614" w:type="dxa"/>
            <w:tcMar>
              <w:left w:w="28" w:type="dxa"/>
              <w:right w:w="28" w:type="dxa"/>
            </w:tcMar>
            <w:vAlign w:val="center"/>
          </w:tcPr>
          <w:p>
            <w:pPr>
              <w:widowControl/>
              <w:kinsoku w:val="0"/>
              <w:autoSpaceDE w:val="0"/>
              <w:autoSpaceDN w:val="0"/>
              <w:snapToGrid w:val="0"/>
              <w:spacing w:line="320" w:lineRule="exact"/>
              <w:jc w:val="center"/>
              <w:textAlignment w:val="baseline"/>
              <w:rPr>
                <w:rFonts w:ascii="Times New Roman" w:hAnsi="Times New Roman"/>
                <w:snapToGrid w:val="0"/>
                <w:kern w:val="0"/>
                <w:sz w:val="18"/>
                <w:szCs w:val="18"/>
              </w:rPr>
            </w:pPr>
            <w:r>
              <w:rPr>
                <w:rFonts w:ascii="Times New Roman" w:hAnsi="Times New Roman"/>
                <w:snapToGrid w:val="0"/>
                <w:kern w:val="0"/>
                <w:sz w:val="18"/>
                <w:szCs w:val="18"/>
              </w:rPr>
              <w:t>3月</w:t>
            </w:r>
          </w:p>
        </w:tc>
        <w:tc>
          <w:tcPr>
            <w:tcW w:w="3262" w:type="dxa"/>
            <w:tcMar>
              <w:left w:w="28" w:type="dxa"/>
              <w:right w:w="2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休眠期，树液开始流动，下旬可见花蕾，春梢萌发。</w:t>
            </w:r>
          </w:p>
        </w:tc>
        <w:tc>
          <w:tcPr>
            <w:tcW w:w="4029" w:type="dxa"/>
            <w:tcMar>
              <w:left w:w="28" w:type="dxa"/>
              <w:right w:w="2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b/>
                <w:snapToGrid w:val="0"/>
                <w:kern w:val="0"/>
                <w:sz w:val="18"/>
                <w:szCs w:val="18"/>
              </w:rPr>
              <w:t>施追肥</w:t>
            </w:r>
            <w:r>
              <w:rPr>
                <w:rFonts w:ascii="Times New Roman" w:hAnsi="Times New Roman"/>
                <w:snapToGrid w:val="0"/>
                <w:kern w:val="0"/>
                <w:sz w:val="18"/>
                <w:szCs w:val="18"/>
              </w:rPr>
              <w:t>、适时灌溉、喷硼补氮、复剪等。</w:t>
            </w:r>
          </w:p>
        </w:tc>
        <w:tc>
          <w:tcPr>
            <w:tcW w:w="891" w:type="dxa"/>
            <w:tcMar>
              <w:left w:w="28" w:type="dxa"/>
              <w:right w:w="28" w:type="dxa"/>
            </w:tcMar>
          </w:tcPr>
          <w:p>
            <w:pPr>
              <w:widowControl/>
              <w:kinsoku w:val="0"/>
              <w:autoSpaceDE w:val="0"/>
              <w:autoSpaceDN w:val="0"/>
              <w:snapToGrid w:val="0"/>
              <w:spacing w:line="320" w:lineRule="exact"/>
              <w:ind w:firstLine="388" w:firstLineChars="216"/>
              <w:jc w:val="center"/>
              <w:textAlignment w:val="baseline"/>
              <w:rPr>
                <w:rFonts w:ascii="Times New Roman" w:hAnsi="Times New Roman"/>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22" w:type="dxa"/>
            <w:vMerge w:val="continue"/>
            <w:tcMar>
              <w:left w:w="28" w:type="dxa"/>
              <w:right w:w="28" w:type="dxa"/>
            </w:tcMar>
            <w:vAlign w:val="center"/>
          </w:tcPr>
          <w:p>
            <w:pPr>
              <w:widowControl/>
              <w:kinsoku w:val="0"/>
              <w:autoSpaceDE w:val="0"/>
              <w:autoSpaceDN w:val="0"/>
              <w:snapToGrid w:val="0"/>
              <w:spacing w:line="320" w:lineRule="exact"/>
              <w:ind w:firstLine="360" w:firstLineChars="200"/>
              <w:jc w:val="center"/>
              <w:textAlignment w:val="baseline"/>
              <w:rPr>
                <w:rFonts w:ascii="Times New Roman" w:hAnsi="Times New Roman"/>
                <w:snapToGrid w:val="0"/>
                <w:kern w:val="0"/>
                <w:sz w:val="18"/>
                <w:szCs w:val="18"/>
              </w:rPr>
            </w:pPr>
          </w:p>
        </w:tc>
        <w:tc>
          <w:tcPr>
            <w:tcW w:w="614" w:type="dxa"/>
            <w:tcMar>
              <w:left w:w="28" w:type="dxa"/>
              <w:right w:w="28" w:type="dxa"/>
            </w:tcMar>
            <w:vAlign w:val="center"/>
          </w:tcPr>
          <w:p>
            <w:pPr>
              <w:widowControl/>
              <w:kinsoku w:val="0"/>
              <w:autoSpaceDE w:val="0"/>
              <w:autoSpaceDN w:val="0"/>
              <w:snapToGrid w:val="0"/>
              <w:spacing w:line="320" w:lineRule="exact"/>
              <w:jc w:val="center"/>
              <w:textAlignment w:val="baseline"/>
              <w:rPr>
                <w:rFonts w:ascii="Times New Roman" w:hAnsi="Times New Roman"/>
                <w:snapToGrid w:val="0"/>
                <w:kern w:val="0"/>
                <w:sz w:val="18"/>
                <w:szCs w:val="18"/>
              </w:rPr>
            </w:pPr>
            <w:r>
              <w:rPr>
                <w:rFonts w:ascii="Times New Roman" w:hAnsi="Times New Roman"/>
                <w:snapToGrid w:val="0"/>
                <w:kern w:val="0"/>
                <w:sz w:val="18"/>
                <w:szCs w:val="18"/>
              </w:rPr>
              <w:t>4月</w:t>
            </w:r>
          </w:p>
        </w:tc>
        <w:tc>
          <w:tcPr>
            <w:tcW w:w="3262" w:type="dxa"/>
            <w:tcMar>
              <w:left w:w="28" w:type="dxa"/>
              <w:right w:w="2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盛花至谢花，幼果发育，新梢生长，树木生长旺盛，养分水分需求量大。</w:t>
            </w:r>
          </w:p>
        </w:tc>
        <w:tc>
          <w:tcPr>
            <w:tcW w:w="4029" w:type="dxa"/>
            <w:tcMar>
              <w:left w:w="28" w:type="dxa"/>
              <w:right w:w="2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b/>
                <w:snapToGrid w:val="0"/>
                <w:kern w:val="0"/>
                <w:sz w:val="18"/>
                <w:szCs w:val="18"/>
              </w:rPr>
              <w:t>施追肥、适时灌溉</w:t>
            </w:r>
            <w:r>
              <w:rPr>
                <w:rFonts w:ascii="Times New Roman" w:hAnsi="Times New Roman"/>
                <w:snapToGrid w:val="0"/>
                <w:kern w:val="0"/>
                <w:sz w:val="18"/>
                <w:szCs w:val="18"/>
              </w:rPr>
              <w:t>、人工授粉、除萌除草、有害生物防治等。</w:t>
            </w:r>
          </w:p>
        </w:tc>
        <w:tc>
          <w:tcPr>
            <w:tcW w:w="891" w:type="dxa"/>
            <w:tcMar>
              <w:left w:w="28" w:type="dxa"/>
              <w:right w:w="28" w:type="dxa"/>
            </w:tcMar>
          </w:tcPr>
          <w:p>
            <w:pPr>
              <w:widowControl/>
              <w:kinsoku w:val="0"/>
              <w:autoSpaceDE w:val="0"/>
              <w:autoSpaceDN w:val="0"/>
              <w:snapToGrid w:val="0"/>
              <w:spacing w:line="320" w:lineRule="exact"/>
              <w:ind w:firstLine="360" w:firstLineChars="200"/>
              <w:jc w:val="center"/>
              <w:textAlignment w:val="baseline"/>
              <w:rPr>
                <w:rFonts w:ascii="Times New Roman" w:hAnsi="Times New Roman"/>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22" w:type="dxa"/>
            <w:vMerge w:val="restart"/>
            <w:tcMar>
              <w:left w:w="28" w:type="dxa"/>
              <w:right w:w="28" w:type="dxa"/>
            </w:tcMar>
            <w:vAlign w:val="center"/>
          </w:tcPr>
          <w:p>
            <w:pPr>
              <w:widowControl/>
              <w:kinsoku w:val="0"/>
              <w:autoSpaceDE w:val="0"/>
              <w:autoSpaceDN w:val="0"/>
              <w:snapToGrid w:val="0"/>
              <w:spacing w:line="320" w:lineRule="exact"/>
              <w:jc w:val="center"/>
              <w:textAlignment w:val="baseline"/>
              <w:rPr>
                <w:rFonts w:ascii="Times New Roman" w:hAnsi="Times New Roman"/>
                <w:snapToGrid w:val="0"/>
                <w:kern w:val="0"/>
                <w:sz w:val="18"/>
                <w:szCs w:val="18"/>
              </w:rPr>
            </w:pPr>
            <w:r>
              <w:rPr>
                <w:rFonts w:ascii="Times New Roman" w:hAnsi="Times New Roman"/>
                <w:snapToGrid w:val="0"/>
                <w:kern w:val="0"/>
                <w:sz w:val="18"/>
                <w:szCs w:val="18"/>
              </w:rPr>
              <w:t>结果期</w:t>
            </w:r>
          </w:p>
        </w:tc>
        <w:tc>
          <w:tcPr>
            <w:tcW w:w="614" w:type="dxa"/>
            <w:tcMar>
              <w:left w:w="28" w:type="dxa"/>
              <w:right w:w="28" w:type="dxa"/>
            </w:tcMar>
            <w:vAlign w:val="center"/>
          </w:tcPr>
          <w:p>
            <w:pPr>
              <w:widowControl/>
              <w:kinsoku w:val="0"/>
              <w:autoSpaceDE w:val="0"/>
              <w:autoSpaceDN w:val="0"/>
              <w:snapToGrid w:val="0"/>
              <w:spacing w:line="320" w:lineRule="exact"/>
              <w:jc w:val="center"/>
              <w:textAlignment w:val="baseline"/>
              <w:rPr>
                <w:rFonts w:ascii="Times New Roman" w:hAnsi="Times New Roman"/>
                <w:snapToGrid w:val="0"/>
                <w:kern w:val="0"/>
                <w:sz w:val="18"/>
                <w:szCs w:val="18"/>
              </w:rPr>
            </w:pPr>
            <w:r>
              <w:rPr>
                <w:rFonts w:ascii="Times New Roman" w:hAnsi="Times New Roman"/>
                <w:snapToGrid w:val="0"/>
                <w:kern w:val="0"/>
                <w:sz w:val="18"/>
                <w:szCs w:val="18"/>
              </w:rPr>
              <w:t>5月</w:t>
            </w:r>
          </w:p>
        </w:tc>
        <w:tc>
          <w:tcPr>
            <w:tcW w:w="3262" w:type="dxa"/>
            <w:tcMar>
              <w:left w:w="28" w:type="dxa"/>
              <w:right w:w="2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果实发育，生理落果期，树梢生长旺盛。</w:t>
            </w:r>
          </w:p>
        </w:tc>
        <w:tc>
          <w:tcPr>
            <w:tcW w:w="4029" w:type="dxa"/>
            <w:tcMar>
              <w:left w:w="28" w:type="dxa"/>
              <w:right w:w="2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垦抚除草、适时灌溉、</w:t>
            </w:r>
            <w:r>
              <w:rPr>
                <w:rFonts w:ascii="Times New Roman" w:hAnsi="Times New Roman"/>
                <w:b/>
                <w:snapToGrid w:val="0"/>
                <w:kern w:val="0"/>
                <w:sz w:val="18"/>
                <w:szCs w:val="18"/>
              </w:rPr>
              <w:t>保果疏果</w:t>
            </w:r>
            <w:r>
              <w:rPr>
                <w:rFonts w:ascii="Times New Roman" w:hAnsi="Times New Roman"/>
                <w:snapToGrid w:val="0"/>
                <w:kern w:val="0"/>
                <w:sz w:val="18"/>
                <w:szCs w:val="18"/>
              </w:rPr>
              <w:t>、有害生物（炭疽病）防治等。</w:t>
            </w:r>
          </w:p>
        </w:tc>
        <w:tc>
          <w:tcPr>
            <w:tcW w:w="891" w:type="dxa"/>
            <w:tcMar>
              <w:left w:w="28" w:type="dxa"/>
              <w:right w:w="28" w:type="dxa"/>
            </w:tcMar>
          </w:tcPr>
          <w:p>
            <w:pPr>
              <w:widowControl/>
              <w:kinsoku w:val="0"/>
              <w:autoSpaceDE w:val="0"/>
              <w:autoSpaceDN w:val="0"/>
              <w:snapToGrid w:val="0"/>
              <w:spacing w:line="320" w:lineRule="exact"/>
              <w:ind w:firstLine="360" w:firstLineChars="200"/>
              <w:jc w:val="center"/>
              <w:textAlignment w:val="baseline"/>
              <w:rPr>
                <w:rFonts w:ascii="Times New Roman" w:hAnsi="Times New Roman"/>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22" w:type="dxa"/>
            <w:vMerge w:val="continue"/>
            <w:tcMar>
              <w:left w:w="28" w:type="dxa"/>
              <w:right w:w="28" w:type="dxa"/>
            </w:tcMar>
            <w:vAlign w:val="center"/>
          </w:tcPr>
          <w:p>
            <w:pPr>
              <w:widowControl/>
              <w:kinsoku w:val="0"/>
              <w:autoSpaceDE w:val="0"/>
              <w:autoSpaceDN w:val="0"/>
              <w:snapToGrid w:val="0"/>
              <w:spacing w:line="320" w:lineRule="exact"/>
              <w:ind w:firstLine="360" w:firstLineChars="200"/>
              <w:jc w:val="center"/>
              <w:textAlignment w:val="baseline"/>
              <w:rPr>
                <w:rFonts w:ascii="Times New Roman" w:hAnsi="Times New Roman"/>
                <w:snapToGrid w:val="0"/>
                <w:kern w:val="0"/>
                <w:sz w:val="18"/>
                <w:szCs w:val="18"/>
              </w:rPr>
            </w:pPr>
          </w:p>
        </w:tc>
        <w:tc>
          <w:tcPr>
            <w:tcW w:w="614" w:type="dxa"/>
            <w:tcMar>
              <w:left w:w="28" w:type="dxa"/>
              <w:right w:w="28" w:type="dxa"/>
            </w:tcMar>
            <w:vAlign w:val="center"/>
          </w:tcPr>
          <w:p>
            <w:pPr>
              <w:widowControl/>
              <w:kinsoku w:val="0"/>
              <w:autoSpaceDE w:val="0"/>
              <w:autoSpaceDN w:val="0"/>
              <w:snapToGrid w:val="0"/>
              <w:spacing w:line="320" w:lineRule="exact"/>
              <w:jc w:val="center"/>
              <w:textAlignment w:val="baseline"/>
              <w:rPr>
                <w:rFonts w:ascii="Times New Roman" w:hAnsi="Times New Roman"/>
                <w:snapToGrid w:val="0"/>
                <w:kern w:val="0"/>
                <w:sz w:val="18"/>
                <w:szCs w:val="18"/>
              </w:rPr>
            </w:pPr>
            <w:r>
              <w:rPr>
                <w:rFonts w:ascii="Times New Roman" w:hAnsi="Times New Roman"/>
                <w:snapToGrid w:val="0"/>
                <w:kern w:val="0"/>
                <w:sz w:val="18"/>
                <w:szCs w:val="18"/>
              </w:rPr>
              <w:t>6月</w:t>
            </w:r>
          </w:p>
        </w:tc>
        <w:tc>
          <w:tcPr>
            <w:tcW w:w="3262" w:type="dxa"/>
            <w:tcMar>
              <w:left w:w="28" w:type="dxa"/>
              <w:right w:w="2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生理落果期，夏梢生长旺盛。</w:t>
            </w:r>
          </w:p>
        </w:tc>
        <w:tc>
          <w:tcPr>
            <w:tcW w:w="4029" w:type="dxa"/>
            <w:tcMar>
              <w:left w:w="28" w:type="dxa"/>
              <w:right w:w="2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灌溉排涝、</w:t>
            </w:r>
            <w:r>
              <w:rPr>
                <w:rFonts w:ascii="Times New Roman" w:hAnsi="Times New Roman"/>
                <w:b/>
                <w:snapToGrid w:val="0"/>
                <w:kern w:val="0"/>
                <w:sz w:val="18"/>
                <w:szCs w:val="18"/>
              </w:rPr>
              <w:t>控梢抹芽除萌、施追肥、保果、</w:t>
            </w:r>
            <w:r>
              <w:rPr>
                <w:rFonts w:ascii="Times New Roman" w:hAnsi="Times New Roman"/>
                <w:snapToGrid w:val="0"/>
                <w:kern w:val="0"/>
                <w:sz w:val="18"/>
                <w:szCs w:val="18"/>
              </w:rPr>
              <w:t>有害生物（炭疽病）防治等。</w:t>
            </w:r>
          </w:p>
        </w:tc>
        <w:tc>
          <w:tcPr>
            <w:tcW w:w="891" w:type="dxa"/>
            <w:tcMar>
              <w:left w:w="28" w:type="dxa"/>
              <w:right w:w="28" w:type="dxa"/>
            </w:tcMar>
          </w:tcPr>
          <w:p>
            <w:pPr>
              <w:widowControl/>
              <w:kinsoku w:val="0"/>
              <w:autoSpaceDE w:val="0"/>
              <w:autoSpaceDN w:val="0"/>
              <w:snapToGrid w:val="0"/>
              <w:spacing w:line="320" w:lineRule="exact"/>
              <w:ind w:firstLine="360" w:firstLineChars="200"/>
              <w:jc w:val="center"/>
              <w:textAlignment w:val="baseline"/>
              <w:rPr>
                <w:rFonts w:ascii="Times New Roman" w:hAnsi="Times New Roman"/>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22" w:type="dxa"/>
            <w:vMerge w:val="continue"/>
            <w:tcMar>
              <w:left w:w="28" w:type="dxa"/>
              <w:right w:w="28" w:type="dxa"/>
            </w:tcMar>
            <w:vAlign w:val="center"/>
          </w:tcPr>
          <w:p>
            <w:pPr>
              <w:widowControl/>
              <w:kinsoku w:val="0"/>
              <w:autoSpaceDE w:val="0"/>
              <w:autoSpaceDN w:val="0"/>
              <w:snapToGrid w:val="0"/>
              <w:spacing w:line="320" w:lineRule="exact"/>
              <w:ind w:firstLine="360" w:firstLineChars="200"/>
              <w:jc w:val="center"/>
              <w:textAlignment w:val="baseline"/>
              <w:rPr>
                <w:rFonts w:ascii="Times New Roman" w:hAnsi="Times New Roman"/>
                <w:snapToGrid w:val="0"/>
                <w:kern w:val="0"/>
                <w:sz w:val="18"/>
                <w:szCs w:val="18"/>
              </w:rPr>
            </w:pPr>
          </w:p>
        </w:tc>
        <w:tc>
          <w:tcPr>
            <w:tcW w:w="614" w:type="dxa"/>
            <w:tcMar>
              <w:left w:w="28" w:type="dxa"/>
              <w:right w:w="28" w:type="dxa"/>
            </w:tcMar>
            <w:vAlign w:val="center"/>
          </w:tcPr>
          <w:p>
            <w:pPr>
              <w:widowControl/>
              <w:kinsoku w:val="0"/>
              <w:autoSpaceDE w:val="0"/>
              <w:autoSpaceDN w:val="0"/>
              <w:snapToGrid w:val="0"/>
              <w:spacing w:line="320" w:lineRule="exact"/>
              <w:jc w:val="center"/>
              <w:textAlignment w:val="baseline"/>
              <w:rPr>
                <w:rFonts w:ascii="Times New Roman" w:hAnsi="Times New Roman"/>
                <w:snapToGrid w:val="0"/>
                <w:kern w:val="0"/>
                <w:sz w:val="18"/>
                <w:szCs w:val="18"/>
              </w:rPr>
            </w:pPr>
            <w:r>
              <w:rPr>
                <w:rFonts w:ascii="Times New Roman" w:hAnsi="Times New Roman"/>
                <w:snapToGrid w:val="0"/>
                <w:kern w:val="0"/>
                <w:sz w:val="18"/>
                <w:szCs w:val="18"/>
              </w:rPr>
              <w:t>7月</w:t>
            </w:r>
          </w:p>
        </w:tc>
        <w:tc>
          <w:tcPr>
            <w:tcW w:w="3262" w:type="dxa"/>
            <w:tcMar>
              <w:left w:w="28" w:type="dxa"/>
              <w:right w:w="2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生理落果期，夏梢生长旺盛。</w:t>
            </w:r>
          </w:p>
        </w:tc>
        <w:tc>
          <w:tcPr>
            <w:tcW w:w="4029" w:type="dxa"/>
            <w:tcMar>
              <w:left w:w="28" w:type="dxa"/>
              <w:right w:w="2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b/>
                <w:snapToGrid w:val="0"/>
                <w:kern w:val="0"/>
                <w:sz w:val="18"/>
                <w:szCs w:val="18"/>
              </w:rPr>
              <w:t>夏剪、控梢抹芽、施追肥</w:t>
            </w:r>
            <w:r>
              <w:rPr>
                <w:rFonts w:ascii="Times New Roman" w:hAnsi="Times New Roman"/>
                <w:snapToGrid w:val="0"/>
                <w:kern w:val="0"/>
                <w:sz w:val="18"/>
                <w:szCs w:val="18"/>
              </w:rPr>
              <w:t>、防旱排涝、保果、有害生物（炭疽病）防治等。</w:t>
            </w:r>
          </w:p>
        </w:tc>
        <w:tc>
          <w:tcPr>
            <w:tcW w:w="891" w:type="dxa"/>
            <w:tcMar>
              <w:left w:w="28" w:type="dxa"/>
              <w:right w:w="28" w:type="dxa"/>
            </w:tcMar>
          </w:tcPr>
          <w:p>
            <w:pPr>
              <w:widowControl/>
              <w:kinsoku w:val="0"/>
              <w:autoSpaceDE w:val="0"/>
              <w:autoSpaceDN w:val="0"/>
              <w:snapToGrid w:val="0"/>
              <w:spacing w:line="320" w:lineRule="exact"/>
              <w:ind w:firstLine="360" w:firstLineChars="200"/>
              <w:jc w:val="center"/>
              <w:textAlignment w:val="baseline"/>
              <w:rPr>
                <w:rFonts w:ascii="Times New Roman" w:hAnsi="Times New Roman"/>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22" w:type="dxa"/>
            <w:vMerge w:val="continue"/>
            <w:tcMar>
              <w:left w:w="28" w:type="dxa"/>
              <w:right w:w="28" w:type="dxa"/>
            </w:tcMar>
            <w:vAlign w:val="center"/>
          </w:tcPr>
          <w:p>
            <w:pPr>
              <w:widowControl/>
              <w:kinsoku w:val="0"/>
              <w:autoSpaceDE w:val="0"/>
              <w:autoSpaceDN w:val="0"/>
              <w:snapToGrid w:val="0"/>
              <w:spacing w:line="320" w:lineRule="exact"/>
              <w:ind w:firstLine="360" w:firstLineChars="200"/>
              <w:jc w:val="center"/>
              <w:textAlignment w:val="baseline"/>
              <w:rPr>
                <w:rFonts w:ascii="Times New Roman" w:hAnsi="Times New Roman"/>
                <w:snapToGrid w:val="0"/>
                <w:kern w:val="0"/>
                <w:sz w:val="18"/>
                <w:szCs w:val="18"/>
              </w:rPr>
            </w:pPr>
          </w:p>
        </w:tc>
        <w:tc>
          <w:tcPr>
            <w:tcW w:w="614" w:type="dxa"/>
            <w:tcMar>
              <w:left w:w="28" w:type="dxa"/>
              <w:right w:w="28" w:type="dxa"/>
            </w:tcMar>
            <w:vAlign w:val="center"/>
          </w:tcPr>
          <w:p>
            <w:pPr>
              <w:widowControl/>
              <w:kinsoku w:val="0"/>
              <w:autoSpaceDE w:val="0"/>
              <w:autoSpaceDN w:val="0"/>
              <w:snapToGrid w:val="0"/>
              <w:spacing w:line="320" w:lineRule="exact"/>
              <w:jc w:val="center"/>
              <w:textAlignment w:val="baseline"/>
              <w:rPr>
                <w:rFonts w:ascii="Times New Roman" w:hAnsi="Times New Roman"/>
                <w:snapToGrid w:val="0"/>
                <w:kern w:val="0"/>
                <w:sz w:val="18"/>
                <w:szCs w:val="18"/>
              </w:rPr>
            </w:pPr>
            <w:r>
              <w:rPr>
                <w:rFonts w:ascii="Times New Roman" w:hAnsi="Times New Roman"/>
                <w:snapToGrid w:val="0"/>
                <w:kern w:val="0"/>
                <w:sz w:val="18"/>
                <w:szCs w:val="18"/>
              </w:rPr>
              <w:t>8月</w:t>
            </w:r>
          </w:p>
        </w:tc>
        <w:tc>
          <w:tcPr>
            <w:tcW w:w="3262" w:type="dxa"/>
            <w:tcMar>
              <w:left w:w="28" w:type="dxa"/>
              <w:right w:w="2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果实膨大，油脂转化。</w:t>
            </w:r>
          </w:p>
        </w:tc>
        <w:tc>
          <w:tcPr>
            <w:tcW w:w="4029" w:type="dxa"/>
            <w:tcMar>
              <w:left w:w="28" w:type="dxa"/>
              <w:right w:w="2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b/>
                <w:snapToGrid w:val="0"/>
                <w:kern w:val="0"/>
                <w:sz w:val="18"/>
                <w:szCs w:val="18"/>
              </w:rPr>
              <w:t>施追肥、防旱排涝、中耕除草、</w:t>
            </w:r>
            <w:r>
              <w:rPr>
                <w:rFonts w:ascii="Times New Roman" w:hAnsi="Times New Roman"/>
                <w:snapToGrid w:val="0"/>
                <w:kern w:val="0"/>
                <w:sz w:val="18"/>
                <w:szCs w:val="18"/>
              </w:rPr>
              <w:t>保果、有害生物防治等。</w:t>
            </w:r>
          </w:p>
        </w:tc>
        <w:tc>
          <w:tcPr>
            <w:tcW w:w="891" w:type="dxa"/>
            <w:tcMar>
              <w:left w:w="28" w:type="dxa"/>
              <w:right w:w="28" w:type="dxa"/>
            </w:tcMar>
          </w:tcPr>
          <w:p>
            <w:pPr>
              <w:widowControl/>
              <w:kinsoku w:val="0"/>
              <w:autoSpaceDE w:val="0"/>
              <w:autoSpaceDN w:val="0"/>
              <w:snapToGrid w:val="0"/>
              <w:spacing w:line="320" w:lineRule="exact"/>
              <w:ind w:firstLine="360" w:firstLineChars="200"/>
              <w:jc w:val="center"/>
              <w:textAlignment w:val="baseline"/>
              <w:rPr>
                <w:rFonts w:ascii="Times New Roman" w:hAnsi="Times New Roman"/>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22" w:type="dxa"/>
            <w:vMerge w:val="continue"/>
            <w:tcMar>
              <w:left w:w="28" w:type="dxa"/>
              <w:right w:w="28" w:type="dxa"/>
            </w:tcMar>
            <w:vAlign w:val="center"/>
          </w:tcPr>
          <w:p>
            <w:pPr>
              <w:widowControl/>
              <w:kinsoku w:val="0"/>
              <w:autoSpaceDE w:val="0"/>
              <w:autoSpaceDN w:val="0"/>
              <w:snapToGrid w:val="0"/>
              <w:spacing w:line="320" w:lineRule="exact"/>
              <w:ind w:firstLine="360" w:firstLineChars="200"/>
              <w:jc w:val="center"/>
              <w:textAlignment w:val="baseline"/>
              <w:rPr>
                <w:rFonts w:ascii="Times New Roman" w:hAnsi="Times New Roman"/>
                <w:snapToGrid w:val="0"/>
                <w:kern w:val="0"/>
                <w:sz w:val="18"/>
                <w:szCs w:val="18"/>
              </w:rPr>
            </w:pPr>
          </w:p>
        </w:tc>
        <w:tc>
          <w:tcPr>
            <w:tcW w:w="614" w:type="dxa"/>
            <w:tcMar>
              <w:left w:w="28" w:type="dxa"/>
              <w:right w:w="28" w:type="dxa"/>
            </w:tcMar>
            <w:vAlign w:val="center"/>
          </w:tcPr>
          <w:p>
            <w:pPr>
              <w:widowControl/>
              <w:kinsoku w:val="0"/>
              <w:autoSpaceDE w:val="0"/>
              <w:autoSpaceDN w:val="0"/>
              <w:snapToGrid w:val="0"/>
              <w:spacing w:line="320" w:lineRule="exact"/>
              <w:jc w:val="center"/>
              <w:textAlignment w:val="baseline"/>
              <w:rPr>
                <w:rFonts w:ascii="Times New Roman" w:hAnsi="Times New Roman"/>
                <w:snapToGrid w:val="0"/>
                <w:kern w:val="0"/>
                <w:sz w:val="18"/>
                <w:szCs w:val="18"/>
              </w:rPr>
            </w:pPr>
            <w:r>
              <w:rPr>
                <w:rFonts w:ascii="Times New Roman" w:hAnsi="Times New Roman"/>
                <w:snapToGrid w:val="0"/>
                <w:kern w:val="0"/>
                <w:sz w:val="18"/>
                <w:szCs w:val="18"/>
              </w:rPr>
              <w:t>9月</w:t>
            </w:r>
          </w:p>
        </w:tc>
        <w:tc>
          <w:tcPr>
            <w:tcW w:w="3262" w:type="dxa"/>
            <w:tcMar>
              <w:left w:w="28" w:type="dxa"/>
              <w:right w:w="2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秋梢生长期，果实膨大，油脂转化，生理落果。</w:t>
            </w:r>
          </w:p>
        </w:tc>
        <w:tc>
          <w:tcPr>
            <w:tcW w:w="4029" w:type="dxa"/>
            <w:tcMar>
              <w:left w:w="28" w:type="dxa"/>
              <w:right w:w="2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b/>
                <w:snapToGrid w:val="0"/>
                <w:kern w:val="0"/>
                <w:sz w:val="18"/>
                <w:szCs w:val="18"/>
              </w:rPr>
              <w:t>防旱排涝</w:t>
            </w:r>
            <w:r>
              <w:rPr>
                <w:rFonts w:ascii="Times New Roman" w:hAnsi="Times New Roman"/>
                <w:snapToGrid w:val="0"/>
                <w:kern w:val="0"/>
                <w:sz w:val="18"/>
                <w:szCs w:val="18"/>
              </w:rPr>
              <w:t>、保果、有害生物防治等。</w:t>
            </w:r>
          </w:p>
        </w:tc>
        <w:tc>
          <w:tcPr>
            <w:tcW w:w="891" w:type="dxa"/>
            <w:tcMar>
              <w:left w:w="28" w:type="dxa"/>
              <w:right w:w="28" w:type="dxa"/>
            </w:tcMar>
            <w:vAlign w:val="center"/>
          </w:tcPr>
          <w:p>
            <w:pPr>
              <w:widowControl/>
              <w:kinsoku w:val="0"/>
              <w:autoSpaceDE w:val="0"/>
              <w:autoSpaceDN w:val="0"/>
              <w:snapToGrid w:val="0"/>
              <w:spacing w:line="320" w:lineRule="exact"/>
              <w:ind w:firstLine="360" w:firstLineChars="200"/>
              <w:jc w:val="center"/>
              <w:textAlignment w:val="baseline"/>
              <w:rPr>
                <w:rFonts w:ascii="Times New Roman" w:hAnsi="Times New Roman"/>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22" w:type="dxa"/>
            <w:vMerge w:val="restart"/>
            <w:tcMar>
              <w:left w:w="28" w:type="dxa"/>
              <w:right w:w="28" w:type="dxa"/>
            </w:tcMar>
            <w:vAlign w:val="center"/>
          </w:tcPr>
          <w:p>
            <w:pPr>
              <w:widowControl/>
              <w:kinsoku w:val="0"/>
              <w:autoSpaceDE w:val="0"/>
              <w:autoSpaceDN w:val="0"/>
              <w:snapToGrid w:val="0"/>
              <w:spacing w:line="320" w:lineRule="exact"/>
              <w:jc w:val="center"/>
              <w:textAlignment w:val="baseline"/>
              <w:rPr>
                <w:rFonts w:ascii="Times New Roman" w:hAnsi="Times New Roman"/>
                <w:snapToGrid w:val="0"/>
                <w:kern w:val="0"/>
                <w:sz w:val="18"/>
                <w:szCs w:val="18"/>
              </w:rPr>
            </w:pPr>
            <w:r>
              <w:rPr>
                <w:rFonts w:ascii="Times New Roman" w:hAnsi="Times New Roman"/>
                <w:snapToGrid w:val="0"/>
                <w:kern w:val="0"/>
                <w:sz w:val="18"/>
                <w:szCs w:val="18"/>
              </w:rPr>
              <w:t>果实成熟期</w:t>
            </w:r>
          </w:p>
        </w:tc>
        <w:tc>
          <w:tcPr>
            <w:tcW w:w="614" w:type="dxa"/>
            <w:tcMar>
              <w:left w:w="28" w:type="dxa"/>
              <w:right w:w="28" w:type="dxa"/>
            </w:tcMar>
            <w:vAlign w:val="center"/>
          </w:tcPr>
          <w:p>
            <w:pPr>
              <w:widowControl/>
              <w:kinsoku w:val="0"/>
              <w:autoSpaceDE w:val="0"/>
              <w:autoSpaceDN w:val="0"/>
              <w:snapToGrid w:val="0"/>
              <w:spacing w:line="320" w:lineRule="exact"/>
              <w:jc w:val="center"/>
              <w:textAlignment w:val="baseline"/>
              <w:rPr>
                <w:rFonts w:ascii="Times New Roman" w:hAnsi="Times New Roman"/>
                <w:snapToGrid w:val="0"/>
                <w:kern w:val="0"/>
                <w:sz w:val="18"/>
                <w:szCs w:val="18"/>
              </w:rPr>
            </w:pPr>
            <w:r>
              <w:rPr>
                <w:rFonts w:ascii="Times New Roman" w:hAnsi="Times New Roman"/>
                <w:snapToGrid w:val="0"/>
                <w:kern w:val="0"/>
                <w:sz w:val="18"/>
                <w:szCs w:val="18"/>
              </w:rPr>
              <w:t>10月</w:t>
            </w:r>
          </w:p>
        </w:tc>
        <w:tc>
          <w:tcPr>
            <w:tcW w:w="3262" w:type="dxa"/>
            <w:tcMar>
              <w:left w:w="28" w:type="dxa"/>
              <w:right w:w="2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晚秋梢生长，生理落果。</w:t>
            </w:r>
          </w:p>
        </w:tc>
        <w:tc>
          <w:tcPr>
            <w:tcW w:w="4029" w:type="dxa"/>
            <w:tcMar>
              <w:left w:w="28" w:type="dxa"/>
              <w:right w:w="2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b/>
                <w:snapToGrid w:val="0"/>
                <w:kern w:val="0"/>
                <w:sz w:val="18"/>
                <w:szCs w:val="18"/>
              </w:rPr>
              <w:t>果实采收、控剪晚秋梢</w:t>
            </w:r>
            <w:r>
              <w:rPr>
                <w:rFonts w:ascii="Times New Roman" w:hAnsi="Times New Roman"/>
                <w:snapToGrid w:val="0"/>
                <w:kern w:val="0"/>
                <w:sz w:val="18"/>
                <w:szCs w:val="18"/>
              </w:rPr>
              <w:t>等。</w:t>
            </w:r>
          </w:p>
        </w:tc>
        <w:tc>
          <w:tcPr>
            <w:tcW w:w="891" w:type="dxa"/>
            <w:tcMar>
              <w:left w:w="28" w:type="dxa"/>
              <w:right w:w="28" w:type="dxa"/>
            </w:tcMar>
          </w:tcPr>
          <w:p>
            <w:pPr>
              <w:widowControl/>
              <w:kinsoku w:val="0"/>
              <w:autoSpaceDE w:val="0"/>
              <w:autoSpaceDN w:val="0"/>
              <w:snapToGrid w:val="0"/>
              <w:spacing w:line="320" w:lineRule="exact"/>
              <w:ind w:firstLine="360" w:firstLineChars="200"/>
              <w:jc w:val="center"/>
              <w:textAlignment w:val="baseline"/>
              <w:rPr>
                <w:rFonts w:ascii="Times New Roman" w:hAnsi="Times New Roman"/>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22" w:type="dxa"/>
            <w:vMerge w:val="continue"/>
            <w:tcMar>
              <w:left w:w="28" w:type="dxa"/>
              <w:right w:w="28" w:type="dxa"/>
            </w:tcMar>
            <w:vAlign w:val="center"/>
          </w:tcPr>
          <w:p>
            <w:pPr>
              <w:widowControl/>
              <w:kinsoku w:val="0"/>
              <w:autoSpaceDE w:val="0"/>
              <w:autoSpaceDN w:val="0"/>
              <w:snapToGrid w:val="0"/>
              <w:spacing w:line="320" w:lineRule="exact"/>
              <w:ind w:firstLine="360" w:firstLineChars="200"/>
              <w:jc w:val="center"/>
              <w:textAlignment w:val="baseline"/>
              <w:rPr>
                <w:rFonts w:ascii="Times New Roman" w:hAnsi="Times New Roman"/>
                <w:snapToGrid w:val="0"/>
                <w:kern w:val="0"/>
                <w:sz w:val="18"/>
                <w:szCs w:val="18"/>
              </w:rPr>
            </w:pPr>
          </w:p>
        </w:tc>
        <w:tc>
          <w:tcPr>
            <w:tcW w:w="614" w:type="dxa"/>
            <w:tcMar>
              <w:left w:w="28" w:type="dxa"/>
              <w:right w:w="28" w:type="dxa"/>
            </w:tcMar>
            <w:vAlign w:val="center"/>
          </w:tcPr>
          <w:p>
            <w:pPr>
              <w:widowControl/>
              <w:kinsoku w:val="0"/>
              <w:autoSpaceDE w:val="0"/>
              <w:autoSpaceDN w:val="0"/>
              <w:snapToGrid w:val="0"/>
              <w:spacing w:line="320" w:lineRule="exact"/>
              <w:jc w:val="center"/>
              <w:textAlignment w:val="baseline"/>
              <w:rPr>
                <w:rFonts w:ascii="Times New Roman" w:hAnsi="Times New Roman"/>
                <w:snapToGrid w:val="0"/>
                <w:kern w:val="0"/>
                <w:sz w:val="18"/>
                <w:szCs w:val="18"/>
              </w:rPr>
            </w:pPr>
            <w:r>
              <w:rPr>
                <w:rFonts w:ascii="Times New Roman" w:hAnsi="Times New Roman"/>
                <w:snapToGrid w:val="0"/>
                <w:kern w:val="0"/>
                <w:sz w:val="18"/>
                <w:szCs w:val="18"/>
              </w:rPr>
              <w:t>11月</w:t>
            </w:r>
          </w:p>
        </w:tc>
        <w:tc>
          <w:tcPr>
            <w:tcW w:w="3262" w:type="dxa"/>
            <w:tcMar>
              <w:left w:w="28" w:type="dxa"/>
              <w:right w:w="2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果实成熟，花芽分化。</w:t>
            </w:r>
          </w:p>
        </w:tc>
        <w:tc>
          <w:tcPr>
            <w:tcW w:w="4029" w:type="dxa"/>
            <w:tcMar>
              <w:left w:w="28" w:type="dxa"/>
              <w:right w:w="2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b/>
                <w:snapToGrid w:val="0"/>
                <w:kern w:val="0"/>
                <w:sz w:val="18"/>
                <w:szCs w:val="18"/>
              </w:rPr>
              <w:t>果实采收、园地清理</w:t>
            </w:r>
            <w:r>
              <w:rPr>
                <w:rFonts w:ascii="Times New Roman" w:hAnsi="Times New Roman"/>
                <w:snapToGrid w:val="0"/>
                <w:kern w:val="0"/>
                <w:sz w:val="18"/>
                <w:szCs w:val="18"/>
              </w:rPr>
              <w:t>、扩穴改土等。</w:t>
            </w:r>
          </w:p>
        </w:tc>
        <w:tc>
          <w:tcPr>
            <w:tcW w:w="891" w:type="dxa"/>
            <w:tcMar>
              <w:left w:w="28" w:type="dxa"/>
              <w:right w:w="28" w:type="dxa"/>
            </w:tcMar>
          </w:tcPr>
          <w:p>
            <w:pPr>
              <w:widowControl/>
              <w:kinsoku w:val="0"/>
              <w:autoSpaceDE w:val="0"/>
              <w:autoSpaceDN w:val="0"/>
              <w:snapToGrid w:val="0"/>
              <w:spacing w:line="320" w:lineRule="exact"/>
              <w:ind w:firstLine="360" w:firstLineChars="200"/>
              <w:jc w:val="center"/>
              <w:textAlignment w:val="baseline"/>
              <w:rPr>
                <w:rFonts w:ascii="Times New Roman" w:hAnsi="Times New Roman"/>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22" w:type="dxa"/>
            <w:tcMar>
              <w:left w:w="28" w:type="dxa"/>
              <w:right w:w="28" w:type="dxa"/>
            </w:tcMar>
            <w:vAlign w:val="center"/>
          </w:tcPr>
          <w:p>
            <w:pPr>
              <w:widowControl/>
              <w:kinsoku w:val="0"/>
              <w:autoSpaceDE w:val="0"/>
              <w:autoSpaceDN w:val="0"/>
              <w:snapToGrid w:val="0"/>
              <w:spacing w:line="320" w:lineRule="exact"/>
              <w:jc w:val="center"/>
              <w:textAlignment w:val="baseline"/>
              <w:rPr>
                <w:rFonts w:ascii="Times New Roman" w:hAnsi="Times New Roman"/>
                <w:snapToGrid w:val="0"/>
                <w:kern w:val="0"/>
                <w:sz w:val="18"/>
                <w:szCs w:val="18"/>
              </w:rPr>
            </w:pPr>
            <w:r>
              <w:rPr>
                <w:rFonts w:ascii="Times New Roman" w:hAnsi="Times New Roman"/>
                <w:snapToGrid w:val="0"/>
                <w:kern w:val="0"/>
                <w:sz w:val="18"/>
                <w:szCs w:val="18"/>
              </w:rPr>
              <w:t>休眠期</w:t>
            </w:r>
          </w:p>
        </w:tc>
        <w:tc>
          <w:tcPr>
            <w:tcW w:w="614" w:type="dxa"/>
            <w:tcMar>
              <w:left w:w="28" w:type="dxa"/>
              <w:right w:w="28" w:type="dxa"/>
            </w:tcMar>
            <w:vAlign w:val="center"/>
          </w:tcPr>
          <w:p>
            <w:pPr>
              <w:widowControl/>
              <w:kinsoku w:val="0"/>
              <w:autoSpaceDE w:val="0"/>
              <w:autoSpaceDN w:val="0"/>
              <w:snapToGrid w:val="0"/>
              <w:spacing w:line="320" w:lineRule="exact"/>
              <w:jc w:val="center"/>
              <w:textAlignment w:val="baseline"/>
              <w:rPr>
                <w:rFonts w:ascii="Times New Roman" w:hAnsi="Times New Roman"/>
                <w:snapToGrid w:val="0"/>
                <w:kern w:val="0"/>
                <w:sz w:val="18"/>
                <w:szCs w:val="18"/>
              </w:rPr>
            </w:pPr>
            <w:r>
              <w:rPr>
                <w:rFonts w:ascii="Times New Roman" w:hAnsi="Times New Roman"/>
                <w:snapToGrid w:val="0"/>
                <w:kern w:val="0"/>
                <w:sz w:val="18"/>
                <w:szCs w:val="18"/>
              </w:rPr>
              <w:t>12月</w:t>
            </w:r>
          </w:p>
        </w:tc>
        <w:tc>
          <w:tcPr>
            <w:tcW w:w="3262" w:type="dxa"/>
            <w:tcMar>
              <w:left w:w="28" w:type="dxa"/>
              <w:right w:w="2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花芽分化并进入休眠期。</w:t>
            </w:r>
          </w:p>
        </w:tc>
        <w:tc>
          <w:tcPr>
            <w:tcW w:w="4029" w:type="dxa"/>
            <w:tcMar>
              <w:left w:w="28" w:type="dxa"/>
              <w:right w:w="28" w:type="dxa"/>
            </w:tcMar>
            <w:vAlign w:val="center"/>
          </w:tcPr>
          <w:p>
            <w:pPr>
              <w:widowControl/>
              <w:kinsoku w:val="0"/>
              <w:autoSpaceDE w:val="0"/>
              <w:autoSpaceDN w:val="0"/>
              <w:snapToGrid w:val="0"/>
              <w:spacing w:line="320" w:lineRule="exact"/>
              <w:textAlignment w:val="baseline"/>
              <w:rPr>
                <w:rFonts w:ascii="Times New Roman" w:hAnsi="Times New Roman"/>
                <w:snapToGrid w:val="0"/>
                <w:kern w:val="0"/>
                <w:sz w:val="18"/>
                <w:szCs w:val="18"/>
              </w:rPr>
            </w:pPr>
            <w:r>
              <w:rPr>
                <w:rFonts w:ascii="Times New Roman" w:hAnsi="Times New Roman"/>
                <w:snapToGrid w:val="0"/>
                <w:kern w:val="0"/>
                <w:sz w:val="18"/>
                <w:szCs w:val="18"/>
              </w:rPr>
              <w:t>果实采收、</w:t>
            </w:r>
            <w:r>
              <w:rPr>
                <w:rFonts w:ascii="Times New Roman" w:hAnsi="Times New Roman"/>
                <w:b/>
                <w:snapToGrid w:val="0"/>
                <w:kern w:val="0"/>
                <w:sz w:val="18"/>
                <w:szCs w:val="18"/>
              </w:rPr>
              <w:t>整形修剪、增施基肥</w:t>
            </w:r>
            <w:r>
              <w:rPr>
                <w:rFonts w:ascii="Times New Roman" w:hAnsi="Times New Roman"/>
                <w:snapToGrid w:val="0"/>
                <w:kern w:val="0"/>
                <w:sz w:val="18"/>
                <w:szCs w:val="18"/>
              </w:rPr>
              <w:t>、防寒防冻、</w:t>
            </w:r>
            <w:r>
              <w:rPr>
                <w:rFonts w:ascii="Times New Roman" w:hAnsi="Times New Roman"/>
                <w:b/>
                <w:snapToGrid w:val="0"/>
                <w:kern w:val="0"/>
                <w:sz w:val="18"/>
                <w:szCs w:val="18"/>
              </w:rPr>
              <w:t>沟渠整理</w:t>
            </w:r>
            <w:r>
              <w:rPr>
                <w:rFonts w:ascii="Times New Roman" w:hAnsi="Times New Roman"/>
                <w:snapToGrid w:val="0"/>
                <w:kern w:val="0"/>
                <w:sz w:val="18"/>
                <w:szCs w:val="18"/>
              </w:rPr>
              <w:t>、道路维护、有害生物防治。</w:t>
            </w:r>
          </w:p>
        </w:tc>
        <w:tc>
          <w:tcPr>
            <w:tcW w:w="891" w:type="dxa"/>
            <w:tcMar>
              <w:left w:w="28" w:type="dxa"/>
              <w:right w:w="28" w:type="dxa"/>
            </w:tcMar>
          </w:tcPr>
          <w:p>
            <w:pPr>
              <w:widowControl/>
              <w:kinsoku w:val="0"/>
              <w:autoSpaceDE w:val="0"/>
              <w:autoSpaceDN w:val="0"/>
              <w:snapToGrid w:val="0"/>
              <w:spacing w:line="320" w:lineRule="exact"/>
              <w:ind w:firstLine="360" w:firstLineChars="200"/>
              <w:jc w:val="center"/>
              <w:textAlignment w:val="baseline"/>
              <w:rPr>
                <w:rFonts w:ascii="Times New Roman" w:hAnsi="Times New Roman"/>
                <w:snapToGrid w:val="0"/>
                <w:kern w:val="0"/>
                <w:sz w:val="18"/>
                <w:szCs w:val="18"/>
              </w:rPr>
            </w:pPr>
          </w:p>
        </w:tc>
      </w:tr>
    </w:tbl>
    <w:p>
      <w:pPr>
        <w:pStyle w:val="57"/>
        <w:ind w:firstLine="456"/>
        <w:jc w:val="left"/>
        <w:rPr>
          <w:rFonts w:hint="eastAsia"/>
          <w:kern w:val="2"/>
        </w:rPr>
      </w:pPr>
      <w:r>
        <w:rPr>
          <w:spacing w:val="9"/>
        </w:rPr>
        <w:t>注：表中“生产管理措施”一列，字体加粗为必须措施，非黑体为选择性措施</w:t>
      </w:r>
      <w:r>
        <w:rPr>
          <w:spacing w:val="3"/>
        </w:rPr>
        <w:t>。</w:t>
      </w:r>
    </w:p>
    <w:p>
      <w:pPr>
        <w:pStyle w:val="57"/>
        <w:ind w:firstLine="420"/>
        <w:rPr>
          <w:rFonts w:hint="eastAsia"/>
          <w:kern w:val="2"/>
        </w:rPr>
      </w:pPr>
    </w:p>
    <w:p>
      <w:pPr>
        <w:pStyle w:val="57"/>
        <w:ind w:firstLine="420"/>
        <w:rPr>
          <w:rFonts w:hint="eastAsia"/>
          <w:kern w:val="2"/>
        </w:rPr>
      </w:pPr>
    </w:p>
    <w:p>
      <w:pPr>
        <w:pStyle w:val="57"/>
        <w:ind w:firstLine="420"/>
        <w:rPr>
          <w:kern w:val="2"/>
        </w:rPr>
      </w:pPr>
    </w:p>
    <w:p>
      <w:pPr>
        <w:pStyle w:val="57"/>
        <w:ind w:firstLine="420"/>
      </w:pPr>
    </w:p>
    <w:bookmarkEnd w:id="122"/>
    <w:p>
      <w:pPr>
        <w:pStyle w:val="57"/>
        <w:ind w:firstLine="0" w:firstLineChars="0"/>
        <w:jc w:val="center"/>
      </w:pPr>
      <w:bookmarkStart w:id="150" w:name="BookMark8"/>
      <w:r>
        <w:drawing>
          <wp:inline distT="0" distB="0" distL="0" distR="0">
            <wp:extent cx="1485900" cy="317500"/>
            <wp:effectExtent l="0" t="0" r="0" b="6350"/>
            <wp:docPr id="1633954389" name="图片 1"/>
            <wp:cNvGraphicFramePr/>
            <a:graphic xmlns:a="http://schemas.openxmlformats.org/drawingml/2006/main">
              <a:graphicData uri="http://schemas.openxmlformats.org/drawingml/2006/picture">
                <pic:pic xmlns:pic="http://schemas.openxmlformats.org/drawingml/2006/picture">
                  <pic:nvPicPr>
                    <pic:cNvPr id="1633954389" name="图片 1"/>
                    <pic:cNvPicPr/>
                  </pic:nvPicPr>
                  <pic:blipFill>
                    <a:blip r:embed="rId49">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150"/>
    </w:p>
    <w:p>
      <w:pPr>
        <w:pStyle w:val="57"/>
        <w:ind w:firstLine="0" w:firstLineChars="0"/>
        <w:jc w:val="center"/>
      </w:pPr>
      <w:bookmarkStart w:id="151" w:name="_GoBack"/>
      <w:bookmarkEnd w:id="151"/>
    </w:p>
    <w:sectPr>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仿宋S"/>
    <w:panose1 w:val="00000000000000000000"/>
    <w:charset w:val="86"/>
    <w:family w:val="auto"/>
    <w:pitch w:val="default"/>
    <w:sig w:usb0="00000000" w:usb1="00000000" w:usb2="00000016" w:usb3="00000000" w:csb0="0004000F" w:csb1="00000000"/>
  </w:font>
  <w:font w:name="等线 Light">
    <w:altName w:val="汉仪仿宋S"/>
    <w:panose1 w:val="00000000000000000000"/>
    <w:charset w:val="86"/>
    <w:family w:val="auto"/>
    <w:pitch w:val="default"/>
    <w:sig w:usb0="00000000" w:usb1="00000000" w:usb2="00000016" w:usb3="00000000" w:csb0="0004000F" w:csb1="00000000"/>
  </w:font>
  <w:font w:name="方正黑体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文泉驿微米黑">
    <w:panose1 w:val="020B0606030804020204"/>
    <w:charset w:val="86"/>
    <w:family w:val="auto"/>
    <w:pitch w:val="default"/>
    <w:sig w:usb0="E10002EF" w:usb1="6BDFFCFB" w:usb2="00800036" w:usb3="00000000" w:csb0="603E019F" w:csb1="DFD70000"/>
  </w:font>
  <w:font w:name="等线">
    <w:altName w:val="汉仪仿宋S"/>
    <w:panose1 w:val="00000000000000000000"/>
    <w:charset w:val="00"/>
    <w:family w:val="auto"/>
    <w:pitch w:val="default"/>
    <w:sig w:usb0="00000000" w:usb1="00000000" w:usb2="00000000" w:usb3="00000000" w:csb0="00000000" w:csb1="00000000"/>
  </w:font>
  <w:font w:name="汉仪仿宋S">
    <w:panose1 w:val="00020600040101000101"/>
    <w:charset w:val="86"/>
    <w:family w:val="auto"/>
    <w:pitch w:val="default"/>
    <w:sig w:usb0="A00002BF" w:usb1="38CF7CFA" w:usb2="00000016" w:usb3="00000000" w:csb0="0004009F" w:csb1="00000000"/>
  </w:font>
  <w:font w:name="文鼎谁的字体">
    <w:panose1 w:val="020B060201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pPr>
    <w:r>
      <w:fldChar w:fldCharType="begin"/>
    </w:r>
    <w:r>
      <w:instrText xml:space="preserve">PAGE   \* MERGEFORMAT</w:instrText>
    </w:r>
    <w:r>
      <w:fldChar w:fldCharType="separate"/>
    </w:r>
    <w:r>
      <w:rPr>
        <w:lang w:val="zh-CN"/>
      </w:rP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 PAGE   \* MERGEFORMAT \* MERGEFORMAT </w:instrText>
    </w:r>
    <w:r>
      <w:fldChar w:fldCharType="separate"/>
    </w:r>
    <w:r>
      <w:t>II</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pPr>
    <w:r>
      <w:fldChar w:fldCharType="begin"/>
    </w:r>
    <w:r>
      <w:instrText xml:space="preserve">PAGE   \* MERGEFORMAT</w:instrText>
    </w:r>
    <w:r>
      <w:fldChar w:fldCharType="separate"/>
    </w:r>
    <w:r>
      <w:rPr>
        <w:lang w:val="zh-CN"/>
      </w:rPr>
      <w:t>V</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 PAGE   \* MERGEFORMAT \* MERGEFORMAT </w:instrText>
    </w:r>
    <w:r>
      <w:fldChar w:fldCharType="separate"/>
    </w:r>
    <w:r>
      <w:t>II</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pPr>
    <w:r>
      <w:fldChar w:fldCharType="begin"/>
    </w:r>
    <w:r>
      <w:instrText xml:space="preserve">PAGE   \* MERGEFORMAT</w:instrText>
    </w:r>
    <w:r>
      <w:fldChar w:fldCharType="separate"/>
    </w:r>
    <w:r>
      <w:rPr>
        <w:lang w:val="zh-CN"/>
      </w:rPr>
      <w:t>1</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 PAGE   \* MERGEFORMAT \* MERGEFORMAT </w:instrText>
    </w:r>
    <w:r>
      <w:fldChar w:fldCharType="separate"/>
    </w:r>
    <w:r>
      <w:t>6</w:t>
    </w:r>
    <w: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pPr>
    <w:r>
      <w:fldChar w:fldCharType="begin"/>
    </w:r>
    <w:r>
      <w:instrText xml:space="preserve">PAGE   \* MERGEFORMAT</w:instrText>
    </w:r>
    <w:r>
      <w:fldChar w:fldCharType="separate"/>
    </w:r>
    <w:r>
      <w:rPr>
        <w:lang w:val="zh-CN"/>
      </w:rPr>
      <w:t>7</w:t>
    </w:r>
    <w: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 PAGE   \* MERGEFORMAT \* MERGEFORMAT </w:instrText>
    </w:r>
    <w:r>
      <w:fldChar w:fldCharType="separate"/>
    </w:r>
    <w:r>
      <w:t>8</w:t>
    </w:r>
    <w: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pPr>
    <w:r>
      <w:fldChar w:fldCharType="begin"/>
    </w:r>
    <w:r>
      <w:instrText xml:space="preserve">PAGE   \* MERGEFORMAT</w:instrText>
    </w:r>
    <w:r>
      <w:fldChar w:fldCharType="separate"/>
    </w:r>
    <w:r>
      <w:rPr>
        <w:lang w:val="zh-CN"/>
      </w:rPr>
      <w:t>9</w:t>
    </w:r>
    <w:r>
      <w:fldChar w:fldCharType="end"/>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 PAGE   \* MERGEFORMAT \* MERGEFORMAT </w:instrText>
    </w:r>
    <w:r>
      <w:fldChar w:fldCharType="separate"/>
    </w:r>
    <w:r>
      <w:t>10</w:t>
    </w:r>
    <w:r>
      <w:fldChar w:fldCharType="end"/>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pPr>
    <w:r>
      <w:fldChar w:fldCharType="begin"/>
    </w:r>
    <w:r>
      <w:instrText xml:space="preserve">PAGE   \* MERGEFORMAT</w:instrText>
    </w:r>
    <w:r>
      <w:fldChar w:fldCharType="separate"/>
    </w:r>
    <w:r>
      <w:rPr>
        <w:lang w:val="zh-CN"/>
      </w:rPr>
      <w:t>11</w:t>
    </w:r>
    <w:r>
      <w:fldChar w:fldCharType="end"/>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 PAGE   \* MERGEFORMAT \* MERGEFORMAT </w:instrText>
    </w:r>
    <w:r>
      <w:fldChar w:fldCharType="separate"/>
    </w:r>
    <w:r>
      <w:t>10</w:t>
    </w:r>
    <w:r>
      <w:fldChar w:fldCharType="end"/>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pPr>
    <w:r>
      <w:fldChar w:fldCharType="begin"/>
    </w:r>
    <w:r>
      <w:instrText xml:space="preserve">PAGE   \* MERGEFORMAT</w:instrText>
    </w:r>
    <w:r>
      <w:fldChar w:fldCharType="separate"/>
    </w:r>
    <w:r>
      <w:rPr>
        <w:lang w:val="zh-CN"/>
      </w:rPr>
      <w:t>17</w:t>
    </w:r>
    <w:r>
      <w:fldChar w:fldCharType="end"/>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 PAGE   \* MERGEFORMAT \* MERGEFORMAT </w:instrText>
    </w:r>
    <w:r>
      <w:fldChar w:fldCharType="separate"/>
    </w:r>
    <w:r>
      <w:t>18</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DB5101/TXXXX—XXXX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DB5101/TXXXX—XXXX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DB5101/TXXXX—XXXX</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DB5101/TXXXX—XXXX</w:t>
    </w:r>
    <w: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DB5101/TXXXX—XXXX</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DB5101/TXXXX—XXXX</w:t>
    </w:r>
    <w:r>
      <w:fldChar w:fldCharType="end"/>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DB5101/TXXXX—XXXX</w:t>
    </w:r>
    <w:r>
      <w:fldChar w:fldCharType="end"/>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DB5101/TXXXX—XXXX</w:t>
    </w:r>
    <w:r>
      <w:fldChar w:fldCharType="end"/>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DB5101/TXXXX—XXXX</w:t>
    </w:r>
    <w:r>
      <w:fldChar w:fldCharType="end"/>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DB5101/TXXXX—XXXX</w:t>
    </w:r>
    <w:r>
      <w:fldChar w:fldCharType="end"/>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DB5101/TXXXX—XXXX</w:t>
    </w:r>
    <w:r>
      <w:fldChar w:fldCharType="end"/>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DB5101/TXXXX—XXXX</w:t>
    </w:r>
    <w:r>
      <w:fldChar w:fldCharType="end"/>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DB5101/TXXXX—XXXX</w:t>
    </w:r>
    <w:r>
      <w:fldChar w:fldCharType="end"/>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DB5101/TXXXX—XXXX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5"/>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0"/>
      <w:suff w:val="nothing"/>
      <w:lvlText w:val="%1%2.%3　"/>
      <w:lvlJc w:val="left"/>
      <w:pPr>
        <w:ind w:left="0" w:firstLine="0"/>
      </w:pPr>
    </w:lvl>
    <w:lvl w:ilvl="3" w:tentative="0">
      <w:start w:val="1"/>
      <w:numFmt w:val="decimal"/>
      <w:pStyle w:val="119"/>
      <w:suff w:val="nothing"/>
      <w:lvlText w:val="%1%2.%3.%4　"/>
      <w:lvlJc w:val="left"/>
      <w:pPr>
        <w:ind w:left="0" w:firstLine="0"/>
      </w:pPr>
    </w:lvl>
    <w:lvl w:ilvl="4" w:tentative="0">
      <w:start w:val="1"/>
      <w:numFmt w:val="decimal"/>
      <w:pStyle w:val="154"/>
      <w:suff w:val="nothing"/>
      <w:lvlText w:val="%1%2.%3.%4.%5　"/>
      <w:lvlJc w:val="left"/>
      <w:pPr>
        <w:ind w:left="0" w:firstLine="0"/>
      </w:pPr>
    </w:lvl>
    <w:lvl w:ilvl="5" w:tentative="0">
      <w:start w:val="1"/>
      <w:numFmt w:val="decimal"/>
      <w:pStyle w:val="156"/>
      <w:suff w:val="nothing"/>
      <w:lvlText w:val="%1%2.%3.%4.%5.%6　"/>
      <w:lvlJc w:val="left"/>
      <w:pPr>
        <w:ind w:left="0" w:firstLine="0"/>
      </w:pPr>
    </w:lvl>
    <w:lvl w:ilvl="6" w:tentative="0">
      <w:start w:val="1"/>
      <w:numFmt w:val="decimal"/>
      <w:pStyle w:val="159"/>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1"/>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0"/>
      <w:lvlText w:val="%1"/>
      <w:lvlJc w:val="left"/>
      <w:pPr>
        <w:ind w:left="425" w:hanging="425"/>
      </w:pPr>
      <w:rPr>
        <w:rFonts w:hint="eastAsia"/>
      </w:rPr>
    </w:lvl>
    <w:lvl w:ilvl="1" w:tentative="0">
      <w:start w:val="1"/>
      <w:numFmt w:val="decimal"/>
      <w:pStyle w:val="201"/>
      <w:suff w:val="nothing"/>
      <w:lvlText w:val="%10.%2 "/>
      <w:lvlJc w:val="left"/>
      <w:pPr>
        <w:ind w:left="0" w:firstLine="0"/>
      </w:pPr>
      <w:rPr>
        <w:rFonts w:hint="eastAsia" w:ascii="黑体" w:eastAsia="黑体" w:hAnsiTheme="minorHAnsi"/>
        <w:b w:val="0"/>
        <w:i w:val="0"/>
        <w:sz w:val="21"/>
      </w:rPr>
    </w:lvl>
    <w:lvl w:ilvl="2" w:tentative="0">
      <w:start w:val="1"/>
      <w:numFmt w:val="decimal"/>
      <w:pStyle w:val="202"/>
      <w:suff w:val="nothing"/>
      <w:lvlText w:val="%10.%2.%3 "/>
      <w:lvlJc w:val="left"/>
      <w:pPr>
        <w:ind w:left="0" w:firstLine="0"/>
      </w:pPr>
      <w:rPr>
        <w:rFonts w:hint="eastAsia" w:ascii="黑体" w:eastAsia="黑体" w:hAnsiTheme="minorHAnsi"/>
        <w:b w:val="0"/>
        <w:i w:val="0"/>
        <w:sz w:val="21"/>
      </w:rPr>
    </w:lvl>
    <w:lvl w:ilvl="3" w:tentative="0">
      <w:start w:val="1"/>
      <w:numFmt w:val="decimal"/>
      <w:pStyle w:val="203"/>
      <w:suff w:val="nothing"/>
      <w:lvlText w:val="%10.%2.%3.%4 "/>
      <w:lvlJc w:val="left"/>
      <w:pPr>
        <w:ind w:left="0" w:firstLine="0"/>
      </w:pPr>
      <w:rPr>
        <w:rFonts w:hint="eastAsia" w:ascii="黑体" w:eastAsia="黑体" w:hAnsiTheme="minorHAnsi"/>
        <w:b w:val="0"/>
        <w:i w:val="0"/>
        <w:sz w:val="21"/>
      </w:rPr>
    </w:lvl>
    <w:lvl w:ilvl="4" w:tentative="0">
      <w:start w:val="1"/>
      <w:numFmt w:val="decimal"/>
      <w:pStyle w:val="204"/>
      <w:suff w:val="nothing"/>
      <w:lvlText w:val="%10.%2.%3.%4.%5 "/>
      <w:lvlJc w:val="left"/>
      <w:pPr>
        <w:ind w:left="0" w:firstLine="0"/>
      </w:pPr>
      <w:rPr>
        <w:rFonts w:hint="eastAsia" w:ascii="黑体" w:eastAsia="黑体" w:hAnsiTheme="minorHAnsi"/>
        <w:b w:val="0"/>
        <w:i w:val="0"/>
        <w:sz w:val="21"/>
      </w:rPr>
    </w:lvl>
    <w:lvl w:ilvl="5" w:tentative="0">
      <w:start w:val="1"/>
      <w:numFmt w:val="decimal"/>
      <w:pStyle w:val="205"/>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2"/>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8"/>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1"/>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6"/>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3"/>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3"/>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8"/>
      <w:lvlText w:val=""/>
      <w:lvlJc w:val="left"/>
      <w:pPr>
        <w:ind w:left="851" w:hanging="431"/>
      </w:pPr>
      <w:rPr>
        <w:rFonts w:hint="default" w:ascii="Symbol" w:hAnsi="Symbol"/>
        <w:sz w:val="21"/>
      </w:rPr>
    </w:lvl>
    <w:lvl w:ilvl="2" w:tentative="0">
      <w:start w:val="1"/>
      <w:numFmt w:val="bullet"/>
      <w:pStyle w:val="173"/>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2"/>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5"/>
      <w:lvlText w:val="%1)"/>
      <w:lvlJc w:val="left"/>
      <w:pPr>
        <w:tabs>
          <w:tab w:val="left" w:pos="851"/>
        </w:tabs>
        <w:ind w:left="851" w:hanging="426"/>
      </w:pPr>
      <w:rPr>
        <w:rFonts w:hint="eastAsia" w:ascii="宋体" w:hAnsi="Times New Roman" w:eastAsia="宋体"/>
        <w:sz w:val="21"/>
      </w:rPr>
    </w:lvl>
    <w:lvl w:ilvl="1" w:tentative="0">
      <w:start w:val="1"/>
      <w:numFmt w:val="decimal"/>
      <w:pStyle w:val="110"/>
      <w:lvlText w:val="%2)"/>
      <w:lvlJc w:val="left"/>
      <w:pPr>
        <w:tabs>
          <w:tab w:val="left" w:pos="1276"/>
        </w:tabs>
        <w:ind w:left="1276" w:hanging="425"/>
      </w:pPr>
      <w:rPr>
        <w:rFonts w:hint="eastAsia" w:ascii="宋体" w:hAnsi="Times New Roman" w:eastAsia="宋体"/>
        <w:sz w:val="21"/>
      </w:rPr>
    </w:lvl>
    <w:lvl w:ilvl="2" w:tentative="0">
      <w:start w:val="1"/>
      <w:numFmt w:val="decimal"/>
      <w:pStyle w:val="118"/>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9"/>
      <w:lvlText w:val="%1"/>
      <w:lvlJc w:val="left"/>
      <w:pPr>
        <w:ind w:left="420" w:hanging="420"/>
      </w:pPr>
      <w:rPr>
        <w:rFonts w:hint="eastAsia"/>
      </w:rPr>
    </w:lvl>
    <w:lvl w:ilvl="1" w:tentative="0">
      <w:start w:val="1"/>
      <w:numFmt w:val="decimal"/>
      <w:pStyle w:val="84"/>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4"/>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7"/>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4"/>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5"/>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200"/>
      <w:suff w:val="space"/>
      <w:lvlText w:val="%1"/>
      <w:lvlJc w:val="left"/>
      <w:pPr>
        <w:ind w:left="425" w:hanging="425"/>
      </w:pPr>
      <w:rPr>
        <w:rFonts w:hint="eastAsia"/>
      </w:rPr>
    </w:lvl>
    <w:lvl w:ilvl="1" w:tentative="0">
      <w:start w:val="1"/>
      <w:numFmt w:val="decimal"/>
      <w:pStyle w:val="78"/>
      <w:suff w:val="space"/>
      <w:lvlText w:val="表%1.%2"/>
      <w:lvlJc w:val="center"/>
      <w:pPr>
        <w:ind w:left="2978"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2"/>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3"/>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0"/>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7"/>
      <w:suff w:val="nothing"/>
      <w:lvlText w:val="附录%1"/>
      <w:lvlJc w:val="left"/>
      <w:pPr>
        <w:ind w:left="0" w:firstLine="0"/>
      </w:pPr>
      <w:rPr>
        <w:rFonts w:hint="eastAsia"/>
        <w:spacing w:val="100"/>
      </w:rPr>
    </w:lvl>
    <w:lvl w:ilvl="1" w:tentative="0">
      <w:start w:val="1"/>
      <w:numFmt w:val="decimal"/>
      <w:pStyle w:val="79"/>
      <w:suff w:val="nothing"/>
      <w:lvlText w:val="%1.%2　"/>
      <w:lvlJc w:val="left"/>
      <w:pPr>
        <w:ind w:left="0" w:firstLine="0"/>
      </w:pPr>
      <w:rPr>
        <w:rFonts w:hint="eastAsia" w:ascii="黑体" w:eastAsia="黑体"/>
        <w:b w:val="0"/>
        <w:i w:val="0"/>
        <w:sz w:val="21"/>
      </w:rPr>
    </w:lvl>
    <w:lvl w:ilvl="2" w:tentative="0">
      <w:start w:val="1"/>
      <w:numFmt w:val="decimal"/>
      <w:pStyle w:val="80"/>
      <w:suff w:val="nothing"/>
      <w:lvlText w:val="%1.%2.%3　"/>
      <w:lvlJc w:val="left"/>
      <w:pPr>
        <w:ind w:left="0" w:firstLine="0"/>
      </w:pPr>
      <w:rPr>
        <w:rFonts w:hint="eastAsia" w:ascii="黑体" w:eastAsia="黑体"/>
        <w:b w:val="0"/>
        <w:i w:val="0"/>
        <w:sz w:val="21"/>
      </w:rPr>
    </w:lvl>
    <w:lvl w:ilvl="3" w:tentative="0">
      <w:start w:val="1"/>
      <w:numFmt w:val="decimal"/>
      <w:pStyle w:val="82"/>
      <w:suff w:val="nothing"/>
      <w:lvlText w:val="%1.%2.%3.%4　"/>
      <w:lvlJc w:val="left"/>
      <w:pPr>
        <w:ind w:left="0" w:firstLine="0"/>
      </w:pPr>
      <w:rPr>
        <w:rFonts w:hint="eastAsia" w:ascii="黑体" w:eastAsia="黑体"/>
        <w:b w:val="0"/>
        <w:i w:val="0"/>
        <w:sz w:val="21"/>
      </w:rPr>
    </w:lvl>
    <w:lvl w:ilvl="4" w:tentative="0">
      <w:start w:val="1"/>
      <w:numFmt w:val="decimal"/>
      <w:pStyle w:val="83"/>
      <w:suff w:val="nothing"/>
      <w:lvlText w:val="%1.%2.%3.%4.%5　"/>
      <w:lvlJc w:val="left"/>
      <w:pPr>
        <w:ind w:left="0" w:firstLine="0"/>
      </w:pPr>
      <w:rPr>
        <w:rFonts w:hint="eastAsia" w:ascii="黑体" w:eastAsia="黑体"/>
        <w:b w:val="0"/>
        <w:i w:val="0"/>
        <w:sz w:val="21"/>
      </w:rPr>
    </w:lvl>
    <w:lvl w:ilvl="5" w:tentative="0">
      <w:start w:val="1"/>
      <w:numFmt w:val="decimal"/>
      <w:pStyle w:val="85"/>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9"/>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8"/>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4"/>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3"/>
      <w:suff w:val="nothing"/>
      <w:lvlText w:val="%1"/>
      <w:lvlJc w:val="left"/>
      <w:pPr>
        <w:ind w:left="0" w:firstLine="0"/>
      </w:pPr>
      <w:rPr>
        <w:rFonts w:hint="eastAsia"/>
      </w:rPr>
    </w:lvl>
    <w:lvl w:ilvl="1" w:tentative="0">
      <w:start w:val="1"/>
      <w:numFmt w:val="decimal"/>
      <w:pStyle w:val="105"/>
      <w:suff w:val="nothing"/>
      <w:lvlText w:val="%1%2　"/>
      <w:lvlJc w:val="left"/>
      <w:pPr>
        <w:ind w:left="0" w:firstLine="0"/>
      </w:pPr>
      <w:rPr>
        <w:rFonts w:hint="eastAsia" w:ascii="黑体" w:eastAsia="黑体"/>
        <w:b w:val="0"/>
        <w:i w:val="0"/>
        <w:sz w:val="21"/>
      </w:rPr>
    </w:lvl>
    <w:lvl w:ilvl="2" w:tentative="0">
      <w:start w:val="1"/>
      <w:numFmt w:val="decimal"/>
      <w:pStyle w:val="106"/>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66"/>
      <w:suff w:val="nothing"/>
      <w:lvlText w:val="%1%2.%3.%4　"/>
      <w:lvlJc w:val="left"/>
      <w:pPr>
        <w:ind w:left="1985" w:firstLine="0"/>
      </w:pPr>
      <w:rPr>
        <w:rFonts w:hint="eastAsia" w:ascii="黑体" w:eastAsia="黑体"/>
        <w:b w:val="0"/>
        <w:i w:val="0"/>
        <w:sz w:val="21"/>
      </w:rPr>
    </w:lvl>
    <w:lvl w:ilvl="4" w:tentative="0">
      <w:start w:val="1"/>
      <w:numFmt w:val="decimal"/>
      <w:pStyle w:val="95"/>
      <w:suff w:val="nothing"/>
      <w:lvlText w:val="%1%2.%3.%4.%5　"/>
      <w:lvlJc w:val="left"/>
      <w:pPr>
        <w:ind w:left="0" w:firstLine="0"/>
      </w:pPr>
      <w:rPr>
        <w:rFonts w:hint="eastAsia" w:ascii="黑体" w:eastAsia="黑体"/>
        <w:b w:val="0"/>
        <w:i w:val="0"/>
        <w:sz w:val="21"/>
      </w:rPr>
    </w:lvl>
    <w:lvl w:ilvl="5" w:tentative="0">
      <w:start w:val="1"/>
      <w:numFmt w:val="decimal"/>
      <w:pStyle w:val="99"/>
      <w:suff w:val="nothing"/>
      <w:lvlText w:val="%1%2.%3.%4.%5.%6　"/>
      <w:lvlJc w:val="left"/>
      <w:pPr>
        <w:ind w:left="0" w:firstLine="0"/>
      </w:pPr>
      <w:rPr>
        <w:rFonts w:hint="eastAsia" w:ascii="黑体" w:eastAsia="黑体"/>
        <w:b w:val="0"/>
        <w:i w:val="0"/>
        <w:sz w:val="21"/>
      </w:rPr>
    </w:lvl>
    <w:lvl w:ilvl="6" w:tentative="0">
      <w:start w:val="1"/>
      <w:numFmt w:val="decimal"/>
      <w:pStyle w:val="104"/>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80"/>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6"/>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40"/>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attachedTemplate r:id="rId1"/>
  <w:documentProtection w:edit="forms" w:enforcement="1" w:cryptProviderType="rsaAES" w:cryptAlgorithmClass="hash" w:cryptAlgorithmType="typeAny" w:cryptAlgorithmSid="14" w:cryptSpinCount="100000" w:hash="BRyCLoZoX91JSsUj8FoOm9VFsrz3fnPQY/2CZ9g2gTJfYkpCJF3+rsNaApE+OPjqK9WDyRJMu36MIWBDI6gS1A==" w:salt="xfF8VkQju3GkVq+LhB0itA=="/>
  <w:defaultTabStop w:val="420"/>
  <w:evenAndOddHeaders w:val="1"/>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7058"/>
    <w:rsid w:val="0000040A"/>
    <w:rsid w:val="00000A94"/>
    <w:rsid w:val="00001972"/>
    <w:rsid w:val="00001D9A"/>
    <w:rsid w:val="00007B3A"/>
    <w:rsid w:val="000107E0"/>
    <w:rsid w:val="00011FDE"/>
    <w:rsid w:val="00012BCF"/>
    <w:rsid w:val="00012FFD"/>
    <w:rsid w:val="00014162"/>
    <w:rsid w:val="00014340"/>
    <w:rsid w:val="000146AB"/>
    <w:rsid w:val="00016A9C"/>
    <w:rsid w:val="00022184"/>
    <w:rsid w:val="00022762"/>
    <w:rsid w:val="000238E0"/>
    <w:rsid w:val="000249DB"/>
    <w:rsid w:val="00025828"/>
    <w:rsid w:val="0002595E"/>
    <w:rsid w:val="000303C3"/>
    <w:rsid w:val="000331D3"/>
    <w:rsid w:val="000346A5"/>
    <w:rsid w:val="000359C3"/>
    <w:rsid w:val="00035A7D"/>
    <w:rsid w:val="000365ED"/>
    <w:rsid w:val="0004249A"/>
    <w:rsid w:val="00043282"/>
    <w:rsid w:val="0004389D"/>
    <w:rsid w:val="00044286"/>
    <w:rsid w:val="00047E96"/>
    <w:rsid w:val="00047F28"/>
    <w:rsid w:val="000503AA"/>
    <w:rsid w:val="000506A1"/>
    <w:rsid w:val="000515DD"/>
    <w:rsid w:val="0005265A"/>
    <w:rsid w:val="000539DD"/>
    <w:rsid w:val="00053BD3"/>
    <w:rsid w:val="00054BC6"/>
    <w:rsid w:val="00054D12"/>
    <w:rsid w:val="000556ED"/>
    <w:rsid w:val="00055FE2"/>
    <w:rsid w:val="0005616F"/>
    <w:rsid w:val="00060C2E"/>
    <w:rsid w:val="00061033"/>
    <w:rsid w:val="000619E9"/>
    <w:rsid w:val="000622D4"/>
    <w:rsid w:val="0006357D"/>
    <w:rsid w:val="0006383C"/>
    <w:rsid w:val="00067F1E"/>
    <w:rsid w:val="00071CC0"/>
    <w:rsid w:val="00072DF1"/>
    <w:rsid w:val="00073C8C"/>
    <w:rsid w:val="00077B64"/>
    <w:rsid w:val="00077E78"/>
    <w:rsid w:val="00080A1C"/>
    <w:rsid w:val="00082317"/>
    <w:rsid w:val="000831C4"/>
    <w:rsid w:val="00083D2C"/>
    <w:rsid w:val="00084ED4"/>
    <w:rsid w:val="00086AA1"/>
    <w:rsid w:val="00087A77"/>
    <w:rsid w:val="00090CA6"/>
    <w:rsid w:val="00092B8A"/>
    <w:rsid w:val="00092FB0"/>
    <w:rsid w:val="000934C5"/>
    <w:rsid w:val="00093D25"/>
    <w:rsid w:val="00093DAB"/>
    <w:rsid w:val="00094D73"/>
    <w:rsid w:val="0009505C"/>
    <w:rsid w:val="0009689B"/>
    <w:rsid w:val="00096D63"/>
    <w:rsid w:val="000A0B60"/>
    <w:rsid w:val="000A0EB8"/>
    <w:rsid w:val="000A14C7"/>
    <w:rsid w:val="000A19FC"/>
    <w:rsid w:val="000A296B"/>
    <w:rsid w:val="000A5776"/>
    <w:rsid w:val="000A7311"/>
    <w:rsid w:val="000B060F"/>
    <w:rsid w:val="000B1592"/>
    <w:rsid w:val="000B1FF2"/>
    <w:rsid w:val="000B3CDA"/>
    <w:rsid w:val="000B6A0B"/>
    <w:rsid w:val="000C0F6C"/>
    <w:rsid w:val="000C11DB"/>
    <w:rsid w:val="000C1492"/>
    <w:rsid w:val="000C21D2"/>
    <w:rsid w:val="000C2FBD"/>
    <w:rsid w:val="000C4B41"/>
    <w:rsid w:val="000C52E6"/>
    <w:rsid w:val="000C57D6"/>
    <w:rsid w:val="000C59D4"/>
    <w:rsid w:val="000C6362"/>
    <w:rsid w:val="000C7666"/>
    <w:rsid w:val="000D0A9C"/>
    <w:rsid w:val="000D1795"/>
    <w:rsid w:val="000D1CF6"/>
    <w:rsid w:val="000D329A"/>
    <w:rsid w:val="000D4B9C"/>
    <w:rsid w:val="000D4EB6"/>
    <w:rsid w:val="000D753B"/>
    <w:rsid w:val="000E3124"/>
    <w:rsid w:val="000E4C9E"/>
    <w:rsid w:val="000E4DDF"/>
    <w:rsid w:val="000E6EE9"/>
    <w:rsid w:val="000E6FD7"/>
    <w:rsid w:val="000F06E1"/>
    <w:rsid w:val="000F0E3C"/>
    <w:rsid w:val="000F19D5"/>
    <w:rsid w:val="000F28BB"/>
    <w:rsid w:val="000F4AEA"/>
    <w:rsid w:val="000F633F"/>
    <w:rsid w:val="000F67E9"/>
    <w:rsid w:val="00104926"/>
    <w:rsid w:val="001109C0"/>
    <w:rsid w:val="00113B1E"/>
    <w:rsid w:val="0011711C"/>
    <w:rsid w:val="0012059C"/>
    <w:rsid w:val="0012071E"/>
    <w:rsid w:val="00123618"/>
    <w:rsid w:val="00124E4F"/>
    <w:rsid w:val="00125F3F"/>
    <w:rsid w:val="001260B7"/>
    <w:rsid w:val="001265CB"/>
    <w:rsid w:val="00126683"/>
    <w:rsid w:val="00126B5A"/>
    <w:rsid w:val="001321C6"/>
    <w:rsid w:val="001325C4"/>
    <w:rsid w:val="00133010"/>
    <w:rsid w:val="001338EE"/>
    <w:rsid w:val="00133AAE"/>
    <w:rsid w:val="00135323"/>
    <w:rsid w:val="001356C4"/>
    <w:rsid w:val="00141114"/>
    <w:rsid w:val="001422B5"/>
    <w:rsid w:val="00142969"/>
    <w:rsid w:val="001446C2"/>
    <w:rsid w:val="00144E95"/>
    <w:rsid w:val="00144F8E"/>
    <w:rsid w:val="001457E7"/>
    <w:rsid w:val="00145D9D"/>
    <w:rsid w:val="00146388"/>
    <w:rsid w:val="00146B4F"/>
    <w:rsid w:val="00147347"/>
    <w:rsid w:val="00152255"/>
    <w:rsid w:val="001529E5"/>
    <w:rsid w:val="00153C7E"/>
    <w:rsid w:val="001567C5"/>
    <w:rsid w:val="00156B25"/>
    <w:rsid w:val="00156E1A"/>
    <w:rsid w:val="00157894"/>
    <w:rsid w:val="00157B55"/>
    <w:rsid w:val="001626F1"/>
    <w:rsid w:val="00163093"/>
    <w:rsid w:val="001642FA"/>
    <w:rsid w:val="001649EB"/>
    <w:rsid w:val="00164BAF"/>
    <w:rsid w:val="00164FA8"/>
    <w:rsid w:val="00165065"/>
    <w:rsid w:val="00165434"/>
    <w:rsid w:val="0016580B"/>
    <w:rsid w:val="00165F49"/>
    <w:rsid w:val="00166B88"/>
    <w:rsid w:val="001675F5"/>
    <w:rsid w:val="0016770A"/>
    <w:rsid w:val="00170804"/>
    <w:rsid w:val="001708E9"/>
    <w:rsid w:val="0017340B"/>
    <w:rsid w:val="00173FB1"/>
    <w:rsid w:val="00174CDA"/>
    <w:rsid w:val="00176DFD"/>
    <w:rsid w:val="0018178A"/>
    <w:rsid w:val="00182FC6"/>
    <w:rsid w:val="00183CF4"/>
    <w:rsid w:val="001852C9"/>
    <w:rsid w:val="00186FCD"/>
    <w:rsid w:val="00190087"/>
    <w:rsid w:val="00190126"/>
    <w:rsid w:val="001913C4"/>
    <w:rsid w:val="0019348F"/>
    <w:rsid w:val="00193A07"/>
    <w:rsid w:val="001947DA"/>
    <w:rsid w:val="00194C95"/>
    <w:rsid w:val="00195C34"/>
    <w:rsid w:val="00196EF5"/>
    <w:rsid w:val="001A1A53"/>
    <w:rsid w:val="001A234A"/>
    <w:rsid w:val="001A3794"/>
    <w:rsid w:val="001A4CF3"/>
    <w:rsid w:val="001A59F8"/>
    <w:rsid w:val="001B06E8"/>
    <w:rsid w:val="001B18E5"/>
    <w:rsid w:val="001B40FA"/>
    <w:rsid w:val="001B71D0"/>
    <w:rsid w:val="001B71EE"/>
    <w:rsid w:val="001C04A8"/>
    <w:rsid w:val="001C061D"/>
    <w:rsid w:val="001C2C03"/>
    <w:rsid w:val="001C42F7"/>
    <w:rsid w:val="001C49E5"/>
    <w:rsid w:val="001C4A28"/>
    <w:rsid w:val="001C680C"/>
    <w:rsid w:val="001C7FEA"/>
    <w:rsid w:val="001D0499"/>
    <w:rsid w:val="001D0596"/>
    <w:rsid w:val="001D0BBE"/>
    <w:rsid w:val="001D0ED4"/>
    <w:rsid w:val="001D1D87"/>
    <w:rsid w:val="001D1E89"/>
    <w:rsid w:val="001D212F"/>
    <w:rsid w:val="001D29D7"/>
    <w:rsid w:val="001D2DE7"/>
    <w:rsid w:val="001D411C"/>
    <w:rsid w:val="001D61B4"/>
    <w:rsid w:val="001E1B6A"/>
    <w:rsid w:val="001E2484"/>
    <w:rsid w:val="001E3CC4"/>
    <w:rsid w:val="001E402A"/>
    <w:rsid w:val="001E4882"/>
    <w:rsid w:val="001E73AB"/>
    <w:rsid w:val="001F092D"/>
    <w:rsid w:val="001F143A"/>
    <w:rsid w:val="001F1605"/>
    <w:rsid w:val="001F2508"/>
    <w:rsid w:val="001F2C0E"/>
    <w:rsid w:val="001F4816"/>
    <w:rsid w:val="001F4EE9"/>
    <w:rsid w:val="001F69B4"/>
    <w:rsid w:val="001F77C7"/>
    <w:rsid w:val="00200183"/>
    <w:rsid w:val="00200333"/>
    <w:rsid w:val="0020107D"/>
    <w:rsid w:val="00201193"/>
    <w:rsid w:val="00202AA4"/>
    <w:rsid w:val="002031F7"/>
    <w:rsid w:val="002040E6"/>
    <w:rsid w:val="0020527B"/>
    <w:rsid w:val="00205F2C"/>
    <w:rsid w:val="00210B15"/>
    <w:rsid w:val="00213A65"/>
    <w:rsid w:val="002142EA"/>
    <w:rsid w:val="00220021"/>
    <w:rsid w:val="002204BB"/>
    <w:rsid w:val="00221B79"/>
    <w:rsid w:val="00221C6B"/>
    <w:rsid w:val="002253A1"/>
    <w:rsid w:val="00225CF8"/>
    <w:rsid w:val="0022794E"/>
    <w:rsid w:val="00227DC7"/>
    <w:rsid w:val="00233A2B"/>
    <w:rsid w:val="00233D64"/>
    <w:rsid w:val="0023482A"/>
    <w:rsid w:val="00235730"/>
    <w:rsid w:val="002359CB"/>
    <w:rsid w:val="00241CD1"/>
    <w:rsid w:val="00243540"/>
    <w:rsid w:val="0024497B"/>
    <w:rsid w:val="0024515B"/>
    <w:rsid w:val="00246021"/>
    <w:rsid w:val="0024666E"/>
    <w:rsid w:val="00247F52"/>
    <w:rsid w:val="00250B25"/>
    <w:rsid w:val="00250BBE"/>
    <w:rsid w:val="002515C2"/>
    <w:rsid w:val="0025194F"/>
    <w:rsid w:val="00251D77"/>
    <w:rsid w:val="0026148A"/>
    <w:rsid w:val="00262696"/>
    <w:rsid w:val="00262AE7"/>
    <w:rsid w:val="00263D25"/>
    <w:rsid w:val="002643C3"/>
    <w:rsid w:val="0026449D"/>
    <w:rsid w:val="00264A0C"/>
    <w:rsid w:val="0026512A"/>
    <w:rsid w:val="00266768"/>
    <w:rsid w:val="00266EEB"/>
    <w:rsid w:val="00267EF4"/>
    <w:rsid w:val="00270CB8"/>
    <w:rsid w:val="00270E02"/>
    <w:rsid w:val="00271532"/>
    <w:rsid w:val="00272B08"/>
    <w:rsid w:val="002739EF"/>
    <w:rsid w:val="002771AC"/>
    <w:rsid w:val="00281028"/>
    <w:rsid w:val="00281AC5"/>
    <w:rsid w:val="00281BB8"/>
    <w:rsid w:val="00281E9E"/>
    <w:rsid w:val="00282405"/>
    <w:rsid w:val="00285170"/>
    <w:rsid w:val="00285361"/>
    <w:rsid w:val="00291DC3"/>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39F0"/>
    <w:rsid w:val="002B4508"/>
    <w:rsid w:val="002B4987"/>
    <w:rsid w:val="002B5779"/>
    <w:rsid w:val="002B5AA0"/>
    <w:rsid w:val="002B7332"/>
    <w:rsid w:val="002B7F51"/>
    <w:rsid w:val="002C00DB"/>
    <w:rsid w:val="002C09E7"/>
    <w:rsid w:val="002C1E06"/>
    <w:rsid w:val="002C1E1C"/>
    <w:rsid w:val="002C3F07"/>
    <w:rsid w:val="002C4549"/>
    <w:rsid w:val="002C5278"/>
    <w:rsid w:val="002C5D5D"/>
    <w:rsid w:val="002C63C0"/>
    <w:rsid w:val="002C7EBB"/>
    <w:rsid w:val="002D002C"/>
    <w:rsid w:val="002D009F"/>
    <w:rsid w:val="002D06C1"/>
    <w:rsid w:val="002D42B5"/>
    <w:rsid w:val="002D4B12"/>
    <w:rsid w:val="002D4ECC"/>
    <w:rsid w:val="002D4F1A"/>
    <w:rsid w:val="002D6EC6"/>
    <w:rsid w:val="002D79AC"/>
    <w:rsid w:val="002D7BEA"/>
    <w:rsid w:val="002E039D"/>
    <w:rsid w:val="002E2A1E"/>
    <w:rsid w:val="002E4D5A"/>
    <w:rsid w:val="002E5175"/>
    <w:rsid w:val="002E59A9"/>
    <w:rsid w:val="002E6326"/>
    <w:rsid w:val="002E6FF0"/>
    <w:rsid w:val="002E768B"/>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0730"/>
    <w:rsid w:val="003316BE"/>
    <w:rsid w:val="003331E4"/>
    <w:rsid w:val="00336C64"/>
    <w:rsid w:val="00337162"/>
    <w:rsid w:val="00337CC8"/>
    <w:rsid w:val="0034194F"/>
    <w:rsid w:val="00344605"/>
    <w:rsid w:val="003470A8"/>
    <w:rsid w:val="003473D6"/>
    <w:rsid w:val="003474AA"/>
    <w:rsid w:val="00347F5B"/>
    <w:rsid w:val="00350D1D"/>
    <w:rsid w:val="00352C83"/>
    <w:rsid w:val="00353B0B"/>
    <w:rsid w:val="0035732E"/>
    <w:rsid w:val="0036140B"/>
    <w:rsid w:val="003615D2"/>
    <w:rsid w:val="0036342F"/>
    <w:rsid w:val="0036429C"/>
    <w:rsid w:val="00364A53"/>
    <w:rsid w:val="003654CB"/>
    <w:rsid w:val="00365AA9"/>
    <w:rsid w:val="00365F86"/>
    <w:rsid w:val="00365F87"/>
    <w:rsid w:val="00366E89"/>
    <w:rsid w:val="00366E96"/>
    <w:rsid w:val="0036723F"/>
    <w:rsid w:val="003705F4"/>
    <w:rsid w:val="00370D58"/>
    <w:rsid w:val="00371316"/>
    <w:rsid w:val="00374744"/>
    <w:rsid w:val="00376713"/>
    <w:rsid w:val="00380C39"/>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6D3D"/>
    <w:rsid w:val="003974EB"/>
    <w:rsid w:val="00397CC5"/>
    <w:rsid w:val="003A1582"/>
    <w:rsid w:val="003A3005"/>
    <w:rsid w:val="003A4077"/>
    <w:rsid w:val="003A479F"/>
    <w:rsid w:val="003A4DBD"/>
    <w:rsid w:val="003A77E7"/>
    <w:rsid w:val="003B03EB"/>
    <w:rsid w:val="003B09AD"/>
    <w:rsid w:val="003B1F18"/>
    <w:rsid w:val="003B5292"/>
    <w:rsid w:val="003B5BF0"/>
    <w:rsid w:val="003B60BF"/>
    <w:rsid w:val="003B6BE3"/>
    <w:rsid w:val="003B7E0B"/>
    <w:rsid w:val="003C010C"/>
    <w:rsid w:val="003C0A6C"/>
    <w:rsid w:val="003C0C62"/>
    <w:rsid w:val="003C14F8"/>
    <w:rsid w:val="003C236B"/>
    <w:rsid w:val="003C4CD3"/>
    <w:rsid w:val="003C5A43"/>
    <w:rsid w:val="003D0519"/>
    <w:rsid w:val="003D0FF6"/>
    <w:rsid w:val="003D262C"/>
    <w:rsid w:val="003D6D61"/>
    <w:rsid w:val="003D79C6"/>
    <w:rsid w:val="003E091D"/>
    <w:rsid w:val="003E1C53"/>
    <w:rsid w:val="003E20EF"/>
    <w:rsid w:val="003E2A69"/>
    <w:rsid w:val="003E2D49"/>
    <w:rsid w:val="003E2FD4"/>
    <w:rsid w:val="003E49F6"/>
    <w:rsid w:val="003E660F"/>
    <w:rsid w:val="003F0841"/>
    <w:rsid w:val="003F23D3"/>
    <w:rsid w:val="003F3F08"/>
    <w:rsid w:val="003F49F1"/>
    <w:rsid w:val="003F6272"/>
    <w:rsid w:val="00400E72"/>
    <w:rsid w:val="00401400"/>
    <w:rsid w:val="004044B3"/>
    <w:rsid w:val="00404869"/>
    <w:rsid w:val="00405884"/>
    <w:rsid w:val="00407D39"/>
    <w:rsid w:val="00412BA6"/>
    <w:rsid w:val="00412DDF"/>
    <w:rsid w:val="00414728"/>
    <w:rsid w:val="0041477A"/>
    <w:rsid w:val="004167A3"/>
    <w:rsid w:val="004236F6"/>
    <w:rsid w:val="00424F59"/>
    <w:rsid w:val="0043285D"/>
    <w:rsid w:val="00432DAA"/>
    <w:rsid w:val="00433A74"/>
    <w:rsid w:val="00434305"/>
    <w:rsid w:val="00435DF7"/>
    <w:rsid w:val="0044083F"/>
    <w:rsid w:val="00441AE7"/>
    <w:rsid w:val="00444885"/>
    <w:rsid w:val="00445574"/>
    <w:rsid w:val="004467FB"/>
    <w:rsid w:val="004524F2"/>
    <w:rsid w:val="00452D6B"/>
    <w:rsid w:val="00454484"/>
    <w:rsid w:val="004547A1"/>
    <w:rsid w:val="004550C1"/>
    <w:rsid w:val="0045517B"/>
    <w:rsid w:val="00457141"/>
    <w:rsid w:val="004614AE"/>
    <w:rsid w:val="00462837"/>
    <w:rsid w:val="00463B77"/>
    <w:rsid w:val="00463C7B"/>
    <w:rsid w:val="004644A6"/>
    <w:rsid w:val="004659BD"/>
    <w:rsid w:val="00470775"/>
    <w:rsid w:val="00470E57"/>
    <w:rsid w:val="004746B1"/>
    <w:rsid w:val="0047583F"/>
    <w:rsid w:val="00475DE8"/>
    <w:rsid w:val="00481C44"/>
    <w:rsid w:val="00484936"/>
    <w:rsid w:val="00485C89"/>
    <w:rsid w:val="00486BE3"/>
    <w:rsid w:val="004905E4"/>
    <w:rsid w:val="00490A89"/>
    <w:rsid w:val="00490AB4"/>
    <w:rsid w:val="00492F02"/>
    <w:rsid w:val="004939AE"/>
    <w:rsid w:val="00493E11"/>
    <w:rsid w:val="00497AA0"/>
    <w:rsid w:val="004A12DF"/>
    <w:rsid w:val="004A17E6"/>
    <w:rsid w:val="004A1BA8"/>
    <w:rsid w:val="004A4B57"/>
    <w:rsid w:val="004A63FA"/>
    <w:rsid w:val="004B0272"/>
    <w:rsid w:val="004B2701"/>
    <w:rsid w:val="004B2E1B"/>
    <w:rsid w:val="004B3AA8"/>
    <w:rsid w:val="004B3E93"/>
    <w:rsid w:val="004B494C"/>
    <w:rsid w:val="004C1FBC"/>
    <w:rsid w:val="004C3F1D"/>
    <w:rsid w:val="004C458D"/>
    <w:rsid w:val="004C4DF6"/>
    <w:rsid w:val="004C511A"/>
    <w:rsid w:val="004C6EFD"/>
    <w:rsid w:val="004C7556"/>
    <w:rsid w:val="004C7E8B"/>
    <w:rsid w:val="004C7E9D"/>
    <w:rsid w:val="004C7F67"/>
    <w:rsid w:val="004D076D"/>
    <w:rsid w:val="004D0D4C"/>
    <w:rsid w:val="004D0EF1"/>
    <w:rsid w:val="004D129C"/>
    <w:rsid w:val="004D2253"/>
    <w:rsid w:val="004D4406"/>
    <w:rsid w:val="004D4ADE"/>
    <w:rsid w:val="004D7C42"/>
    <w:rsid w:val="004E0465"/>
    <w:rsid w:val="004E127B"/>
    <w:rsid w:val="004E1C0A"/>
    <w:rsid w:val="004E1D67"/>
    <w:rsid w:val="004E2B06"/>
    <w:rsid w:val="004E30C5"/>
    <w:rsid w:val="004E4AA5"/>
    <w:rsid w:val="004E4AEE"/>
    <w:rsid w:val="004E59E3"/>
    <w:rsid w:val="004E67C0"/>
    <w:rsid w:val="004E67DE"/>
    <w:rsid w:val="004F391A"/>
    <w:rsid w:val="004F3CFB"/>
    <w:rsid w:val="004F6456"/>
    <w:rsid w:val="004F696E"/>
    <w:rsid w:val="004F6C71"/>
    <w:rsid w:val="00501139"/>
    <w:rsid w:val="0050139C"/>
    <w:rsid w:val="005027BD"/>
    <w:rsid w:val="0050363E"/>
    <w:rsid w:val="005039BC"/>
    <w:rsid w:val="005043BB"/>
    <w:rsid w:val="00504A3D"/>
    <w:rsid w:val="00505767"/>
    <w:rsid w:val="005062B5"/>
    <w:rsid w:val="005073F0"/>
    <w:rsid w:val="00507819"/>
    <w:rsid w:val="00510A7B"/>
    <w:rsid w:val="00512F6E"/>
    <w:rsid w:val="00513038"/>
    <w:rsid w:val="00514174"/>
    <w:rsid w:val="00516088"/>
    <w:rsid w:val="00516B0B"/>
    <w:rsid w:val="005220EC"/>
    <w:rsid w:val="00523F95"/>
    <w:rsid w:val="00524520"/>
    <w:rsid w:val="00524D65"/>
    <w:rsid w:val="00525B16"/>
    <w:rsid w:val="00530A93"/>
    <w:rsid w:val="00533D04"/>
    <w:rsid w:val="00534804"/>
    <w:rsid w:val="00534BDF"/>
    <w:rsid w:val="005354EA"/>
    <w:rsid w:val="0053585F"/>
    <w:rsid w:val="00535EC4"/>
    <w:rsid w:val="00535ED9"/>
    <w:rsid w:val="0053692B"/>
    <w:rsid w:val="005405FA"/>
    <w:rsid w:val="00540B8C"/>
    <w:rsid w:val="00541853"/>
    <w:rsid w:val="00543BDA"/>
    <w:rsid w:val="00543DE2"/>
    <w:rsid w:val="005441CC"/>
    <w:rsid w:val="005479DA"/>
    <w:rsid w:val="00547BCC"/>
    <w:rsid w:val="00547F0A"/>
    <w:rsid w:val="0055013B"/>
    <w:rsid w:val="00551F6F"/>
    <w:rsid w:val="0055361D"/>
    <w:rsid w:val="00553EAE"/>
    <w:rsid w:val="00555044"/>
    <w:rsid w:val="00557255"/>
    <w:rsid w:val="00561475"/>
    <w:rsid w:val="00562F26"/>
    <w:rsid w:val="00563AE2"/>
    <w:rsid w:val="00563CC8"/>
    <w:rsid w:val="0056487B"/>
    <w:rsid w:val="00564FB9"/>
    <w:rsid w:val="00573D9E"/>
    <w:rsid w:val="00577D74"/>
    <w:rsid w:val="00580128"/>
    <w:rsid w:val="005801E3"/>
    <w:rsid w:val="0058150D"/>
    <w:rsid w:val="00581802"/>
    <w:rsid w:val="005836A8"/>
    <w:rsid w:val="0058409C"/>
    <w:rsid w:val="00584262"/>
    <w:rsid w:val="00586630"/>
    <w:rsid w:val="00587ADD"/>
    <w:rsid w:val="00590892"/>
    <w:rsid w:val="00591E27"/>
    <w:rsid w:val="0059304B"/>
    <w:rsid w:val="0059418D"/>
    <w:rsid w:val="00596160"/>
    <w:rsid w:val="005966E2"/>
    <w:rsid w:val="00596881"/>
    <w:rsid w:val="00597007"/>
    <w:rsid w:val="005A0966"/>
    <w:rsid w:val="005A11B7"/>
    <w:rsid w:val="005A1BAB"/>
    <w:rsid w:val="005A2516"/>
    <w:rsid w:val="005A260B"/>
    <w:rsid w:val="005A4A1B"/>
    <w:rsid w:val="005A6C98"/>
    <w:rsid w:val="005A7830"/>
    <w:rsid w:val="005A787A"/>
    <w:rsid w:val="005A7EC1"/>
    <w:rsid w:val="005A7FCE"/>
    <w:rsid w:val="005B0F3F"/>
    <w:rsid w:val="005B4903"/>
    <w:rsid w:val="005B502E"/>
    <w:rsid w:val="005B51CE"/>
    <w:rsid w:val="005B5885"/>
    <w:rsid w:val="005B5CD7"/>
    <w:rsid w:val="005B6CF6"/>
    <w:rsid w:val="005B7422"/>
    <w:rsid w:val="005C1F53"/>
    <w:rsid w:val="005C29B8"/>
    <w:rsid w:val="005C3090"/>
    <w:rsid w:val="005C5F21"/>
    <w:rsid w:val="005C60E7"/>
    <w:rsid w:val="005C7156"/>
    <w:rsid w:val="005C75FA"/>
    <w:rsid w:val="005D0C75"/>
    <w:rsid w:val="005D4171"/>
    <w:rsid w:val="005D6A95"/>
    <w:rsid w:val="005D6B2C"/>
    <w:rsid w:val="005D6B53"/>
    <w:rsid w:val="005D6D9C"/>
    <w:rsid w:val="005E2335"/>
    <w:rsid w:val="005E34CA"/>
    <w:rsid w:val="005E3C18"/>
    <w:rsid w:val="005E62B1"/>
    <w:rsid w:val="005E6422"/>
    <w:rsid w:val="005E6812"/>
    <w:rsid w:val="005E7881"/>
    <w:rsid w:val="005E78E0"/>
    <w:rsid w:val="005F0D9C"/>
    <w:rsid w:val="005F284E"/>
    <w:rsid w:val="005F4712"/>
    <w:rsid w:val="006015CE"/>
    <w:rsid w:val="00601A3A"/>
    <w:rsid w:val="00604784"/>
    <w:rsid w:val="00604F7A"/>
    <w:rsid w:val="00606419"/>
    <w:rsid w:val="00607D29"/>
    <w:rsid w:val="00611989"/>
    <w:rsid w:val="00612952"/>
    <w:rsid w:val="00614CC1"/>
    <w:rsid w:val="00615A9D"/>
    <w:rsid w:val="00616466"/>
    <w:rsid w:val="00617387"/>
    <w:rsid w:val="006205D6"/>
    <w:rsid w:val="006252D8"/>
    <w:rsid w:val="006259BC"/>
    <w:rsid w:val="0062636B"/>
    <w:rsid w:val="0063033B"/>
    <w:rsid w:val="00632182"/>
    <w:rsid w:val="00632AE0"/>
    <w:rsid w:val="00633C17"/>
    <w:rsid w:val="00634D9E"/>
    <w:rsid w:val="00636E3E"/>
    <w:rsid w:val="006379F7"/>
    <w:rsid w:val="00637E4D"/>
    <w:rsid w:val="00640620"/>
    <w:rsid w:val="0064136A"/>
    <w:rsid w:val="00641A1F"/>
    <w:rsid w:val="00644830"/>
    <w:rsid w:val="00645904"/>
    <w:rsid w:val="006478EA"/>
    <w:rsid w:val="00651ACB"/>
    <w:rsid w:val="00651B49"/>
    <w:rsid w:val="00651C47"/>
    <w:rsid w:val="00652AB2"/>
    <w:rsid w:val="00653FED"/>
    <w:rsid w:val="00654EC0"/>
    <w:rsid w:val="0065525B"/>
    <w:rsid w:val="00655D4F"/>
    <w:rsid w:val="00656D29"/>
    <w:rsid w:val="00657A1F"/>
    <w:rsid w:val="0066120F"/>
    <w:rsid w:val="00663EB8"/>
    <w:rsid w:val="006640E5"/>
    <w:rsid w:val="006646F1"/>
    <w:rsid w:val="00664929"/>
    <w:rsid w:val="00664F62"/>
    <w:rsid w:val="006655E1"/>
    <w:rsid w:val="006677CC"/>
    <w:rsid w:val="00672060"/>
    <w:rsid w:val="00672BFD"/>
    <w:rsid w:val="006770F4"/>
    <w:rsid w:val="00677A84"/>
    <w:rsid w:val="0068026D"/>
    <w:rsid w:val="00680A27"/>
    <w:rsid w:val="006816A4"/>
    <w:rsid w:val="006819B8"/>
    <w:rsid w:val="00683533"/>
    <w:rsid w:val="006840A6"/>
    <w:rsid w:val="006850CD"/>
    <w:rsid w:val="00685AAB"/>
    <w:rsid w:val="006921C1"/>
    <w:rsid w:val="00694451"/>
    <w:rsid w:val="00695D22"/>
    <w:rsid w:val="00695F0E"/>
    <w:rsid w:val="006A07AA"/>
    <w:rsid w:val="006A25E5"/>
    <w:rsid w:val="006A2B46"/>
    <w:rsid w:val="006A336D"/>
    <w:rsid w:val="006A37B9"/>
    <w:rsid w:val="006A4B17"/>
    <w:rsid w:val="006B2672"/>
    <w:rsid w:val="006B33F9"/>
    <w:rsid w:val="006B54BF"/>
    <w:rsid w:val="006B5F44"/>
    <w:rsid w:val="006B5F90"/>
    <w:rsid w:val="006B62E4"/>
    <w:rsid w:val="006C1BBA"/>
    <w:rsid w:val="006C2079"/>
    <w:rsid w:val="006C5A62"/>
    <w:rsid w:val="006C5D68"/>
    <w:rsid w:val="006C6976"/>
    <w:rsid w:val="006C6DD0"/>
    <w:rsid w:val="006D04EA"/>
    <w:rsid w:val="006D0AB7"/>
    <w:rsid w:val="006D16C4"/>
    <w:rsid w:val="006D32B2"/>
    <w:rsid w:val="006D35DB"/>
    <w:rsid w:val="006D3E96"/>
    <w:rsid w:val="006D4515"/>
    <w:rsid w:val="006D48C9"/>
    <w:rsid w:val="006D4BB1"/>
    <w:rsid w:val="006D54A2"/>
    <w:rsid w:val="006D6593"/>
    <w:rsid w:val="006D774A"/>
    <w:rsid w:val="006E0564"/>
    <w:rsid w:val="006E23EA"/>
    <w:rsid w:val="006E4002"/>
    <w:rsid w:val="006E49F6"/>
    <w:rsid w:val="006E7AA7"/>
    <w:rsid w:val="006F03A8"/>
    <w:rsid w:val="006F1ED9"/>
    <w:rsid w:val="006F2ACA"/>
    <w:rsid w:val="006F2ADC"/>
    <w:rsid w:val="006F2BFE"/>
    <w:rsid w:val="006F31E9"/>
    <w:rsid w:val="006F6284"/>
    <w:rsid w:val="007002C5"/>
    <w:rsid w:val="00704387"/>
    <w:rsid w:val="00707669"/>
    <w:rsid w:val="0070777F"/>
    <w:rsid w:val="00711409"/>
    <w:rsid w:val="00711CBA"/>
    <w:rsid w:val="00711FB5"/>
    <w:rsid w:val="00712A01"/>
    <w:rsid w:val="007138ED"/>
    <w:rsid w:val="00714F58"/>
    <w:rsid w:val="0071597D"/>
    <w:rsid w:val="00715C5A"/>
    <w:rsid w:val="00722FBF"/>
    <w:rsid w:val="00722FC2"/>
    <w:rsid w:val="00724879"/>
    <w:rsid w:val="00724E1B"/>
    <w:rsid w:val="00725949"/>
    <w:rsid w:val="00727734"/>
    <w:rsid w:val="00727FA2"/>
    <w:rsid w:val="00732062"/>
    <w:rsid w:val="007322D9"/>
    <w:rsid w:val="00732BC0"/>
    <w:rsid w:val="0073720F"/>
    <w:rsid w:val="00737796"/>
    <w:rsid w:val="0074165C"/>
    <w:rsid w:val="00742C35"/>
    <w:rsid w:val="007432CA"/>
    <w:rsid w:val="007439EB"/>
    <w:rsid w:val="00743A56"/>
    <w:rsid w:val="00743CB4"/>
    <w:rsid w:val="00743F0A"/>
    <w:rsid w:val="007444E8"/>
    <w:rsid w:val="0074548E"/>
    <w:rsid w:val="00745773"/>
    <w:rsid w:val="00746800"/>
    <w:rsid w:val="00747CC8"/>
    <w:rsid w:val="007501A8"/>
    <w:rsid w:val="00750D61"/>
    <w:rsid w:val="00750EE1"/>
    <w:rsid w:val="00752B4D"/>
    <w:rsid w:val="00755402"/>
    <w:rsid w:val="00756B26"/>
    <w:rsid w:val="00756EDF"/>
    <w:rsid w:val="007578DD"/>
    <w:rsid w:val="007600E3"/>
    <w:rsid w:val="00761398"/>
    <w:rsid w:val="007650E2"/>
    <w:rsid w:val="00765C43"/>
    <w:rsid w:val="00765EFB"/>
    <w:rsid w:val="007671CA"/>
    <w:rsid w:val="00767C61"/>
    <w:rsid w:val="0077008A"/>
    <w:rsid w:val="00770623"/>
    <w:rsid w:val="00773C1F"/>
    <w:rsid w:val="007740F5"/>
    <w:rsid w:val="007749B2"/>
    <w:rsid w:val="00774DA4"/>
    <w:rsid w:val="00776599"/>
    <w:rsid w:val="0078114B"/>
    <w:rsid w:val="00781DD2"/>
    <w:rsid w:val="00783ECF"/>
    <w:rsid w:val="0078413A"/>
    <w:rsid w:val="00784440"/>
    <w:rsid w:val="007946EC"/>
    <w:rsid w:val="007959E8"/>
    <w:rsid w:val="00795E9C"/>
    <w:rsid w:val="007A0521"/>
    <w:rsid w:val="007A0800"/>
    <w:rsid w:val="007A2E12"/>
    <w:rsid w:val="007A3475"/>
    <w:rsid w:val="007A41C8"/>
    <w:rsid w:val="007A54CE"/>
    <w:rsid w:val="007A6239"/>
    <w:rsid w:val="007A6FD9"/>
    <w:rsid w:val="007A7FFA"/>
    <w:rsid w:val="007B04EB"/>
    <w:rsid w:val="007B0D4F"/>
    <w:rsid w:val="007B27BF"/>
    <w:rsid w:val="007B5A3D"/>
    <w:rsid w:val="007B5B95"/>
    <w:rsid w:val="007B5F88"/>
    <w:rsid w:val="007B68EA"/>
    <w:rsid w:val="007B7453"/>
    <w:rsid w:val="007B79BB"/>
    <w:rsid w:val="007B7E2C"/>
    <w:rsid w:val="007C1E8B"/>
    <w:rsid w:val="007C2074"/>
    <w:rsid w:val="007C2BC6"/>
    <w:rsid w:val="007C2D89"/>
    <w:rsid w:val="007C4593"/>
    <w:rsid w:val="007C5309"/>
    <w:rsid w:val="007C6069"/>
    <w:rsid w:val="007C6E66"/>
    <w:rsid w:val="007C7058"/>
    <w:rsid w:val="007D06C4"/>
    <w:rsid w:val="007D07E6"/>
    <w:rsid w:val="007D1352"/>
    <w:rsid w:val="007D2508"/>
    <w:rsid w:val="007D346A"/>
    <w:rsid w:val="007D37F3"/>
    <w:rsid w:val="007D6518"/>
    <w:rsid w:val="007D76BD"/>
    <w:rsid w:val="007D7CBD"/>
    <w:rsid w:val="007E0BF1"/>
    <w:rsid w:val="007F0876"/>
    <w:rsid w:val="007F0ED8"/>
    <w:rsid w:val="007F0F63"/>
    <w:rsid w:val="007F19CE"/>
    <w:rsid w:val="007F75CE"/>
    <w:rsid w:val="008013A4"/>
    <w:rsid w:val="008027CE"/>
    <w:rsid w:val="00802F42"/>
    <w:rsid w:val="00804383"/>
    <w:rsid w:val="00804BB7"/>
    <w:rsid w:val="00804D41"/>
    <w:rsid w:val="00807386"/>
    <w:rsid w:val="00807C56"/>
    <w:rsid w:val="00810257"/>
    <w:rsid w:val="008104F5"/>
    <w:rsid w:val="00811072"/>
    <w:rsid w:val="00811369"/>
    <w:rsid w:val="008115B8"/>
    <w:rsid w:val="008126EE"/>
    <w:rsid w:val="008149D7"/>
    <w:rsid w:val="00815419"/>
    <w:rsid w:val="008163C8"/>
    <w:rsid w:val="008164A1"/>
    <w:rsid w:val="00817325"/>
    <w:rsid w:val="008202B0"/>
    <w:rsid w:val="008209E6"/>
    <w:rsid w:val="00823303"/>
    <w:rsid w:val="008233B2"/>
    <w:rsid w:val="00823542"/>
    <w:rsid w:val="00823A9F"/>
    <w:rsid w:val="00823C85"/>
    <w:rsid w:val="00823EDB"/>
    <w:rsid w:val="00825138"/>
    <w:rsid w:val="008269DD"/>
    <w:rsid w:val="00826D58"/>
    <w:rsid w:val="00830621"/>
    <w:rsid w:val="00830B87"/>
    <w:rsid w:val="0083128D"/>
    <w:rsid w:val="0083348C"/>
    <w:rsid w:val="008373D3"/>
    <w:rsid w:val="00840617"/>
    <w:rsid w:val="00840F84"/>
    <w:rsid w:val="00842A47"/>
    <w:rsid w:val="00842B87"/>
    <w:rsid w:val="00843C13"/>
    <w:rsid w:val="008454F8"/>
    <w:rsid w:val="00850FB2"/>
    <w:rsid w:val="0085173A"/>
    <w:rsid w:val="00856316"/>
    <w:rsid w:val="00856C43"/>
    <w:rsid w:val="008603CE"/>
    <w:rsid w:val="00860B47"/>
    <w:rsid w:val="008620FC"/>
    <w:rsid w:val="008627A5"/>
    <w:rsid w:val="00863E05"/>
    <w:rsid w:val="00865ACA"/>
    <w:rsid w:val="00865D28"/>
    <w:rsid w:val="00865F85"/>
    <w:rsid w:val="00867C10"/>
    <w:rsid w:val="00870439"/>
    <w:rsid w:val="00870DA1"/>
    <w:rsid w:val="00874641"/>
    <w:rsid w:val="00883F93"/>
    <w:rsid w:val="00884595"/>
    <w:rsid w:val="00884DB3"/>
    <w:rsid w:val="00885A9D"/>
    <w:rsid w:val="008864F6"/>
    <w:rsid w:val="00886659"/>
    <w:rsid w:val="00886973"/>
    <w:rsid w:val="0089049D"/>
    <w:rsid w:val="008923D8"/>
    <w:rsid w:val="008928C9"/>
    <w:rsid w:val="008930CB"/>
    <w:rsid w:val="008938DC"/>
    <w:rsid w:val="00893FD1"/>
    <w:rsid w:val="00894836"/>
    <w:rsid w:val="00895172"/>
    <w:rsid w:val="00895680"/>
    <w:rsid w:val="00896DFF"/>
    <w:rsid w:val="00896E33"/>
    <w:rsid w:val="0089762C"/>
    <w:rsid w:val="008A1893"/>
    <w:rsid w:val="008A3215"/>
    <w:rsid w:val="008A57E6"/>
    <w:rsid w:val="008A6F81"/>
    <w:rsid w:val="008A769A"/>
    <w:rsid w:val="008B0C9C"/>
    <w:rsid w:val="008B1079"/>
    <w:rsid w:val="008B166D"/>
    <w:rsid w:val="008B17F4"/>
    <w:rsid w:val="008B3615"/>
    <w:rsid w:val="008B3E83"/>
    <w:rsid w:val="008B4AC4"/>
    <w:rsid w:val="008B50C8"/>
    <w:rsid w:val="008B5281"/>
    <w:rsid w:val="008B6CBA"/>
    <w:rsid w:val="008B7E05"/>
    <w:rsid w:val="008C0797"/>
    <w:rsid w:val="008C1797"/>
    <w:rsid w:val="008C219C"/>
    <w:rsid w:val="008C475E"/>
    <w:rsid w:val="008C4A10"/>
    <w:rsid w:val="008C619A"/>
    <w:rsid w:val="008D0CE8"/>
    <w:rsid w:val="008D2D1D"/>
    <w:rsid w:val="008D453D"/>
    <w:rsid w:val="008D4F79"/>
    <w:rsid w:val="008D53AD"/>
    <w:rsid w:val="008D562B"/>
    <w:rsid w:val="008D5733"/>
    <w:rsid w:val="008D622B"/>
    <w:rsid w:val="008D666C"/>
    <w:rsid w:val="008D7B54"/>
    <w:rsid w:val="008E0C9D"/>
    <w:rsid w:val="008E1648"/>
    <w:rsid w:val="008E1B3E"/>
    <w:rsid w:val="008E2319"/>
    <w:rsid w:val="008E44B8"/>
    <w:rsid w:val="008E4BB6"/>
    <w:rsid w:val="008E5518"/>
    <w:rsid w:val="008E5E42"/>
    <w:rsid w:val="008E6A84"/>
    <w:rsid w:val="008F0CDC"/>
    <w:rsid w:val="008F17A3"/>
    <w:rsid w:val="008F1ED3"/>
    <w:rsid w:val="008F23A5"/>
    <w:rsid w:val="008F31A0"/>
    <w:rsid w:val="008F4C29"/>
    <w:rsid w:val="008F70BD"/>
    <w:rsid w:val="008F788F"/>
    <w:rsid w:val="008F7EA2"/>
    <w:rsid w:val="009007BE"/>
    <w:rsid w:val="00902722"/>
    <w:rsid w:val="009027BC"/>
    <w:rsid w:val="00904CD8"/>
    <w:rsid w:val="009056A5"/>
    <w:rsid w:val="009062E6"/>
    <w:rsid w:val="00911BE5"/>
    <w:rsid w:val="00913CA9"/>
    <w:rsid w:val="009145AE"/>
    <w:rsid w:val="009146CE"/>
    <w:rsid w:val="00914CA7"/>
    <w:rsid w:val="00915C3E"/>
    <w:rsid w:val="009161A8"/>
    <w:rsid w:val="0092116C"/>
    <w:rsid w:val="009245F5"/>
    <w:rsid w:val="009249EC"/>
    <w:rsid w:val="00924B4E"/>
    <w:rsid w:val="00925BC8"/>
    <w:rsid w:val="009273B3"/>
    <w:rsid w:val="009305B5"/>
    <w:rsid w:val="00932A48"/>
    <w:rsid w:val="00934426"/>
    <w:rsid w:val="00940436"/>
    <w:rsid w:val="009429D5"/>
    <w:rsid w:val="00942BF1"/>
    <w:rsid w:val="00943628"/>
    <w:rsid w:val="00945180"/>
    <w:rsid w:val="00945428"/>
    <w:rsid w:val="0094607B"/>
    <w:rsid w:val="009471CE"/>
    <w:rsid w:val="009500B0"/>
    <w:rsid w:val="00953604"/>
    <w:rsid w:val="0095496B"/>
    <w:rsid w:val="009610DC"/>
    <w:rsid w:val="00961490"/>
    <w:rsid w:val="0096381A"/>
    <w:rsid w:val="00965E04"/>
    <w:rsid w:val="00966283"/>
    <w:rsid w:val="009674AD"/>
    <w:rsid w:val="00967692"/>
    <w:rsid w:val="00970CDC"/>
    <w:rsid w:val="00974576"/>
    <w:rsid w:val="00977010"/>
    <w:rsid w:val="00977D02"/>
    <w:rsid w:val="009809BB"/>
    <w:rsid w:val="0098177C"/>
    <w:rsid w:val="0098364B"/>
    <w:rsid w:val="009851F6"/>
    <w:rsid w:val="00990662"/>
    <w:rsid w:val="009911AF"/>
    <w:rsid w:val="00991875"/>
    <w:rsid w:val="009919C7"/>
    <w:rsid w:val="00991F92"/>
    <w:rsid w:val="00992985"/>
    <w:rsid w:val="00993889"/>
    <w:rsid w:val="009954C5"/>
    <w:rsid w:val="0099551B"/>
    <w:rsid w:val="0099649E"/>
    <w:rsid w:val="00997BF1"/>
    <w:rsid w:val="009A0681"/>
    <w:rsid w:val="009A089C"/>
    <w:rsid w:val="009A0BC0"/>
    <w:rsid w:val="009A118E"/>
    <w:rsid w:val="009A21CD"/>
    <w:rsid w:val="009A2554"/>
    <w:rsid w:val="009A278C"/>
    <w:rsid w:val="009A2BC2"/>
    <w:rsid w:val="009A35C1"/>
    <w:rsid w:val="009A42C1"/>
    <w:rsid w:val="009A5429"/>
    <w:rsid w:val="009A72AD"/>
    <w:rsid w:val="009B09E0"/>
    <w:rsid w:val="009B0BC5"/>
    <w:rsid w:val="009B1247"/>
    <w:rsid w:val="009B46F9"/>
    <w:rsid w:val="009B58C0"/>
    <w:rsid w:val="009B5A94"/>
    <w:rsid w:val="009B6029"/>
    <w:rsid w:val="009B6971"/>
    <w:rsid w:val="009C27F1"/>
    <w:rsid w:val="009C3152"/>
    <w:rsid w:val="009C4CFA"/>
    <w:rsid w:val="009C5070"/>
    <w:rsid w:val="009D112C"/>
    <w:rsid w:val="009D2CE1"/>
    <w:rsid w:val="009D47FA"/>
    <w:rsid w:val="009D4C5B"/>
    <w:rsid w:val="009D50D2"/>
    <w:rsid w:val="009D6BCA"/>
    <w:rsid w:val="009E093B"/>
    <w:rsid w:val="009E0F62"/>
    <w:rsid w:val="009E29B9"/>
    <w:rsid w:val="009E4A58"/>
    <w:rsid w:val="009E5A2D"/>
    <w:rsid w:val="009E5AB2"/>
    <w:rsid w:val="009E6219"/>
    <w:rsid w:val="009E6DB0"/>
    <w:rsid w:val="009F03B3"/>
    <w:rsid w:val="009F077F"/>
    <w:rsid w:val="009F2AAD"/>
    <w:rsid w:val="00A007CD"/>
    <w:rsid w:val="00A0096C"/>
    <w:rsid w:val="00A01757"/>
    <w:rsid w:val="00A028C0"/>
    <w:rsid w:val="00A02BAE"/>
    <w:rsid w:val="00A06A6B"/>
    <w:rsid w:val="00A07E47"/>
    <w:rsid w:val="00A129D0"/>
    <w:rsid w:val="00A12C33"/>
    <w:rsid w:val="00A138BA"/>
    <w:rsid w:val="00A14C8E"/>
    <w:rsid w:val="00A153D9"/>
    <w:rsid w:val="00A15F09"/>
    <w:rsid w:val="00A169B6"/>
    <w:rsid w:val="00A2019C"/>
    <w:rsid w:val="00A2271D"/>
    <w:rsid w:val="00A2276D"/>
    <w:rsid w:val="00A237D5"/>
    <w:rsid w:val="00A23E1C"/>
    <w:rsid w:val="00A30A80"/>
    <w:rsid w:val="00A30EFC"/>
    <w:rsid w:val="00A31984"/>
    <w:rsid w:val="00A32D73"/>
    <w:rsid w:val="00A3367B"/>
    <w:rsid w:val="00A3597D"/>
    <w:rsid w:val="00A36DD1"/>
    <w:rsid w:val="00A37FAF"/>
    <w:rsid w:val="00A4006C"/>
    <w:rsid w:val="00A40091"/>
    <w:rsid w:val="00A4030F"/>
    <w:rsid w:val="00A407F4"/>
    <w:rsid w:val="00A41314"/>
    <w:rsid w:val="00A415A7"/>
    <w:rsid w:val="00A41C79"/>
    <w:rsid w:val="00A41CB5"/>
    <w:rsid w:val="00A42CDF"/>
    <w:rsid w:val="00A4452E"/>
    <w:rsid w:val="00A4472C"/>
    <w:rsid w:val="00A44E69"/>
    <w:rsid w:val="00A4661E"/>
    <w:rsid w:val="00A50BE2"/>
    <w:rsid w:val="00A53835"/>
    <w:rsid w:val="00A53F1C"/>
    <w:rsid w:val="00A55BD6"/>
    <w:rsid w:val="00A55D50"/>
    <w:rsid w:val="00A57142"/>
    <w:rsid w:val="00A636A6"/>
    <w:rsid w:val="00A648CD"/>
    <w:rsid w:val="00A6537A"/>
    <w:rsid w:val="00A65A76"/>
    <w:rsid w:val="00A67866"/>
    <w:rsid w:val="00A67E6F"/>
    <w:rsid w:val="00A70B07"/>
    <w:rsid w:val="00A723F8"/>
    <w:rsid w:val="00A756FD"/>
    <w:rsid w:val="00A77CCB"/>
    <w:rsid w:val="00A80557"/>
    <w:rsid w:val="00A80AEC"/>
    <w:rsid w:val="00A83D8D"/>
    <w:rsid w:val="00A8446B"/>
    <w:rsid w:val="00A8473F"/>
    <w:rsid w:val="00A862D6"/>
    <w:rsid w:val="00A8715E"/>
    <w:rsid w:val="00A921A2"/>
    <w:rsid w:val="00A9279F"/>
    <w:rsid w:val="00A9295B"/>
    <w:rsid w:val="00A93B09"/>
    <w:rsid w:val="00A94247"/>
    <w:rsid w:val="00A94D02"/>
    <w:rsid w:val="00A952D7"/>
    <w:rsid w:val="00A963F7"/>
    <w:rsid w:val="00A96547"/>
    <w:rsid w:val="00A96AD8"/>
    <w:rsid w:val="00A978A9"/>
    <w:rsid w:val="00AA052C"/>
    <w:rsid w:val="00AA19A3"/>
    <w:rsid w:val="00AA1E45"/>
    <w:rsid w:val="00AA4286"/>
    <w:rsid w:val="00AA456B"/>
    <w:rsid w:val="00AA57F5"/>
    <w:rsid w:val="00AA672E"/>
    <w:rsid w:val="00AA6EC9"/>
    <w:rsid w:val="00AB177D"/>
    <w:rsid w:val="00AB41D5"/>
    <w:rsid w:val="00AB6309"/>
    <w:rsid w:val="00AB6C5F"/>
    <w:rsid w:val="00AB7129"/>
    <w:rsid w:val="00AC024B"/>
    <w:rsid w:val="00AC27A6"/>
    <w:rsid w:val="00AC30F7"/>
    <w:rsid w:val="00AC3A5A"/>
    <w:rsid w:val="00AC3E17"/>
    <w:rsid w:val="00AC4D95"/>
    <w:rsid w:val="00AC5DF4"/>
    <w:rsid w:val="00AC69BB"/>
    <w:rsid w:val="00AC7FE8"/>
    <w:rsid w:val="00AD084C"/>
    <w:rsid w:val="00AD0AEF"/>
    <w:rsid w:val="00AD11B7"/>
    <w:rsid w:val="00AD1A94"/>
    <w:rsid w:val="00AD1C05"/>
    <w:rsid w:val="00AD4126"/>
    <w:rsid w:val="00AD421C"/>
    <w:rsid w:val="00AD44FA"/>
    <w:rsid w:val="00AD4BDA"/>
    <w:rsid w:val="00AE070A"/>
    <w:rsid w:val="00AE101C"/>
    <w:rsid w:val="00AE37E5"/>
    <w:rsid w:val="00AE5E84"/>
    <w:rsid w:val="00AE5EB4"/>
    <w:rsid w:val="00AF0261"/>
    <w:rsid w:val="00AF0C18"/>
    <w:rsid w:val="00AF47C5"/>
    <w:rsid w:val="00AF5398"/>
    <w:rsid w:val="00AF5C09"/>
    <w:rsid w:val="00B012CA"/>
    <w:rsid w:val="00B049AF"/>
    <w:rsid w:val="00B07242"/>
    <w:rsid w:val="00B10534"/>
    <w:rsid w:val="00B113DB"/>
    <w:rsid w:val="00B11D8A"/>
    <w:rsid w:val="00B12169"/>
    <w:rsid w:val="00B12981"/>
    <w:rsid w:val="00B1387A"/>
    <w:rsid w:val="00B147DD"/>
    <w:rsid w:val="00B156FD"/>
    <w:rsid w:val="00B21F61"/>
    <w:rsid w:val="00B261F1"/>
    <w:rsid w:val="00B265BC"/>
    <w:rsid w:val="00B2696D"/>
    <w:rsid w:val="00B31FB1"/>
    <w:rsid w:val="00B33952"/>
    <w:rsid w:val="00B33C5E"/>
    <w:rsid w:val="00B342F4"/>
    <w:rsid w:val="00B34369"/>
    <w:rsid w:val="00B34DC2"/>
    <w:rsid w:val="00B37344"/>
    <w:rsid w:val="00B378E5"/>
    <w:rsid w:val="00B40733"/>
    <w:rsid w:val="00B4346D"/>
    <w:rsid w:val="00B440F4"/>
    <w:rsid w:val="00B447A5"/>
    <w:rsid w:val="00B4654C"/>
    <w:rsid w:val="00B46AF0"/>
    <w:rsid w:val="00B47293"/>
    <w:rsid w:val="00B50E50"/>
    <w:rsid w:val="00B52120"/>
    <w:rsid w:val="00B53220"/>
    <w:rsid w:val="00B54258"/>
    <w:rsid w:val="00B54ABC"/>
    <w:rsid w:val="00B54DDE"/>
    <w:rsid w:val="00B55555"/>
    <w:rsid w:val="00B56633"/>
    <w:rsid w:val="00B56FBE"/>
    <w:rsid w:val="00B5787B"/>
    <w:rsid w:val="00B579EF"/>
    <w:rsid w:val="00B60ACF"/>
    <w:rsid w:val="00B62B58"/>
    <w:rsid w:val="00B65149"/>
    <w:rsid w:val="00B66567"/>
    <w:rsid w:val="00B66A21"/>
    <w:rsid w:val="00B66F52"/>
    <w:rsid w:val="00B66FE5"/>
    <w:rsid w:val="00B72880"/>
    <w:rsid w:val="00B758BF"/>
    <w:rsid w:val="00B75996"/>
    <w:rsid w:val="00B77B67"/>
    <w:rsid w:val="00B77EC8"/>
    <w:rsid w:val="00B810A3"/>
    <w:rsid w:val="00B81FC0"/>
    <w:rsid w:val="00B826F4"/>
    <w:rsid w:val="00B827A6"/>
    <w:rsid w:val="00B82820"/>
    <w:rsid w:val="00B831CE"/>
    <w:rsid w:val="00B86677"/>
    <w:rsid w:val="00B87131"/>
    <w:rsid w:val="00B92F4A"/>
    <w:rsid w:val="00B939B1"/>
    <w:rsid w:val="00B95E68"/>
    <w:rsid w:val="00B96D40"/>
    <w:rsid w:val="00B97386"/>
    <w:rsid w:val="00BA263B"/>
    <w:rsid w:val="00BA42B2"/>
    <w:rsid w:val="00BA58D4"/>
    <w:rsid w:val="00BA5B9E"/>
    <w:rsid w:val="00BA7C9A"/>
    <w:rsid w:val="00BB203B"/>
    <w:rsid w:val="00BB32C0"/>
    <w:rsid w:val="00BB4966"/>
    <w:rsid w:val="00BB57B0"/>
    <w:rsid w:val="00BB5F8F"/>
    <w:rsid w:val="00BB657A"/>
    <w:rsid w:val="00BC1A4E"/>
    <w:rsid w:val="00BC4790"/>
    <w:rsid w:val="00BC55CD"/>
    <w:rsid w:val="00BC5DC7"/>
    <w:rsid w:val="00BC67AD"/>
    <w:rsid w:val="00BC6B8B"/>
    <w:rsid w:val="00BC73D8"/>
    <w:rsid w:val="00BC775F"/>
    <w:rsid w:val="00BD52D7"/>
    <w:rsid w:val="00BD5AD2"/>
    <w:rsid w:val="00BE0C38"/>
    <w:rsid w:val="00BE22F3"/>
    <w:rsid w:val="00BE49CF"/>
    <w:rsid w:val="00BE5B52"/>
    <w:rsid w:val="00BE7B8D"/>
    <w:rsid w:val="00BF0993"/>
    <w:rsid w:val="00BF10A9"/>
    <w:rsid w:val="00BF1703"/>
    <w:rsid w:val="00BF231C"/>
    <w:rsid w:val="00BF2E56"/>
    <w:rsid w:val="00BF3688"/>
    <w:rsid w:val="00BF51E5"/>
    <w:rsid w:val="00BF74A6"/>
    <w:rsid w:val="00C013AD"/>
    <w:rsid w:val="00C01DD2"/>
    <w:rsid w:val="00C02B69"/>
    <w:rsid w:val="00C04904"/>
    <w:rsid w:val="00C056B3"/>
    <w:rsid w:val="00C070DB"/>
    <w:rsid w:val="00C103E5"/>
    <w:rsid w:val="00C13319"/>
    <w:rsid w:val="00C13EE9"/>
    <w:rsid w:val="00C178BF"/>
    <w:rsid w:val="00C21540"/>
    <w:rsid w:val="00C21906"/>
    <w:rsid w:val="00C21BFA"/>
    <w:rsid w:val="00C22148"/>
    <w:rsid w:val="00C228F9"/>
    <w:rsid w:val="00C24C8D"/>
    <w:rsid w:val="00C25FE2"/>
    <w:rsid w:val="00C26B53"/>
    <w:rsid w:val="00C26E55"/>
    <w:rsid w:val="00C279B2"/>
    <w:rsid w:val="00C30435"/>
    <w:rsid w:val="00C33D06"/>
    <w:rsid w:val="00C33E50"/>
    <w:rsid w:val="00C34C20"/>
    <w:rsid w:val="00C3579E"/>
    <w:rsid w:val="00C35A3E"/>
    <w:rsid w:val="00C42130"/>
    <w:rsid w:val="00C423A4"/>
    <w:rsid w:val="00C42B50"/>
    <w:rsid w:val="00C43EB3"/>
    <w:rsid w:val="00C44BF5"/>
    <w:rsid w:val="00C46CFD"/>
    <w:rsid w:val="00C51EC0"/>
    <w:rsid w:val="00C521D6"/>
    <w:rsid w:val="00C524B8"/>
    <w:rsid w:val="00C55232"/>
    <w:rsid w:val="00C552F8"/>
    <w:rsid w:val="00C553A4"/>
    <w:rsid w:val="00C55A06"/>
    <w:rsid w:val="00C55D03"/>
    <w:rsid w:val="00C601BC"/>
    <w:rsid w:val="00C6329F"/>
    <w:rsid w:val="00C63340"/>
    <w:rsid w:val="00C643F9"/>
    <w:rsid w:val="00C64E95"/>
    <w:rsid w:val="00C65A77"/>
    <w:rsid w:val="00C71372"/>
    <w:rsid w:val="00C72410"/>
    <w:rsid w:val="00C7287F"/>
    <w:rsid w:val="00C73B08"/>
    <w:rsid w:val="00C80CB8"/>
    <w:rsid w:val="00C813E7"/>
    <w:rsid w:val="00C819F8"/>
    <w:rsid w:val="00C8248C"/>
    <w:rsid w:val="00C84433"/>
    <w:rsid w:val="00C84E33"/>
    <w:rsid w:val="00C84E8D"/>
    <w:rsid w:val="00C86D6F"/>
    <w:rsid w:val="00C90155"/>
    <w:rsid w:val="00C905FC"/>
    <w:rsid w:val="00C92D03"/>
    <w:rsid w:val="00C9319C"/>
    <w:rsid w:val="00C931DC"/>
    <w:rsid w:val="00C933BA"/>
    <w:rsid w:val="00C9435D"/>
    <w:rsid w:val="00C94DF2"/>
    <w:rsid w:val="00C96741"/>
    <w:rsid w:val="00CA0E4D"/>
    <w:rsid w:val="00CA1214"/>
    <w:rsid w:val="00CA2D1B"/>
    <w:rsid w:val="00CA2D32"/>
    <w:rsid w:val="00CA375D"/>
    <w:rsid w:val="00CA4764"/>
    <w:rsid w:val="00CA5C20"/>
    <w:rsid w:val="00CA662A"/>
    <w:rsid w:val="00CA7AFD"/>
    <w:rsid w:val="00CA7C3C"/>
    <w:rsid w:val="00CB0189"/>
    <w:rsid w:val="00CB0BA2"/>
    <w:rsid w:val="00CB1A42"/>
    <w:rsid w:val="00CB1B0C"/>
    <w:rsid w:val="00CB20C8"/>
    <w:rsid w:val="00CB2C0B"/>
    <w:rsid w:val="00CB517D"/>
    <w:rsid w:val="00CB78F4"/>
    <w:rsid w:val="00CC038D"/>
    <w:rsid w:val="00CC08DB"/>
    <w:rsid w:val="00CC2D57"/>
    <w:rsid w:val="00CC39FF"/>
    <w:rsid w:val="00CC3C2F"/>
    <w:rsid w:val="00CC4AC8"/>
    <w:rsid w:val="00CC5233"/>
    <w:rsid w:val="00CC5DE6"/>
    <w:rsid w:val="00CC6E4E"/>
    <w:rsid w:val="00CC6FE8"/>
    <w:rsid w:val="00CC7202"/>
    <w:rsid w:val="00CD2765"/>
    <w:rsid w:val="00CD2808"/>
    <w:rsid w:val="00CD28BF"/>
    <w:rsid w:val="00CD4092"/>
    <w:rsid w:val="00CD4A20"/>
    <w:rsid w:val="00CD4EFE"/>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728"/>
    <w:rsid w:val="00D07A16"/>
    <w:rsid w:val="00D1067E"/>
    <w:rsid w:val="00D10F50"/>
    <w:rsid w:val="00D11272"/>
    <w:rsid w:val="00D126F5"/>
    <w:rsid w:val="00D1489E"/>
    <w:rsid w:val="00D20737"/>
    <w:rsid w:val="00D21760"/>
    <w:rsid w:val="00D21E81"/>
    <w:rsid w:val="00D223DE"/>
    <w:rsid w:val="00D22E8C"/>
    <w:rsid w:val="00D250A7"/>
    <w:rsid w:val="00D25E37"/>
    <w:rsid w:val="00D2661A"/>
    <w:rsid w:val="00D27582"/>
    <w:rsid w:val="00D27EC4"/>
    <w:rsid w:val="00D32719"/>
    <w:rsid w:val="00D33333"/>
    <w:rsid w:val="00D33457"/>
    <w:rsid w:val="00D352A2"/>
    <w:rsid w:val="00D4162B"/>
    <w:rsid w:val="00D44929"/>
    <w:rsid w:val="00D4514F"/>
    <w:rsid w:val="00D451E2"/>
    <w:rsid w:val="00D45E89"/>
    <w:rsid w:val="00D45E8D"/>
    <w:rsid w:val="00D466A1"/>
    <w:rsid w:val="00D466AE"/>
    <w:rsid w:val="00D4734F"/>
    <w:rsid w:val="00D5157C"/>
    <w:rsid w:val="00D51BF3"/>
    <w:rsid w:val="00D539BA"/>
    <w:rsid w:val="00D578D5"/>
    <w:rsid w:val="00D63566"/>
    <w:rsid w:val="00D65FA4"/>
    <w:rsid w:val="00D66846"/>
    <w:rsid w:val="00D675FB"/>
    <w:rsid w:val="00D7063B"/>
    <w:rsid w:val="00D71B05"/>
    <w:rsid w:val="00D71F25"/>
    <w:rsid w:val="00D72A9C"/>
    <w:rsid w:val="00D76D20"/>
    <w:rsid w:val="00D77031"/>
    <w:rsid w:val="00D80B00"/>
    <w:rsid w:val="00D82681"/>
    <w:rsid w:val="00D8481B"/>
    <w:rsid w:val="00D84941"/>
    <w:rsid w:val="00D84FA1"/>
    <w:rsid w:val="00D851F0"/>
    <w:rsid w:val="00D861FD"/>
    <w:rsid w:val="00D86DB7"/>
    <w:rsid w:val="00D921FF"/>
    <w:rsid w:val="00D926D0"/>
    <w:rsid w:val="00D93030"/>
    <w:rsid w:val="00D939E0"/>
    <w:rsid w:val="00D945CA"/>
    <w:rsid w:val="00D950E1"/>
    <w:rsid w:val="00D952A6"/>
    <w:rsid w:val="00D96BFF"/>
    <w:rsid w:val="00D97F99"/>
    <w:rsid w:val="00DA1E08"/>
    <w:rsid w:val="00DA24F8"/>
    <w:rsid w:val="00DA28E8"/>
    <w:rsid w:val="00DA38D3"/>
    <w:rsid w:val="00DA3932"/>
    <w:rsid w:val="00DA3AFC"/>
    <w:rsid w:val="00DA46DB"/>
    <w:rsid w:val="00DA5191"/>
    <w:rsid w:val="00DA5B32"/>
    <w:rsid w:val="00DA64F8"/>
    <w:rsid w:val="00DA6C15"/>
    <w:rsid w:val="00DB0258"/>
    <w:rsid w:val="00DB38EE"/>
    <w:rsid w:val="00DB498B"/>
    <w:rsid w:val="00DB66CA"/>
    <w:rsid w:val="00DB6BCA"/>
    <w:rsid w:val="00DB73F7"/>
    <w:rsid w:val="00DB76F8"/>
    <w:rsid w:val="00DC0321"/>
    <w:rsid w:val="00DC1811"/>
    <w:rsid w:val="00DC3067"/>
    <w:rsid w:val="00DC370B"/>
    <w:rsid w:val="00DC5B90"/>
    <w:rsid w:val="00DC5CDF"/>
    <w:rsid w:val="00DD00FF"/>
    <w:rsid w:val="00DD0619"/>
    <w:rsid w:val="00DD07FB"/>
    <w:rsid w:val="00DD25C6"/>
    <w:rsid w:val="00DD4FE5"/>
    <w:rsid w:val="00DD54B0"/>
    <w:rsid w:val="00DD57EE"/>
    <w:rsid w:val="00DD601E"/>
    <w:rsid w:val="00DD6BCC"/>
    <w:rsid w:val="00DE0261"/>
    <w:rsid w:val="00DE0A4B"/>
    <w:rsid w:val="00DE2410"/>
    <w:rsid w:val="00DE2939"/>
    <w:rsid w:val="00DE4352"/>
    <w:rsid w:val="00DE6E81"/>
    <w:rsid w:val="00DE703F"/>
    <w:rsid w:val="00DE7595"/>
    <w:rsid w:val="00DF1961"/>
    <w:rsid w:val="00DF2911"/>
    <w:rsid w:val="00DF44DE"/>
    <w:rsid w:val="00DF5F11"/>
    <w:rsid w:val="00E01138"/>
    <w:rsid w:val="00E02DFB"/>
    <w:rsid w:val="00E030F9"/>
    <w:rsid w:val="00E0311A"/>
    <w:rsid w:val="00E03138"/>
    <w:rsid w:val="00E04D87"/>
    <w:rsid w:val="00E06404"/>
    <w:rsid w:val="00E065D2"/>
    <w:rsid w:val="00E10C2B"/>
    <w:rsid w:val="00E11A85"/>
    <w:rsid w:val="00E12495"/>
    <w:rsid w:val="00E15CCD"/>
    <w:rsid w:val="00E17D31"/>
    <w:rsid w:val="00E202EF"/>
    <w:rsid w:val="00E210B5"/>
    <w:rsid w:val="00E23D99"/>
    <w:rsid w:val="00E2552F"/>
    <w:rsid w:val="00E25CD2"/>
    <w:rsid w:val="00E27982"/>
    <w:rsid w:val="00E3137A"/>
    <w:rsid w:val="00E321C8"/>
    <w:rsid w:val="00E32CCF"/>
    <w:rsid w:val="00E33D74"/>
    <w:rsid w:val="00E3467C"/>
    <w:rsid w:val="00E34A98"/>
    <w:rsid w:val="00E35D1E"/>
    <w:rsid w:val="00E364F9"/>
    <w:rsid w:val="00E365FA"/>
    <w:rsid w:val="00E36789"/>
    <w:rsid w:val="00E37DA4"/>
    <w:rsid w:val="00E44A83"/>
    <w:rsid w:val="00E502C1"/>
    <w:rsid w:val="00E502DD"/>
    <w:rsid w:val="00E50D3A"/>
    <w:rsid w:val="00E51387"/>
    <w:rsid w:val="00E51E68"/>
    <w:rsid w:val="00E52EFD"/>
    <w:rsid w:val="00E5408A"/>
    <w:rsid w:val="00E56800"/>
    <w:rsid w:val="00E60C63"/>
    <w:rsid w:val="00E60C67"/>
    <w:rsid w:val="00E62FF9"/>
    <w:rsid w:val="00E635D6"/>
    <w:rsid w:val="00E639BC"/>
    <w:rsid w:val="00E664CC"/>
    <w:rsid w:val="00E6787C"/>
    <w:rsid w:val="00E70388"/>
    <w:rsid w:val="00E7056D"/>
    <w:rsid w:val="00E70F92"/>
    <w:rsid w:val="00E74C54"/>
    <w:rsid w:val="00E77A03"/>
    <w:rsid w:val="00E822E8"/>
    <w:rsid w:val="00E82554"/>
    <w:rsid w:val="00E82606"/>
    <w:rsid w:val="00E846C8"/>
    <w:rsid w:val="00E84957"/>
    <w:rsid w:val="00E84A55"/>
    <w:rsid w:val="00E85BFF"/>
    <w:rsid w:val="00E87DC2"/>
    <w:rsid w:val="00E90391"/>
    <w:rsid w:val="00E906C2"/>
    <w:rsid w:val="00E9311F"/>
    <w:rsid w:val="00E934D1"/>
    <w:rsid w:val="00E94AF0"/>
    <w:rsid w:val="00E95D13"/>
    <w:rsid w:val="00E95DD3"/>
    <w:rsid w:val="00E969D5"/>
    <w:rsid w:val="00EA48EA"/>
    <w:rsid w:val="00EA58D1"/>
    <w:rsid w:val="00EA61BC"/>
    <w:rsid w:val="00EA681A"/>
    <w:rsid w:val="00EA735B"/>
    <w:rsid w:val="00EB17DE"/>
    <w:rsid w:val="00EB1E69"/>
    <w:rsid w:val="00EB2086"/>
    <w:rsid w:val="00EB5EDF"/>
    <w:rsid w:val="00EB60FE"/>
    <w:rsid w:val="00EB74DB"/>
    <w:rsid w:val="00EC2116"/>
    <w:rsid w:val="00EC5359"/>
    <w:rsid w:val="00EC562A"/>
    <w:rsid w:val="00ED067A"/>
    <w:rsid w:val="00ED14EC"/>
    <w:rsid w:val="00ED21C7"/>
    <w:rsid w:val="00ED2B50"/>
    <w:rsid w:val="00EE0350"/>
    <w:rsid w:val="00EE0719"/>
    <w:rsid w:val="00EE0E80"/>
    <w:rsid w:val="00EE3AE5"/>
    <w:rsid w:val="00EE413A"/>
    <w:rsid w:val="00EE4481"/>
    <w:rsid w:val="00EE54A6"/>
    <w:rsid w:val="00EE613F"/>
    <w:rsid w:val="00EE7295"/>
    <w:rsid w:val="00EE7869"/>
    <w:rsid w:val="00EF054A"/>
    <w:rsid w:val="00EF3235"/>
    <w:rsid w:val="00EF7E72"/>
    <w:rsid w:val="00F0585A"/>
    <w:rsid w:val="00F06D37"/>
    <w:rsid w:val="00F07B9D"/>
    <w:rsid w:val="00F11586"/>
    <w:rsid w:val="00F1183B"/>
    <w:rsid w:val="00F11C9F"/>
    <w:rsid w:val="00F12263"/>
    <w:rsid w:val="00F124C5"/>
    <w:rsid w:val="00F1264D"/>
    <w:rsid w:val="00F1409D"/>
    <w:rsid w:val="00F14214"/>
    <w:rsid w:val="00F14215"/>
    <w:rsid w:val="00F15276"/>
    <w:rsid w:val="00F157A9"/>
    <w:rsid w:val="00F16A33"/>
    <w:rsid w:val="00F208AA"/>
    <w:rsid w:val="00F22183"/>
    <w:rsid w:val="00F25BB6"/>
    <w:rsid w:val="00F26B7E"/>
    <w:rsid w:val="00F2763F"/>
    <w:rsid w:val="00F27A3B"/>
    <w:rsid w:val="00F32F65"/>
    <w:rsid w:val="00F3367F"/>
    <w:rsid w:val="00F33817"/>
    <w:rsid w:val="00F33D71"/>
    <w:rsid w:val="00F35C0A"/>
    <w:rsid w:val="00F37163"/>
    <w:rsid w:val="00F4001A"/>
    <w:rsid w:val="00F420D5"/>
    <w:rsid w:val="00F4374A"/>
    <w:rsid w:val="00F451EA"/>
    <w:rsid w:val="00F45447"/>
    <w:rsid w:val="00F456C6"/>
    <w:rsid w:val="00F4577B"/>
    <w:rsid w:val="00F4605B"/>
    <w:rsid w:val="00F46496"/>
    <w:rsid w:val="00F46C8C"/>
    <w:rsid w:val="00F474D0"/>
    <w:rsid w:val="00F50179"/>
    <w:rsid w:val="00F50768"/>
    <w:rsid w:val="00F515EE"/>
    <w:rsid w:val="00F516AF"/>
    <w:rsid w:val="00F54324"/>
    <w:rsid w:val="00F56511"/>
    <w:rsid w:val="00F61043"/>
    <w:rsid w:val="00F6194E"/>
    <w:rsid w:val="00F623AC"/>
    <w:rsid w:val="00F6412A"/>
    <w:rsid w:val="00F641B6"/>
    <w:rsid w:val="00F65893"/>
    <w:rsid w:val="00F66A4A"/>
    <w:rsid w:val="00F71B11"/>
    <w:rsid w:val="00F71E22"/>
    <w:rsid w:val="00F72142"/>
    <w:rsid w:val="00F72AE7"/>
    <w:rsid w:val="00F75262"/>
    <w:rsid w:val="00F761CF"/>
    <w:rsid w:val="00F80E06"/>
    <w:rsid w:val="00F81141"/>
    <w:rsid w:val="00F819D9"/>
    <w:rsid w:val="00F82429"/>
    <w:rsid w:val="00F833BA"/>
    <w:rsid w:val="00F84FD0"/>
    <w:rsid w:val="00F859A8"/>
    <w:rsid w:val="00F85A8E"/>
    <w:rsid w:val="00F85DFF"/>
    <w:rsid w:val="00F86D87"/>
    <w:rsid w:val="00F87376"/>
    <w:rsid w:val="00F87E4A"/>
    <w:rsid w:val="00F90E2F"/>
    <w:rsid w:val="00F9108B"/>
    <w:rsid w:val="00F91349"/>
    <w:rsid w:val="00F93A8A"/>
    <w:rsid w:val="00F95248"/>
    <w:rsid w:val="00F956A9"/>
    <w:rsid w:val="00F963ED"/>
    <w:rsid w:val="00F966CF"/>
    <w:rsid w:val="00F96CAE"/>
    <w:rsid w:val="00F97C99"/>
    <w:rsid w:val="00F97F73"/>
    <w:rsid w:val="00FA4DAC"/>
    <w:rsid w:val="00FA662D"/>
    <w:rsid w:val="00FA6CD9"/>
    <w:rsid w:val="00FA73B1"/>
    <w:rsid w:val="00FB07C7"/>
    <w:rsid w:val="00FB0CB9"/>
    <w:rsid w:val="00FB1235"/>
    <w:rsid w:val="00FB140A"/>
    <w:rsid w:val="00FB231D"/>
    <w:rsid w:val="00FB45F1"/>
    <w:rsid w:val="00FB4A72"/>
    <w:rsid w:val="00FB54E8"/>
    <w:rsid w:val="00FB5F2D"/>
    <w:rsid w:val="00FB7054"/>
    <w:rsid w:val="00FC17B7"/>
    <w:rsid w:val="00FC2CB7"/>
    <w:rsid w:val="00FC4090"/>
    <w:rsid w:val="00FC46F0"/>
    <w:rsid w:val="00FC55B4"/>
    <w:rsid w:val="00FD00E6"/>
    <w:rsid w:val="00FD09A1"/>
    <w:rsid w:val="00FD12AE"/>
    <w:rsid w:val="00FD2A7C"/>
    <w:rsid w:val="00FD59EB"/>
    <w:rsid w:val="00FD7299"/>
    <w:rsid w:val="00FD7AC0"/>
    <w:rsid w:val="00FE1FBE"/>
    <w:rsid w:val="00FE3901"/>
    <w:rsid w:val="00FE39D3"/>
    <w:rsid w:val="00FE4BCE"/>
    <w:rsid w:val="00FE54AE"/>
    <w:rsid w:val="00FE576A"/>
    <w:rsid w:val="00FE7E79"/>
    <w:rsid w:val="00FF110E"/>
    <w:rsid w:val="00FF3137"/>
    <w:rsid w:val="00FF3E7D"/>
    <w:rsid w:val="00FF40B3"/>
    <w:rsid w:val="00FF56AB"/>
    <w:rsid w:val="00FF5B99"/>
    <w:rsid w:val="00FF62CA"/>
    <w:rsid w:val="00FF730C"/>
    <w:rsid w:val="00FF73F4"/>
    <w:rsid w:val="00FF7CE4"/>
    <w:rsid w:val="00FF7E39"/>
    <w:rsid w:val="1E8B564F"/>
    <w:rsid w:val="2BAB2DF4"/>
    <w:rsid w:val="38AEF628"/>
    <w:rsid w:val="45655E91"/>
    <w:rsid w:val="459D0C4B"/>
    <w:rsid w:val="55E07405"/>
    <w:rsid w:val="7F1B0320"/>
    <w:rsid w:val="EBDE39E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6"/>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7"/>
    <w:qFormat/>
    <w:uiPriority w:val="0"/>
    <w:pPr>
      <w:keepNext/>
      <w:keepLines/>
      <w:spacing w:before="260" w:after="260" w:line="416" w:lineRule="auto"/>
      <w:outlineLvl w:val="2"/>
    </w:pPr>
    <w:rPr>
      <w:b/>
      <w:bCs/>
      <w:sz w:val="32"/>
      <w:szCs w:val="32"/>
    </w:rPr>
  </w:style>
  <w:style w:type="paragraph" w:styleId="5">
    <w:name w:val="heading 4"/>
    <w:basedOn w:val="1"/>
    <w:next w:val="1"/>
    <w:link w:val="38"/>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9"/>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0"/>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1"/>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2"/>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3"/>
    <w:qFormat/>
    <w:uiPriority w:val="0"/>
    <w:pPr>
      <w:keepNext/>
      <w:keepLines/>
      <w:adjustRightInd/>
      <w:spacing w:before="240" w:after="64" w:line="320" w:lineRule="auto"/>
      <w:outlineLvl w:val="8"/>
    </w:pPr>
    <w:rPr>
      <w:rFonts w:ascii="Arial" w:hAnsi="Arial" w:eastAsia="黑体"/>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annotation text"/>
    <w:basedOn w:val="1"/>
    <w:link w:val="231"/>
    <w:qFormat/>
    <w:uiPriority w:val="0"/>
    <w:pPr>
      <w:adjustRightInd/>
      <w:spacing w:beforeLines="5" w:line="276" w:lineRule="auto"/>
      <w:ind w:firstLine="420" w:firstLineChars="200"/>
      <w:jc w:val="left"/>
    </w:pPr>
    <w:rPr>
      <w:rFonts w:ascii="Times New Roman" w:hAnsi="Times New Roman" w:eastAsiaTheme="minorEastAsia" w:cstheme="minorBidi"/>
      <w:szCs w:val="24"/>
    </w:rPr>
  </w:style>
  <w:style w:type="paragraph" w:styleId="14">
    <w:name w:val="Body Text"/>
    <w:basedOn w:val="1"/>
    <w:link w:val="87"/>
    <w:qFormat/>
    <w:uiPriority w:val="0"/>
    <w:pPr>
      <w:spacing w:after="120"/>
    </w:pPr>
  </w:style>
  <w:style w:type="paragraph" w:styleId="15">
    <w:name w:val="toc 5"/>
    <w:basedOn w:val="1"/>
    <w:next w:val="1"/>
    <w:unhideWhenUsed/>
    <w:qFormat/>
    <w:uiPriority w:val="39"/>
    <w:pPr>
      <w:ind w:left="839"/>
    </w:pPr>
    <w:rPr>
      <w:rFonts w:ascii="宋体"/>
    </w:rPr>
  </w:style>
  <w:style w:type="paragraph" w:styleId="16">
    <w:name w:val="toc 3"/>
    <w:basedOn w:val="1"/>
    <w:next w:val="1"/>
    <w:unhideWhenUsed/>
    <w:qFormat/>
    <w:uiPriority w:val="39"/>
    <w:pPr>
      <w:spacing w:line="300" w:lineRule="exact"/>
      <w:ind w:left="420"/>
    </w:pPr>
    <w:rPr>
      <w:rFonts w:ascii="宋体"/>
    </w:rPr>
  </w:style>
  <w:style w:type="paragraph" w:styleId="17">
    <w:name w:val="Balloon Text"/>
    <w:basedOn w:val="1"/>
    <w:link w:val="46"/>
    <w:semiHidden/>
    <w:unhideWhenUsed/>
    <w:qFormat/>
    <w:uiPriority w:val="99"/>
    <w:rPr>
      <w:sz w:val="18"/>
      <w:szCs w:val="18"/>
    </w:rPr>
  </w:style>
  <w:style w:type="paragraph" w:styleId="18">
    <w:name w:val="footer"/>
    <w:basedOn w:val="1"/>
    <w:link w:val="45"/>
    <w:qFormat/>
    <w:uiPriority w:val="99"/>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44"/>
    <w:qFormat/>
    <w:uiPriority w:val="99"/>
    <w:pPr>
      <w:tabs>
        <w:tab w:val="center" w:pos="4153"/>
        <w:tab w:val="right" w:pos="8306"/>
      </w:tabs>
      <w:adjustRightInd/>
      <w:snapToGrid w:val="0"/>
      <w:jc w:val="center"/>
    </w:pPr>
    <w:rPr>
      <w:sz w:val="18"/>
      <w:szCs w:val="18"/>
    </w:rPr>
  </w:style>
  <w:style w:type="paragraph" w:styleId="20">
    <w:name w:val="toc 1"/>
    <w:basedOn w:val="1"/>
    <w:next w:val="1"/>
    <w:unhideWhenUsed/>
    <w:qFormat/>
    <w:uiPriority w:val="39"/>
    <w:rPr>
      <w:rFonts w:ascii="宋体"/>
    </w:rPr>
  </w:style>
  <w:style w:type="paragraph" w:styleId="21">
    <w:name w:val="toc 4"/>
    <w:basedOn w:val="1"/>
    <w:next w:val="1"/>
    <w:unhideWhenUsed/>
    <w:qFormat/>
    <w:uiPriority w:val="39"/>
    <w:pPr>
      <w:tabs>
        <w:tab w:val="right" w:leader="dot" w:pos="9344"/>
      </w:tabs>
      <w:spacing w:line="300" w:lineRule="exact"/>
      <w:ind w:left="629"/>
    </w:pPr>
    <w:rPr>
      <w:rFonts w:ascii="宋体"/>
    </w:rPr>
  </w:style>
  <w:style w:type="paragraph" w:styleId="22">
    <w:name w:val="footnote text"/>
    <w:basedOn w:val="1"/>
    <w:next w:val="1"/>
    <w:link w:val="100"/>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3">
    <w:name w:val="toc 6"/>
    <w:basedOn w:val="1"/>
    <w:next w:val="1"/>
    <w:unhideWhenUsed/>
    <w:qFormat/>
    <w:uiPriority w:val="39"/>
    <w:pPr>
      <w:spacing w:line="300" w:lineRule="exact"/>
      <w:ind w:left="1049"/>
    </w:pPr>
    <w:rPr>
      <w:rFonts w:ascii="宋体"/>
    </w:rPr>
  </w:style>
  <w:style w:type="paragraph" w:styleId="24">
    <w:name w:val="table of figures"/>
    <w:basedOn w:val="1"/>
    <w:next w:val="1"/>
    <w:semiHidden/>
    <w:qFormat/>
    <w:uiPriority w:val="0"/>
    <w:pPr>
      <w:adjustRightInd/>
      <w:spacing w:line="240" w:lineRule="auto"/>
      <w:jc w:val="left"/>
    </w:pPr>
    <w:rPr>
      <w:szCs w:val="24"/>
    </w:rPr>
  </w:style>
  <w:style w:type="paragraph" w:styleId="25">
    <w:name w:val="toc 2"/>
    <w:basedOn w:val="1"/>
    <w:next w:val="1"/>
    <w:unhideWhenUsed/>
    <w:qFormat/>
    <w:uiPriority w:val="39"/>
    <w:pPr>
      <w:tabs>
        <w:tab w:val="right" w:leader="dot" w:pos="9344"/>
      </w:tabs>
      <w:spacing w:line="300" w:lineRule="exact"/>
      <w:ind w:left="210"/>
    </w:pPr>
    <w:rPr>
      <w:rFonts w:ascii="宋体"/>
    </w:rPr>
  </w:style>
  <w:style w:type="paragraph" w:styleId="26">
    <w:name w:val="Title"/>
    <w:basedOn w:val="1"/>
    <w:link w:val="49"/>
    <w:qFormat/>
    <w:uiPriority w:val="0"/>
    <w:pPr>
      <w:spacing w:before="240" w:after="60"/>
      <w:jc w:val="center"/>
      <w:outlineLvl w:val="0"/>
    </w:pPr>
    <w:rPr>
      <w:rFonts w:ascii="Arial" w:hAnsi="Arial" w:cs="Arial"/>
      <w:b/>
      <w:bCs/>
      <w:sz w:val="32"/>
      <w:szCs w:val="32"/>
    </w:rPr>
  </w:style>
  <w:style w:type="table" w:styleId="28">
    <w:name w:val="Table Grid"/>
    <w:basedOn w:val="2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0">
    <w:name w:val="Strong"/>
    <w:qFormat/>
    <w:uiPriority w:val="22"/>
    <w:rPr>
      <w:b/>
      <w:bCs/>
    </w:rPr>
  </w:style>
  <w:style w:type="character" w:styleId="31">
    <w:name w:val="page number"/>
    <w:qFormat/>
    <w:uiPriority w:val="0"/>
    <w:rPr>
      <w:rFonts w:ascii="宋体" w:hAnsi="Times New Roman" w:eastAsia="宋体"/>
      <w:sz w:val="18"/>
    </w:rPr>
  </w:style>
  <w:style w:type="character" w:styleId="32">
    <w:name w:val="Emphasis"/>
    <w:qFormat/>
    <w:uiPriority w:val="20"/>
    <w:rPr>
      <w:i/>
      <w:iCs/>
    </w:rPr>
  </w:style>
  <w:style w:type="character" w:styleId="33">
    <w:name w:val="Hyperlink"/>
    <w:qFormat/>
    <w:uiPriority w:val="99"/>
    <w:rPr>
      <w:rFonts w:ascii="宋体" w:hAnsi="Times New Roman" w:eastAsia="宋体"/>
      <w:color w:val="auto"/>
      <w:spacing w:val="0"/>
      <w:w w:val="100"/>
      <w:position w:val="0"/>
      <w:sz w:val="21"/>
      <w:u w:val="none"/>
      <w:vertAlign w:val="baseline"/>
    </w:rPr>
  </w:style>
  <w:style w:type="character" w:styleId="34">
    <w:name w:val="footnote reference"/>
    <w:semiHidden/>
    <w:qFormat/>
    <w:uiPriority w:val="0"/>
    <w:rPr>
      <w:rFonts w:ascii="宋体" w:hAnsi="宋体" w:eastAsia="宋体" w:cs="Times New Roman"/>
      <w:spacing w:val="0"/>
      <w:sz w:val="18"/>
      <w:vertAlign w:val="superscript"/>
    </w:rPr>
  </w:style>
  <w:style w:type="character" w:customStyle="1" w:styleId="35">
    <w:name w:val="标题 1 Char"/>
    <w:link w:val="2"/>
    <w:qFormat/>
    <w:uiPriority w:val="0"/>
    <w:rPr>
      <w:b/>
      <w:bCs/>
      <w:kern w:val="44"/>
      <w:sz w:val="44"/>
      <w:szCs w:val="44"/>
    </w:rPr>
  </w:style>
  <w:style w:type="character" w:customStyle="1" w:styleId="36">
    <w:name w:val="标题 2 Char"/>
    <w:link w:val="3"/>
    <w:qFormat/>
    <w:uiPriority w:val="0"/>
    <w:rPr>
      <w:rFonts w:ascii="Arial" w:hAnsi="Arial" w:eastAsia="黑体"/>
      <w:b/>
      <w:bCs/>
      <w:kern w:val="2"/>
      <w:sz w:val="32"/>
      <w:szCs w:val="32"/>
    </w:rPr>
  </w:style>
  <w:style w:type="character" w:customStyle="1" w:styleId="37">
    <w:name w:val="标题 3 Char"/>
    <w:link w:val="4"/>
    <w:qFormat/>
    <w:uiPriority w:val="0"/>
    <w:rPr>
      <w:b/>
      <w:bCs/>
      <w:kern w:val="2"/>
      <w:sz w:val="32"/>
      <w:szCs w:val="32"/>
    </w:rPr>
  </w:style>
  <w:style w:type="character" w:customStyle="1" w:styleId="38">
    <w:name w:val="标题 4 Char"/>
    <w:link w:val="5"/>
    <w:qFormat/>
    <w:uiPriority w:val="0"/>
    <w:rPr>
      <w:rFonts w:ascii="Arial" w:hAnsi="Arial" w:eastAsia="黑体"/>
      <w:b/>
      <w:bCs/>
      <w:kern w:val="2"/>
      <w:sz w:val="28"/>
      <w:szCs w:val="28"/>
    </w:rPr>
  </w:style>
  <w:style w:type="character" w:customStyle="1" w:styleId="39">
    <w:name w:val="标题 5 Char"/>
    <w:link w:val="6"/>
    <w:qFormat/>
    <w:uiPriority w:val="0"/>
    <w:rPr>
      <w:b/>
      <w:bCs/>
      <w:kern w:val="2"/>
      <w:sz w:val="28"/>
      <w:szCs w:val="28"/>
    </w:rPr>
  </w:style>
  <w:style w:type="character" w:customStyle="1" w:styleId="40">
    <w:name w:val="标题 6 Char"/>
    <w:link w:val="7"/>
    <w:qFormat/>
    <w:uiPriority w:val="0"/>
    <w:rPr>
      <w:rFonts w:ascii="Arial" w:hAnsi="Arial" w:eastAsia="黑体"/>
      <w:b/>
      <w:bCs/>
      <w:kern w:val="2"/>
      <w:sz w:val="24"/>
      <w:szCs w:val="24"/>
    </w:rPr>
  </w:style>
  <w:style w:type="character" w:customStyle="1" w:styleId="41">
    <w:name w:val="标题 7 Char"/>
    <w:link w:val="8"/>
    <w:qFormat/>
    <w:uiPriority w:val="0"/>
    <w:rPr>
      <w:b/>
      <w:bCs/>
      <w:kern w:val="2"/>
      <w:sz w:val="24"/>
      <w:szCs w:val="24"/>
    </w:rPr>
  </w:style>
  <w:style w:type="character" w:customStyle="1" w:styleId="42">
    <w:name w:val="标题 8 Char"/>
    <w:link w:val="9"/>
    <w:qFormat/>
    <w:uiPriority w:val="0"/>
    <w:rPr>
      <w:rFonts w:ascii="Arial" w:hAnsi="Arial" w:eastAsia="黑体"/>
      <w:kern w:val="2"/>
      <w:sz w:val="24"/>
      <w:szCs w:val="24"/>
    </w:rPr>
  </w:style>
  <w:style w:type="character" w:customStyle="1" w:styleId="43">
    <w:name w:val="标题 9 Char"/>
    <w:link w:val="10"/>
    <w:qFormat/>
    <w:uiPriority w:val="0"/>
    <w:rPr>
      <w:rFonts w:ascii="Arial" w:hAnsi="Arial" w:eastAsia="黑体"/>
      <w:kern w:val="2"/>
      <w:sz w:val="21"/>
      <w:szCs w:val="21"/>
    </w:rPr>
  </w:style>
  <w:style w:type="character" w:customStyle="1" w:styleId="44">
    <w:name w:val="页眉 Char"/>
    <w:link w:val="19"/>
    <w:qFormat/>
    <w:uiPriority w:val="99"/>
    <w:rPr>
      <w:kern w:val="2"/>
      <w:sz w:val="18"/>
      <w:szCs w:val="18"/>
    </w:rPr>
  </w:style>
  <w:style w:type="character" w:customStyle="1" w:styleId="45">
    <w:name w:val="页脚 Char"/>
    <w:link w:val="18"/>
    <w:qFormat/>
    <w:uiPriority w:val="99"/>
    <w:rPr>
      <w:rFonts w:ascii="宋体"/>
      <w:kern w:val="2"/>
      <w:sz w:val="18"/>
      <w:szCs w:val="18"/>
    </w:rPr>
  </w:style>
  <w:style w:type="character" w:customStyle="1" w:styleId="46">
    <w:name w:val="批注框文本 Char"/>
    <w:link w:val="17"/>
    <w:semiHidden/>
    <w:qFormat/>
    <w:uiPriority w:val="99"/>
    <w:rPr>
      <w:kern w:val="2"/>
      <w:sz w:val="18"/>
      <w:szCs w:val="18"/>
    </w:rPr>
  </w:style>
  <w:style w:type="paragraph" w:styleId="47">
    <w:name w:val="Quote"/>
    <w:basedOn w:val="1"/>
    <w:next w:val="1"/>
    <w:link w:val="48"/>
    <w:qFormat/>
    <w:uiPriority w:val="29"/>
    <w:rPr>
      <w:i/>
      <w:iCs/>
      <w:color w:val="000000"/>
    </w:rPr>
  </w:style>
  <w:style w:type="character" w:customStyle="1" w:styleId="48">
    <w:name w:val="引用 Char"/>
    <w:link w:val="47"/>
    <w:qFormat/>
    <w:uiPriority w:val="29"/>
    <w:rPr>
      <w:i/>
      <w:iCs/>
      <w:color w:val="000000"/>
      <w:kern w:val="2"/>
      <w:sz w:val="21"/>
      <w:szCs w:val="21"/>
    </w:rPr>
  </w:style>
  <w:style w:type="character" w:customStyle="1" w:styleId="49">
    <w:name w:val="标题 Char"/>
    <w:link w:val="26"/>
    <w:qFormat/>
    <w:uiPriority w:val="0"/>
    <w:rPr>
      <w:rFonts w:ascii="Arial" w:hAnsi="Arial" w:cs="Arial"/>
      <w:b/>
      <w:bCs/>
      <w:kern w:val="2"/>
      <w:sz w:val="32"/>
      <w:szCs w:val="32"/>
    </w:rPr>
  </w:style>
  <w:style w:type="paragraph" w:customStyle="1" w:styleId="50">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1">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2">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3">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4">
    <w:name w:val="标准书眉一"/>
    <w:qFormat/>
    <w:uiPriority w:val="0"/>
    <w:pPr>
      <w:jc w:val="both"/>
    </w:pPr>
    <w:rPr>
      <w:rFonts w:ascii="Times New Roman" w:hAnsi="Times New Roman" w:eastAsia="宋体" w:cs="Times New Roman"/>
      <w:lang w:val="en-US" w:eastAsia="zh-CN" w:bidi="ar-SA"/>
    </w:rPr>
  </w:style>
  <w:style w:type="paragraph" w:customStyle="1" w:styleId="55">
    <w:name w:val="标准文件_ICS"/>
    <w:basedOn w:val="1"/>
    <w:qFormat/>
    <w:uiPriority w:val="0"/>
    <w:pPr>
      <w:spacing w:line="0" w:lineRule="atLeast"/>
    </w:pPr>
    <w:rPr>
      <w:rFonts w:ascii="黑体" w:hAnsi="宋体" w:eastAsia="黑体"/>
    </w:rPr>
  </w:style>
  <w:style w:type="paragraph" w:customStyle="1" w:styleId="56">
    <w:name w:val="标准文件_标准正文"/>
    <w:basedOn w:val="1"/>
    <w:next w:val="57"/>
    <w:qFormat/>
    <w:uiPriority w:val="0"/>
    <w:pPr>
      <w:snapToGrid w:val="0"/>
      <w:ind w:firstLine="200" w:firstLineChars="200"/>
    </w:pPr>
    <w:rPr>
      <w:kern w:val="0"/>
    </w:rPr>
  </w:style>
  <w:style w:type="paragraph" w:customStyle="1" w:styleId="57">
    <w:name w:val="标准文件_段"/>
    <w:link w:val="185"/>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8">
    <w:name w:val="标准文件_版本"/>
    <w:basedOn w:val="56"/>
    <w:qFormat/>
    <w:uiPriority w:val="0"/>
    <w:pPr>
      <w:adjustRightInd/>
      <w:snapToGrid/>
      <w:ind w:firstLine="0" w:firstLineChars="0"/>
    </w:pPr>
    <w:rPr>
      <w:rFonts w:ascii="宋体" w:hAnsi="宋体"/>
      <w:kern w:val="2"/>
    </w:rPr>
  </w:style>
  <w:style w:type="paragraph" w:customStyle="1" w:styleId="59">
    <w:name w:val="标准文件_标准部门"/>
    <w:basedOn w:val="1"/>
    <w:qFormat/>
    <w:uiPriority w:val="0"/>
    <w:pPr>
      <w:jc w:val="center"/>
    </w:pPr>
    <w:rPr>
      <w:rFonts w:ascii="黑体" w:eastAsia="黑体"/>
      <w:kern w:val="0"/>
      <w:sz w:val="44"/>
    </w:rPr>
  </w:style>
  <w:style w:type="paragraph" w:customStyle="1" w:styleId="60">
    <w:name w:val="标准文件_标准代替"/>
    <w:basedOn w:val="1"/>
    <w:next w:val="1"/>
    <w:qFormat/>
    <w:uiPriority w:val="0"/>
    <w:pPr>
      <w:spacing w:line="310" w:lineRule="exact"/>
      <w:jc w:val="right"/>
    </w:pPr>
    <w:rPr>
      <w:rFonts w:ascii="宋体" w:hAnsi="宋体"/>
      <w:kern w:val="0"/>
    </w:rPr>
  </w:style>
  <w:style w:type="paragraph" w:customStyle="1" w:styleId="61">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2">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3">
    <w:name w:val="标准文件_页眉偶数页"/>
    <w:basedOn w:val="62"/>
    <w:next w:val="1"/>
    <w:qFormat/>
    <w:uiPriority w:val="0"/>
    <w:pPr>
      <w:jc w:val="left"/>
    </w:pPr>
  </w:style>
  <w:style w:type="paragraph" w:customStyle="1" w:styleId="64">
    <w:name w:val="标准文件_参考文献标题"/>
    <w:basedOn w:val="1"/>
    <w:next w:val="1"/>
    <w:qFormat/>
    <w:uiPriority w:val="0"/>
    <w:pPr>
      <w:widowControl/>
      <w:shd w:val="clear" w:color="FFFFFF" w:fill="FFFFFF"/>
      <w:adjustRightInd/>
      <w:spacing w:before="580" w:afterLines="50" w:line="240" w:lineRule="auto"/>
      <w:jc w:val="center"/>
      <w:outlineLvl w:val="0"/>
    </w:pPr>
    <w:rPr>
      <w:rFonts w:ascii="黑体" w:eastAsia="黑体"/>
      <w:kern w:val="0"/>
    </w:rPr>
  </w:style>
  <w:style w:type="paragraph" w:customStyle="1" w:styleId="65">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6">
    <w:name w:val="标准文件_二级条标题"/>
    <w:next w:val="57"/>
    <w:qFormat/>
    <w:uiPriority w:val="0"/>
    <w:pPr>
      <w:widowControl w:val="0"/>
      <w:numPr>
        <w:ilvl w:val="3"/>
        <w:numId w:val="2"/>
      </w:numPr>
      <w:spacing w:beforeLines="50" w:afterLines="50"/>
      <w:jc w:val="both"/>
      <w:outlineLvl w:val="2"/>
    </w:pPr>
    <w:rPr>
      <w:rFonts w:ascii="黑体" w:hAnsi="Times New Roman" w:eastAsia="黑体" w:cs="Times New Roman"/>
      <w:sz w:val="21"/>
      <w:lang w:val="en-US" w:eastAsia="zh-CN" w:bidi="ar-SA"/>
    </w:rPr>
  </w:style>
  <w:style w:type="character" w:customStyle="1" w:styleId="67">
    <w:name w:val="标准文件_发布"/>
    <w:qFormat/>
    <w:uiPriority w:val="0"/>
    <w:rPr>
      <w:rFonts w:ascii="黑体" w:eastAsia="黑体"/>
      <w:spacing w:val="0"/>
      <w:w w:val="100"/>
      <w:position w:val="3"/>
      <w:sz w:val="28"/>
    </w:rPr>
  </w:style>
  <w:style w:type="paragraph" w:customStyle="1" w:styleId="68">
    <w:name w:val="标准文件_方框数字列项"/>
    <w:basedOn w:val="57"/>
    <w:qFormat/>
    <w:uiPriority w:val="0"/>
    <w:pPr>
      <w:numPr>
        <w:ilvl w:val="0"/>
        <w:numId w:val="3"/>
      </w:numPr>
      <w:ind w:firstLine="0" w:firstLineChars="0"/>
    </w:pPr>
  </w:style>
  <w:style w:type="paragraph" w:customStyle="1" w:styleId="69">
    <w:name w:val="标准文件_封面标准编号"/>
    <w:basedOn w:val="1"/>
    <w:next w:val="60"/>
    <w:qFormat/>
    <w:uiPriority w:val="0"/>
    <w:pPr>
      <w:spacing w:line="310" w:lineRule="exact"/>
      <w:jc w:val="right"/>
    </w:pPr>
    <w:rPr>
      <w:rFonts w:ascii="黑体" w:eastAsia="黑体"/>
      <w:kern w:val="0"/>
      <w:sz w:val="28"/>
    </w:rPr>
  </w:style>
  <w:style w:type="paragraph" w:customStyle="1" w:styleId="70">
    <w:name w:val="标准文件_封面标准分类号"/>
    <w:basedOn w:val="1"/>
    <w:qFormat/>
    <w:uiPriority w:val="0"/>
    <w:rPr>
      <w:rFonts w:ascii="黑体" w:eastAsia="黑体"/>
      <w:b/>
      <w:kern w:val="0"/>
      <w:sz w:val="28"/>
    </w:rPr>
  </w:style>
  <w:style w:type="paragraph" w:customStyle="1" w:styleId="71">
    <w:name w:val="标准文件_封面标准名称"/>
    <w:basedOn w:val="1"/>
    <w:qFormat/>
    <w:uiPriority w:val="0"/>
    <w:pPr>
      <w:spacing w:line="240" w:lineRule="auto"/>
      <w:jc w:val="center"/>
    </w:pPr>
    <w:rPr>
      <w:rFonts w:ascii="黑体" w:eastAsia="黑体"/>
      <w:kern w:val="0"/>
      <w:sz w:val="52"/>
    </w:rPr>
  </w:style>
  <w:style w:type="paragraph" w:customStyle="1" w:styleId="72">
    <w:name w:val="标准文件_封面标准英文名称"/>
    <w:basedOn w:val="1"/>
    <w:qFormat/>
    <w:uiPriority w:val="0"/>
    <w:pPr>
      <w:spacing w:line="240" w:lineRule="auto"/>
      <w:jc w:val="center"/>
    </w:pPr>
    <w:rPr>
      <w:rFonts w:ascii="黑体" w:eastAsia="黑体"/>
      <w:b/>
      <w:sz w:val="28"/>
    </w:rPr>
  </w:style>
  <w:style w:type="paragraph" w:customStyle="1" w:styleId="73">
    <w:name w:val="标准文件_封面发布日期"/>
    <w:basedOn w:val="1"/>
    <w:qFormat/>
    <w:uiPriority w:val="0"/>
    <w:pPr>
      <w:spacing w:line="310" w:lineRule="exact"/>
    </w:pPr>
    <w:rPr>
      <w:rFonts w:ascii="黑体" w:eastAsia="黑体"/>
      <w:kern w:val="0"/>
      <w:sz w:val="28"/>
    </w:rPr>
  </w:style>
  <w:style w:type="paragraph" w:customStyle="1" w:styleId="74">
    <w:name w:val="标准文件_封面密级"/>
    <w:basedOn w:val="1"/>
    <w:qFormat/>
    <w:uiPriority w:val="0"/>
    <w:rPr>
      <w:rFonts w:eastAsia="黑体"/>
      <w:sz w:val="32"/>
    </w:rPr>
  </w:style>
  <w:style w:type="paragraph" w:customStyle="1" w:styleId="75">
    <w:name w:val="标准文件_封面实施日期"/>
    <w:basedOn w:val="1"/>
    <w:qFormat/>
    <w:uiPriority w:val="0"/>
    <w:pPr>
      <w:spacing w:line="310" w:lineRule="exact"/>
      <w:jc w:val="right"/>
    </w:pPr>
    <w:rPr>
      <w:rFonts w:ascii="黑体" w:eastAsia="黑体"/>
      <w:sz w:val="28"/>
    </w:rPr>
  </w:style>
  <w:style w:type="paragraph" w:customStyle="1" w:styleId="76">
    <w:name w:val="标准文件_封面抬头"/>
    <w:basedOn w:val="57"/>
    <w:qFormat/>
    <w:uiPriority w:val="0"/>
    <w:pPr>
      <w:adjustRightInd w:val="0"/>
      <w:spacing w:line="800" w:lineRule="exact"/>
      <w:ind w:firstLine="0" w:firstLineChars="0"/>
      <w:jc w:val="distribute"/>
    </w:pPr>
    <w:rPr>
      <w:rFonts w:ascii="黑体" w:eastAsia="黑体"/>
      <w:b/>
      <w:sz w:val="64"/>
    </w:rPr>
  </w:style>
  <w:style w:type="paragraph" w:customStyle="1" w:styleId="77">
    <w:name w:val="标准文件_附录标识"/>
    <w:next w:val="57"/>
    <w:qFormat/>
    <w:uiPriority w:val="0"/>
    <w:pPr>
      <w:numPr>
        <w:ilvl w:val="0"/>
        <w:numId w:val="4"/>
      </w:numPr>
      <w:shd w:val="clear" w:color="FFFFFF" w:fill="FFFFFF"/>
      <w:tabs>
        <w:tab w:val="left" w:pos="6406"/>
      </w:tabs>
      <w:spacing w:before="560" w:afterLines="50"/>
      <w:jc w:val="center"/>
      <w:outlineLvl w:val="0"/>
    </w:pPr>
    <w:rPr>
      <w:rFonts w:ascii="黑体" w:hAnsi="Times New Roman" w:eastAsia="黑体" w:cs="Times New Roman"/>
      <w:sz w:val="21"/>
      <w:lang w:val="en-US" w:eastAsia="zh-CN" w:bidi="ar-SA"/>
    </w:rPr>
  </w:style>
  <w:style w:type="paragraph" w:customStyle="1" w:styleId="78">
    <w:name w:val="标准文件_附录表标题"/>
    <w:next w:val="57"/>
    <w:qFormat/>
    <w:uiPriority w:val="0"/>
    <w:pPr>
      <w:numPr>
        <w:ilvl w:val="1"/>
        <w:numId w:val="5"/>
      </w:numPr>
      <w:adjustRightInd w:val="0"/>
      <w:snapToGrid w:val="0"/>
      <w:spacing w:beforeLines="50" w:afterLines="50"/>
      <w:jc w:val="center"/>
      <w:textAlignment w:val="baseline"/>
    </w:pPr>
    <w:rPr>
      <w:rFonts w:ascii="黑体" w:hAnsi="Times New Roman" w:eastAsia="黑体" w:cs="Times New Roman"/>
      <w:kern w:val="21"/>
      <w:sz w:val="21"/>
      <w:lang w:val="en-US" w:eastAsia="zh-CN" w:bidi="ar-SA"/>
    </w:rPr>
  </w:style>
  <w:style w:type="paragraph" w:customStyle="1" w:styleId="79">
    <w:name w:val="标准文件_附录一级条标题"/>
    <w:next w:val="57"/>
    <w:qFormat/>
    <w:uiPriority w:val="0"/>
    <w:pPr>
      <w:widowControl w:val="0"/>
      <w:numPr>
        <w:ilvl w:val="1"/>
        <w:numId w:val="4"/>
      </w:numPr>
      <w:spacing w:beforeLines="50" w:afterLines="50"/>
      <w:jc w:val="both"/>
      <w:outlineLvl w:val="2"/>
    </w:pPr>
    <w:rPr>
      <w:rFonts w:ascii="黑体" w:hAnsi="Times New Roman" w:eastAsia="黑体" w:cs="Times New Roman"/>
      <w:kern w:val="21"/>
      <w:sz w:val="21"/>
      <w:lang w:val="en-US" w:eastAsia="zh-CN" w:bidi="ar-SA"/>
    </w:rPr>
  </w:style>
  <w:style w:type="paragraph" w:customStyle="1" w:styleId="80">
    <w:name w:val="标准文件_附录二级条标题"/>
    <w:basedOn w:val="79"/>
    <w:next w:val="57"/>
    <w:qFormat/>
    <w:uiPriority w:val="0"/>
    <w:pPr>
      <w:widowControl/>
      <w:numPr>
        <w:ilvl w:val="2"/>
      </w:numPr>
      <w:wordWrap w:val="0"/>
      <w:overflowPunct w:val="0"/>
      <w:autoSpaceDE w:val="0"/>
      <w:autoSpaceDN w:val="0"/>
      <w:textAlignment w:val="baseline"/>
      <w:outlineLvl w:val="3"/>
    </w:pPr>
  </w:style>
  <w:style w:type="paragraph" w:customStyle="1" w:styleId="81">
    <w:name w:val="标准文件_附录公式"/>
    <w:basedOn w:val="56"/>
    <w:next w:val="56"/>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2">
    <w:name w:val="标准文件_附录三级条标题"/>
    <w:next w:val="57"/>
    <w:qFormat/>
    <w:uiPriority w:val="0"/>
    <w:pPr>
      <w:widowControl w:val="0"/>
      <w:numPr>
        <w:ilvl w:val="3"/>
        <w:numId w:val="4"/>
      </w:numPr>
      <w:spacing w:beforeLines="50" w:afterLines="50"/>
      <w:jc w:val="both"/>
      <w:outlineLvl w:val="4"/>
    </w:pPr>
    <w:rPr>
      <w:rFonts w:ascii="黑体" w:hAnsi="Times New Roman" w:eastAsia="黑体" w:cs="Times New Roman"/>
      <w:kern w:val="21"/>
      <w:sz w:val="21"/>
      <w:lang w:val="en-US" w:eastAsia="zh-CN" w:bidi="ar-SA"/>
    </w:rPr>
  </w:style>
  <w:style w:type="paragraph" w:customStyle="1" w:styleId="83">
    <w:name w:val="标准文件_附录四级条标题"/>
    <w:next w:val="57"/>
    <w:qFormat/>
    <w:uiPriority w:val="0"/>
    <w:pPr>
      <w:widowControl w:val="0"/>
      <w:numPr>
        <w:ilvl w:val="4"/>
        <w:numId w:val="4"/>
      </w:numPr>
      <w:spacing w:beforeLines="50" w:afterLines="50"/>
      <w:jc w:val="both"/>
      <w:outlineLvl w:val="5"/>
    </w:pPr>
    <w:rPr>
      <w:rFonts w:ascii="黑体" w:hAnsi="Times New Roman" w:eastAsia="黑体" w:cs="Times New Roman"/>
      <w:kern w:val="21"/>
      <w:sz w:val="21"/>
      <w:lang w:val="en-US" w:eastAsia="zh-CN" w:bidi="ar-SA"/>
    </w:rPr>
  </w:style>
  <w:style w:type="paragraph" w:customStyle="1" w:styleId="84">
    <w:name w:val="标准文件_附录图标题"/>
    <w:next w:val="57"/>
    <w:qFormat/>
    <w:uiPriority w:val="0"/>
    <w:pPr>
      <w:numPr>
        <w:ilvl w:val="1"/>
        <w:numId w:val="6"/>
      </w:numPr>
      <w:adjustRightInd w:val="0"/>
      <w:snapToGrid w:val="0"/>
      <w:spacing w:beforeLines="50" w:afterLines="50"/>
      <w:jc w:val="center"/>
    </w:pPr>
    <w:rPr>
      <w:rFonts w:ascii="黑体" w:hAnsi="Times New Roman" w:eastAsia="黑体" w:cs="Times New Roman"/>
      <w:sz w:val="21"/>
      <w:lang w:val="en-US" w:eastAsia="zh-CN" w:bidi="ar-SA"/>
    </w:rPr>
  </w:style>
  <w:style w:type="paragraph" w:customStyle="1" w:styleId="85">
    <w:name w:val="标准文件_附录五级条标题"/>
    <w:next w:val="57"/>
    <w:qFormat/>
    <w:uiPriority w:val="0"/>
    <w:pPr>
      <w:widowControl w:val="0"/>
      <w:numPr>
        <w:ilvl w:val="5"/>
        <w:numId w:val="4"/>
      </w:numPr>
      <w:spacing w:beforeLines="50" w:afterLines="50"/>
      <w:jc w:val="both"/>
      <w:outlineLvl w:val="6"/>
    </w:pPr>
    <w:rPr>
      <w:rFonts w:ascii="黑体" w:hAnsi="Times New Roman" w:eastAsia="黑体" w:cs="Times New Roman"/>
      <w:kern w:val="21"/>
      <w:sz w:val="21"/>
      <w:lang w:val="en-US" w:eastAsia="zh-CN" w:bidi="ar-SA"/>
    </w:rPr>
  </w:style>
  <w:style w:type="paragraph" w:customStyle="1" w:styleId="86">
    <w:name w:val="标准文件_附录英文标识"/>
    <w:next w:val="14"/>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7">
    <w:name w:val="正文文本 Char"/>
    <w:link w:val="14"/>
    <w:qFormat/>
    <w:uiPriority w:val="0"/>
    <w:rPr>
      <w:kern w:val="2"/>
      <w:sz w:val="21"/>
      <w:szCs w:val="21"/>
    </w:rPr>
  </w:style>
  <w:style w:type="paragraph" w:customStyle="1" w:styleId="88">
    <w:name w:val="标准文件_附录章标题"/>
    <w:next w:val="57"/>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9">
    <w:name w:val="标准文件_公式后的破折号"/>
    <w:basedOn w:val="57"/>
    <w:next w:val="57"/>
    <w:qFormat/>
    <w:uiPriority w:val="0"/>
    <w:pPr>
      <w:ind w:left="488" w:leftChars="200" w:hanging="289" w:hangingChars="290"/>
    </w:pPr>
  </w:style>
  <w:style w:type="paragraph" w:customStyle="1" w:styleId="90">
    <w:name w:val="标准文件_前言、引言标题"/>
    <w:next w:val="1"/>
    <w:qFormat/>
    <w:uiPriority w:val="0"/>
    <w:pPr>
      <w:numPr>
        <w:ilvl w:val="0"/>
        <w:numId w:val="8"/>
      </w:numPr>
      <w:shd w:val="clear" w:color="FFFFFF" w:fill="FFFFFF"/>
      <w:spacing w:before="480" w:afterLines="150"/>
      <w:jc w:val="center"/>
      <w:outlineLvl w:val="0"/>
    </w:pPr>
    <w:rPr>
      <w:rFonts w:ascii="黑体" w:hAnsi="Times New Roman" w:eastAsia="黑体" w:cs="Times New Roman"/>
      <w:sz w:val="32"/>
      <w:lang w:val="en-US" w:eastAsia="zh-CN" w:bidi="ar-SA"/>
    </w:rPr>
  </w:style>
  <w:style w:type="paragraph" w:customStyle="1" w:styleId="91">
    <w:name w:val="标准文件_目次、标准名称标题"/>
    <w:basedOn w:val="90"/>
    <w:next w:val="57"/>
    <w:qFormat/>
    <w:uiPriority w:val="0"/>
    <w:pPr>
      <w:spacing w:line="460" w:lineRule="exact"/>
      <w:ind w:left="0" w:firstLine="0"/>
    </w:pPr>
  </w:style>
  <w:style w:type="paragraph" w:customStyle="1" w:styleId="92">
    <w:name w:val="标准文件_目录标题"/>
    <w:basedOn w:val="1"/>
    <w:qFormat/>
    <w:uiPriority w:val="0"/>
    <w:pPr>
      <w:spacing w:before="480" w:afterLines="150" w:line="240" w:lineRule="auto"/>
      <w:jc w:val="center"/>
    </w:pPr>
    <w:rPr>
      <w:rFonts w:ascii="黑体" w:eastAsia="黑体"/>
      <w:sz w:val="32"/>
    </w:rPr>
  </w:style>
  <w:style w:type="paragraph" w:customStyle="1" w:styleId="93">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4">
    <w:name w:val="标准文件_破折号列项（二级）"/>
    <w:basedOn w:val="93"/>
    <w:qFormat/>
    <w:uiPriority w:val="0"/>
    <w:pPr>
      <w:numPr>
        <w:numId w:val="10"/>
      </w:numPr>
    </w:pPr>
  </w:style>
  <w:style w:type="paragraph" w:customStyle="1" w:styleId="95">
    <w:name w:val="标准文件_三级条标题"/>
    <w:basedOn w:val="66"/>
    <w:next w:val="57"/>
    <w:qFormat/>
    <w:uiPriority w:val="0"/>
    <w:pPr>
      <w:widowControl/>
      <w:numPr>
        <w:ilvl w:val="4"/>
      </w:numPr>
      <w:outlineLvl w:val="3"/>
    </w:pPr>
  </w:style>
  <w:style w:type="character" w:customStyle="1" w:styleId="96">
    <w:name w:val="不明显参考1"/>
    <w:qFormat/>
    <w:uiPriority w:val="31"/>
    <w:rPr>
      <w:smallCaps/>
      <w:color w:val="C0504D"/>
      <w:u w:val="single"/>
    </w:rPr>
  </w:style>
  <w:style w:type="paragraph" w:customStyle="1" w:styleId="97">
    <w:name w:val="标准文件_示例后续"/>
    <w:basedOn w:val="1"/>
    <w:qFormat/>
    <w:uiPriority w:val="0"/>
    <w:pPr>
      <w:adjustRightInd/>
      <w:spacing w:line="240" w:lineRule="auto"/>
      <w:ind w:firstLine="200" w:firstLineChars="200"/>
    </w:pPr>
    <w:rPr>
      <w:sz w:val="18"/>
      <w:szCs w:val="24"/>
    </w:rPr>
  </w:style>
  <w:style w:type="paragraph" w:customStyle="1" w:styleId="98">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9">
    <w:name w:val="标准文件_四级条标题"/>
    <w:next w:val="57"/>
    <w:qFormat/>
    <w:uiPriority w:val="0"/>
    <w:pPr>
      <w:widowControl w:val="0"/>
      <w:numPr>
        <w:ilvl w:val="5"/>
        <w:numId w:val="2"/>
      </w:numPr>
      <w:spacing w:beforeLines="50" w:afterLines="50"/>
      <w:jc w:val="both"/>
      <w:outlineLvl w:val="4"/>
    </w:pPr>
    <w:rPr>
      <w:rFonts w:ascii="黑体" w:hAnsi="Times New Roman" w:eastAsia="黑体" w:cs="Times New Roman"/>
      <w:sz w:val="21"/>
      <w:lang w:val="en-US" w:eastAsia="zh-CN" w:bidi="ar-SA"/>
    </w:rPr>
  </w:style>
  <w:style w:type="character" w:customStyle="1" w:styleId="100">
    <w:name w:val="脚注文本 Char"/>
    <w:link w:val="22"/>
    <w:semiHidden/>
    <w:qFormat/>
    <w:uiPriority w:val="0"/>
    <w:rPr>
      <w:rFonts w:ascii="宋体"/>
      <w:kern w:val="2"/>
      <w:sz w:val="18"/>
      <w:szCs w:val="18"/>
    </w:rPr>
  </w:style>
  <w:style w:type="paragraph" w:customStyle="1" w:styleId="101">
    <w:name w:val="标准文件_条文脚注"/>
    <w:basedOn w:val="22"/>
    <w:qFormat/>
    <w:uiPriority w:val="0"/>
    <w:pPr>
      <w:adjustRightInd w:val="0"/>
      <w:spacing w:line="240" w:lineRule="auto"/>
      <w:ind w:left="0" w:leftChars="0" w:firstLine="200" w:firstLineChars="200"/>
      <w:jc w:val="both"/>
    </w:pPr>
    <w:rPr>
      <w:rFonts w:hAnsi="宋体"/>
    </w:rPr>
  </w:style>
  <w:style w:type="paragraph" w:customStyle="1" w:styleId="102">
    <w:name w:val="标准文件_图表脚注"/>
    <w:basedOn w:val="1"/>
    <w:next w:val="57"/>
    <w:qFormat/>
    <w:uiPriority w:val="0"/>
    <w:pPr>
      <w:numPr>
        <w:ilvl w:val="0"/>
        <w:numId w:val="12"/>
      </w:numPr>
      <w:spacing w:line="240" w:lineRule="auto"/>
      <w:jc w:val="left"/>
    </w:pPr>
    <w:rPr>
      <w:rFonts w:ascii="宋体" w:hAnsi="宋体"/>
      <w:sz w:val="18"/>
    </w:rPr>
  </w:style>
  <w:style w:type="character" w:customStyle="1" w:styleId="103">
    <w:name w:val="标准文件_图表脚注内容"/>
    <w:qFormat/>
    <w:uiPriority w:val="0"/>
    <w:rPr>
      <w:rFonts w:ascii="宋体" w:hAnsi="宋体" w:eastAsia="宋体" w:cs="Times New Roman"/>
      <w:spacing w:val="0"/>
      <w:sz w:val="18"/>
      <w:vertAlign w:val="superscript"/>
    </w:rPr>
  </w:style>
  <w:style w:type="paragraph" w:customStyle="1" w:styleId="104">
    <w:name w:val="标准文件_五级条标题"/>
    <w:next w:val="57"/>
    <w:qFormat/>
    <w:uiPriority w:val="0"/>
    <w:pPr>
      <w:widowControl w:val="0"/>
      <w:numPr>
        <w:ilvl w:val="6"/>
        <w:numId w:val="2"/>
      </w:numPr>
      <w:spacing w:beforeLines="50" w:afterLines="50"/>
      <w:jc w:val="both"/>
      <w:outlineLvl w:val="5"/>
    </w:pPr>
    <w:rPr>
      <w:rFonts w:ascii="黑体" w:hAnsi="Times New Roman" w:eastAsia="黑体" w:cs="Times New Roman"/>
      <w:sz w:val="21"/>
      <w:lang w:val="en-US" w:eastAsia="zh-CN" w:bidi="ar-SA"/>
    </w:rPr>
  </w:style>
  <w:style w:type="paragraph" w:customStyle="1" w:styleId="105">
    <w:name w:val="标准文件_章标题"/>
    <w:next w:val="57"/>
    <w:qFormat/>
    <w:uiPriority w:val="0"/>
    <w:pPr>
      <w:numPr>
        <w:ilvl w:val="1"/>
        <w:numId w:val="2"/>
      </w:numPr>
      <w:spacing w:beforeLines="100" w:afterLines="100"/>
      <w:jc w:val="both"/>
      <w:outlineLvl w:val="0"/>
    </w:pPr>
    <w:rPr>
      <w:rFonts w:ascii="黑体" w:hAnsi="Times New Roman" w:eastAsia="黑体" w:cs="Times New Roman"/>
      <w:sz w:val="21"/>
      <w:lang w:val="en-US" w:eastAsia="zh-CN" w:bidi="ar-SA"/>
    </w:rPr>
  </w:style>
  <w:style w:type="paragraph" w:customStyle="1" w:styleId="106">
    <w:name w:val="标准文件_一级条标题"/>
    <w:basedOn w:val="105"/>
    <w:next w:val="57"/>
    <w:qFormat/>
    <w:uiPriority w:val="0"/>
    <w:pPr>
      <w:numPr>
        <w:ilvl w:val="2"/>
      </w:numPr>
      <w:spacing w:beforeLines="50" w:afterLines="50"/>
      <w:outlineLvl w:val="1"/>
    </w:pPr>
  </w:style>
  <w:style w:type="paragraph" w:customStyle="1" w:styleId="107">
    <w:name w:val="标准文件_一致程度"/>
    <w:basedOn w:val="1"/>
    <w:qFormat/>
    <w:uiPriority w:val="0"/>
    <w:pPr>
      <w:spacing w:line="440" w:lineRule="exact"/>
      <w:jc w:val="center"/>
    </w:pPr>
    <w:rPr>
      <w:sz w:val="28"/>
    </w:rPr>
  </w:style>
  <w:style w:type="paragraph" w:customStyle="1" w:styleId="108">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9">
    <w:name w:val="标准文件_英文图表脚注"/>
    <w:basedOn w:val="56"/>
    <w:qFormat/>
    <w:uiPriority w:val="0"/>
    <w:pPr>
      <w:widowControl/>
      <w:adjustRightInd/>
      <w:snapToGrid/>
      <w:spacing w:line="240" w:lineRule="auto"/>
      <w:ind w:left="79" w:hanging="79" w:hangingChars="80"/>
    </w:pPr>
    <w:rPr>
      <w:rFonts w:ascii="宋体" w:hAnsi="宋体"/>
    </w:rPr>
  </w:style>
  <w:style w:type="paragraph" w:customStyle="1" w:styleId="110">
    <w:name w:val="标准文件_数字编号列项（二级）"/>
    <w:qFormat/>
    <w:uiPriority w:val="0"/>
    <w:pPr>
      <w:numPr>
        <w:ilvl w:val="1"/>
        <w:numId w:val="13"/>
      </w:numPr>
      <w:tabs>
        <w:tab w:val="left" w:pos="851"/>
      </w:tabs>
      <w:jc w:val="both"/>
    </w:pPr>
    <w:rPr>
      <w:rFonts w:ascii="宋体" w:hAnsi="Times New Roman" w:eastAsia="宋体" w:cs="Times New Roman"/>
      <w:sz w:val="21"/>
      <w:lang w:val="en-US" w:eastAsia="zh-CN" w:bidi="ar-SA"/>
    </w:rPr>
  </w:style>
  <w:style w:type="paragraph" w:customStyle="1" w:styleId="111">
    <w:name w:val="标准文件_英文注："/>
    <w:basedOn w:val="1"/>
    <w:next w:val="57"/>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2">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3">
    <w:name w:val="标准文件_正文表标题"/>
    <w:next w:val="57"/>
    <w:qFormat/>
    <w:uiPriority w:val="0"/>
    <w:pPr>
      <w:numPr>
        <w:ilvl w:val="0"/>
        <w:numId w:val="16"/>
      </w:numPr>
      <w:tabs>
        <w:tab w:val="left" w:pos="0"/>
      </w:tabs>
      <w:spacing w:beforeLines="50" w:afterLines="50"/>
      <w:jc w:val="center"/>
    </w:pPr>
    <w:rPr>
      <w:rFonts w:ascii="黑体" w:hAnsi="Times New Roman" w:eastAsia="黑体" w:cs="Times New Roman"/>
      <w:sz w:val="21"/>
      <w:lang w:val="en-US" w:eastAsia="zh-CN" w:bidi="ar-SA"/>
    </w:rPr>
  </w:style>
  <w:style w:type="paragraph" w:customStyle="1" w:styleId="114">
    <w:name w:val="标准文件_正文公式"/>
    <w:basedOn w:val="1"/>
    <w:next w:val="56"/>
    <w:qFormat/>
    <w:uiPriority w:val="0"/>
    <w:pPr>
      <w:tabs>
        <w:tab w:val="center" w:pos="4678"/>
        <w:tab w:val="right" w:leader="middleDot" w:pos="9356"/>
      </w:tabs>
      <w:spacing w:line="240" w:lineRule="auto"/>
    </w:pPr>
    <w:rPr>
      <w:rFonts w:ascii="宋体" w:hAnsi="宋体"/>
    </w:rPr>
  </w:style>
  <w:style w:type="paragraph" w:customStyle="1" w:styleId="115">
    <w:name w:val="标准文件_正文图标题"/>
    <w:next w:val="57"/>
    <w:qFormat/>
    <w:uiPriority w:val="0"/>
    <w:pPr>
      <w:numPr>
        <w:ilvl w:val="0"/>
        <w:numId w:val="17"/>
      </w:numPr>
      <w:spacing w:beforeLines="50" w:afterLines="50"/>
      <w:jc w:val="center"/>
    </w:pPr>
    <w:rPr>
      <w:rFonts w:ascii="黑体" w:hAnsi="Times New Roman" w:eastAsia="黑体" w:cs="Times New Roman"/>
      <w:sz w:val="21"/>
      <w:lang w:val="en-US" w:eastAsia="zh-CN" w:bidi="ar-SA"/>
    </w:rPr>
  </w:style>
  <w:style w:type="paragraph" w:customStyle="1" w:styleId="116">
    <w:name w:val="标准文件_正文英文表标题"/>
    <w:next w:val="57"/>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7">
    <w:name w:val="标准文件_正文英文图标题"/>
    <w:next w:val="57"/>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8">
    <w:name w:val="标准文件_编号列项（三级）"/>
    <w:qFormat/>
    <w:uiPriority w:val="0"/>
    <w:pPr>
      <w:numPr>
        <w:ilvl w:val="2"/>
        <w:numId w:val="13"/>
      </w:numPr>
      <w:tabs>
        <w:tab w:val="left" w:pos="851"/>
      </w:tabs>
    </w:pPr>
    <w:rPr>
      <w:rFonts w:ascii="宋体" w:hAnsi="Times New Roman" w:eastAsia="宋体" w:cs="Times New Roman"/>
      <w:sz w:val="21"/>
      <w:lang w:val="en-US" w:eastAsia="zh-CN" w:bidi="ar-SA"/>
    </w:rPr>
  </w:style>
  <w:style w:type="paragraph" w:customStyle="1" w:styleId="119">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0">
    <w:name w:val="发布部门"/>
    <w:next w:val="57"/>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1">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2">
    <w:name w:val="封面标准代替信息"/>
    <w:basedOn w:val="1"/>
    <w:qFormat/>
    <w:uiPriority w:val="0"/>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3">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4">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5">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6">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7">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8">
    <w:name w:val="封面正文"/>
    <w:qFormat/>
    <w:uiPriority w:val="0"/>
    <w:pPr>
      <w:jc w:val="both"/>
    </w:pPr>
    <w:rPr>
      <w:rFonts w:ascii="Times New Roman" w:hAnsi="Times New Roman" w:eastAsia="宋体" w:cs="Times New Roman"/>
      <w:lang w:val="en-US" w:eastAsia="zh-CN" w:bidi="ar-SA"/>
    </w:rPr>
  </w:style>
  <w:style w:type="paragraph" w:customStyle="1" w:styleId="129">
    <w:name w:val="附录二级无标题条"/>
    <w:basedOn w:val="1"/>
    <w:next w:val="57"/>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0">
    <w:name w:val="附录三级无标题条"/>
    <w:basedOn w:val="129"/>
    <w:next w:val="57"/>
    <w:qFormat/>
    <w:uiPriority w:val="0"/>
    <w:pPr>
      <w:outlineLvl w:val="4"/>
    </w:pPr>
  </w:style>
  <w:style w:type="paragraph" w:customStyle="1" w:styleId="131">
    <w:name w:val="附录四级无标题条"/>
    <w:basedOn w:val="130"/>
    <w:next w:val="57"/>
    <w:qFormat/>
    <w:uiPriority w:val="0"/>
    <w:pPr>
      <w:outlineLvl w:val="5"/>
    </w:pPr>
  </w:style>
  <w:style w:type="paragraph" w:customStyle="1" w:styleId="132">
    <w:name w:val="附录图"/>
    <w:next w:val="57"/>
    <w:qFormat/>
    <w:uiPriority w:val="0"/>
    <w:pPr>
      <w:wordWrap w:val="0"/>
      <w:overflowPunct w:val="0"/>
      <w:autoSpaceDE w:val="0"/>
      <w:spacing w:beforeLines="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3">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4">
    <w:name w:val="附录五级无标题条"/>
    <w:basedOn w:val="131"/>
    <w:next w:val="57"/>
    <w:qFormat/>
    <w:uiPriority w:val="0"/>
    <w:pPr>
      <w:outlineLvl w:val="6"/>
    </w:pPr>
  </w:style>
  <w:style w:type="paragraph" w:customStyle="1" w:styleId="135">
    <w:name w:val="附录性质"/>
    <w:basedOn w:val="1"/>
    <w:qFormat/>
    <w:uiPriority w:val="0"/>
    <w:pPr>
      <w:widowControl/>
      <w:adjustRightInd/>
      <w:jc w:val="center"/>
    </w:pPr>
    <w:rPr>
      <w:rFonts w:ascii="黑体" w:eastAsia="黑体"/>
    </w:rPr>
  </w:style>
  <w:style w:type="paragraph" w:customStyle="1" w:styleId="136">
    <w:name w:val="附录一级无标题条"/>
    <w:basedOn w:val="88"/>
    <w:next w:val="57"/>
    <w:qFormat/>
    <w:uiPriority w:val="0"/>
    <w:pPr>
      <w:autoSpaceDN w:val="0"/>
      <w:outlineLvl w:val="2"/>
    </w:pPr>
    <w:rPr>
      <w:rFonts w:ascii="宋体" w:hAnsi="宋体" w:eastAsia="宋体"/>
    </w:rPr>
  </w:style>
  <w:style w:type="character" w:customStyle="1" w:styleId="137">
    <w:name w:val="个人答复风格"/>
    <w:qFormat/>
    <w:uiPriority w:val="0"/>
    <w:rPr>
      <w:rFonts w:ascii="Arial" w:hAnsi="Arial" w:eastAsia="宋体" w:cs="Arial"/>
      <w:color w:val="auto"/>
      <w:spacing w:val="0"/>
      <w:sz w:val="20"/>
    </w:rPr>
  </w:style>
  <w:style w:type="character" w:customStyle="1" w:styleId="138">
    <w:name w:val="个人撰写风格"/>
    <w:qFormat/>
    <w:uiPriority w:val="0"/>
    <w:rPr>
      <w:rFonts w:ascii="Arial" w:hAnsi="Arial" w:eastAsia="宋体" w:cs="Arial"/>
      <w:color w:val="auto"/>
      <w:spacing w:val="0"/>
      <w:sz w:val="20"/>
    </w:rPr>
  </w:style>
  <w:style w:type="paragraph" w:customStyle="1" w:styleId="139">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0">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1">
    <w:name w:val="列项·"/>
    <w:basedOn w:val="57"/>
    <w:qFormat/>
    <w:uiPriority w:val="0"/>
    <w:pPr>
      <w:tabs>
        <w:tab w:val="left" w:pos="840"/>
      </w:tabs>
    </w:pPr>
  </w:style>
  <w:style w:type="paragraph" w:customStyle="1" w:styleId="142">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3">
    <w:name w:val="目录 21"/>
    <w:basedOn w:val="1"/>
    <w:next w:val="1"/>
    <w:semiHidden/>
    <w:qFormat/>
    <w:uiPriority w:val="0"/>
    <w:pPr>
      <w:adjustRightInd/>
      <w:spacing w:line="240" w:lineRule="auto"/>
      <w:jc w:val="left"/>
    </w:pPr>
    <w:rPr>
      <w:bCs/>
      <w:iCs/>
    </w:rPr>
  </w:style>
  <w:style w:type="paragraph" w:customStyle="1" w:styleId="144">
    <w:name w:val="目录 31"/>
    <w:basedOn w:val="1"/>
    <w:next w:val="1"/>
    <w:semiHidden/>
    <w:qFormat/>
    <w:uiPriority w:val="0"/>
    <w:pPr>
      <w:spacing w:line="240" w:lineRule="auto"/>
    </w:pPr>
    <w:rPr>
      <w:rFonts w:ascii="宋体" w:hAnsi="宋体"/>
      <w:iCs/>
    </w:rPr>
  </w:style>
  <w:style w:type="paragraph" w:customStyle="1" w:styleId="145">
    <w:name w:val="目录 41"/>
    <w:basedOn w:val="1"/>
    <w:next w:val="1"/>
    <w:semiHidden/>
    <w:qFormat/>
    <w:uiPriority w:val="0"/>
    <w:pPr>
      <w:adjustRightInd/>
      <w:spacing w:line="240" w:lineRule="auto"/>
      <w:jc w:val="left"/>
    </w:pPr>
  </w:style>
  <w:style w:type="paragraph" w:customStyle="1" w:styleId="146">
    <w:name w:val="目录 51"/>
    <w:basedOn w:val="1"/>
    <w:next w:val="1"/>
    <w:semiHidden/>
    <w:qFormat/>
    <w:uiPriority w:val="0"/>
    <w:pPr>
      <w:spacing w:line="240" w:lineRule="auto"/>
    </w:pPr>
    <w:rPr>
      <w:rFonts w:ascii="宋体" w:hAnsi="宋体"/>
    </w:rPr>
  </w:style>
  <w:style w:type="paragraph" w:customStyle="1" w:styleId="147">
    <w:name w:val="目录 61"/>
    <w:basedOn w:val="1"/>
    <w:next w:val="1"/>
    <w:semiHidden/>
    <w:qFormat/>
    <w:uiPriority w:val="0"/>
    <w:pPr>
      <w:adjustRightInd/>
      <w:spacing w:line="240" w:lineRule="auto"/>
      <w:jc w:val="left"/>
    </w:pPr>
  </w:style>
  <w:style w:type="paragraph" w:customStyle="1" w:styleId="148">
    <w:name w:val="目录 71"/>
    <w:basedOn w:val="147"/>
    <w:semiHidden/>
    <w:qFormat/>
    <w:uiPriority w:val="0"/>
    <w:pPr>
      <w:ind w:left="1260"/>
    </w:pPr>
  </w:style>
  <w:style w:type="paragraph" w:customStyle="1" w:styleId="149">
    <w:name w:val="目录 81"/>
    <w:basedOn w:val="148"/>
    <w:semiHidden/>
    <w:qFormat/>
    <w:uiPriority w:val="0"/>
    <w:pPr>
      <w:ind w:left="1470"/>
    </w:pPr>
  </w:style>
  <w:style w:type="paragraph" w:customStyle="1" w:styleId="150">
    <w:name w:val="目录 91"/>
    <w:basedOn w:val="149"/>
    <w:semiHidden/>
    <w:qFormat/>
    <w:uiPriority w:val="0"/>
    <w:pPr>
      <w:ind w:left="1680"/>
    </w:pPr>
  </w:style>
  <w:style w:type="paragraph" w:customStyle="1" w:styleId="151">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2">
    <w:name w:val="其他发布部门"/>
    <w:basedOn w:val="120"/>
    <w:qFormat/>
    <w:uiPriority w:val="0"/>
    <w:pPr>
      <w:spacing w:line="0" w:lineRule="atLeast"/>
    </w:pPr>
    <w:rPr>
      <w:rFonts w:ascii="黑体" w:eastAsia="黑体"/>
      <w:b w:val="0"/>
    </w:rPr>
  </w:style>
  <w:style w:type="paragraph" w:customStyle="1" w:styleId="153">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4">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5">
    <w:name w:val="实施日期"/>
    <w:basedOn w:val="121"/>
    <w:qFormat/>
    <w:uiPriority w:val="0"/>
    <w:pPr>
      <w:framePr w:hSpace="0" w:xAlign="right"/>
      <w:jc w:val="right"/>
    </w:pPr>
  </w:style>
  <w:style w:type="paragraph" w:customStyle="1" w:styleId="156">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7">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8">
    <w:name w:val="无标题条"/>
    <w:next w:val="57"/>
    <w:qFormat/>
    <w:uiPriority w:val="0"/>
    <w:pPr>
      <w:jc w:val="both"/>
    </w:pPr>
    <w:rPr>
      <w:rFonts w:ascii="宋体" w:hAnsi="宋体" w:eastAsia="宋体" w:cs="Times New Roman"/>
      <w:sz w:val="21"/>
      <w:lang w:val="en-US" w:eastAsia="zh-CN" w:bidi="ar-SA"/>
    </w:rPr>
  </w:style>
  <w:style w:type="paragraph" w:customStyle="1" w:styleId="159">
    <w:name w:val="五级无标题条"/>
    <w:basedOn w:val="1"/>
    <w:qFormat/>
    <w:uiPriority w:val="0"/>
    <w:pPr>
      <w:numPr>
        <w:ilvl w:val="6"/>
        <w:numId w:val="20"/>
      </w:numPr>
      <w:adjustRightInd/>
    </w:pPr>
    <w:rPr>
      <w:szCs w:val="24"/>
    </w:rPr>
  </w:style>
  <w:style w:type="paragraph" w:customStyle="1" w:styleId="160">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1">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2">
    <w:name w:val="注×:后续"/>
    <w:basedOn w:val="161"/>
    <w:qFormat/>
    <w:uiPriority w:val="0"/>
    <w:pPr>
      <w:ind w:left="1406" w:leftChars="0" w:hanging="499" w:firstLineChars="0"/>
    </w:pPr>
  </w:style>
  <w:style w:type="paragraph" w:customStyle="1" w:styleId="163">
    <w:name w:val="标准文件_一级无标题"/>
    <w:basedOn w:val="106"/>
    <w:qFormat/>
    <w:uiPriority w:val="0"/>
    <w:pPr>
      <w:spacing w:beforeLines="0" w:afterLines="0"/>
      <w:outlineLvl w:val="9"/>
    </w:pPr>
    <w:rPr>
      <w:rFonts w:ascii="宋体" w:eastAsia="宋体"/>
    </w:rPr>
  </w:style>
  <w:style w:type="paragraph" w:customStyle="1" w:styleId="164">
    <w:name w:val="标准文件_五级无标题"/>
    <w:basedOn w:val="104"/>
    <w:qFormat/>
    <w:uiPriority w:val="0"/>
    <w:pPr>
      <w:spacing w:beforeLines="0" w:afterLines="0"/>
      <w:outlineLvl w:val="9"/>
    </w:pPr>
    <w:rPr>
      <w:rFonts w:ascii="宋体" w:eastAsia="宋体"/>
    </w:rPr>
  </w:style>
  <w:style w:type="paragraph" w:customStyle="1" w:styleId="165">
    <w:name w:val="标准文件_三级无标题"/>
    <w:basedOn w:val="95"/>
    <w:qFormat/>
    <w:uiPriority w:val="0"/>
    <w:pPr>
      <w:spacing w:beforeLines="0" w:afterLines="0"/>
      <w:outlineLvl w:val="9"/>
    </w:pPr>
    <w:rPr>
      <w:rFonts w:ascii="宋体" w:eastAsia="宋体"/>
    </w:rPr>
  </w:style>
  <w:style w:type="paragraph" w:customStyle="1" w:styleId="166">
    <w:name w:val="标准文件_二级无标题"/>
    <w:basedOn w:val="66"/>
    <w:qFormat/>
    <w:uiPriority w:val="0"/>
    <w:pPr>
      <w:spacing w:beforeLines="0" w:afterLines="0"/>
      <w:outlineLvl w:val="9"/>
    </w:pPr>
    <w:rPr>
      <w:rFonts w:ascii="宋体" w:eastAsia="宋体"/>
    </w:rPr>
  </w:style>
  <w:style w:type="paragraph" w:customStyle="1" w:styleId="167">
    <w:name w:val="标准_四级无标题"/>
    <w:basedOn w:val="99"/>
    <w:next w:val="57"/>
    <w:qFormat/>
    <w:uiPriority w:val="0"/>
    <w:rPr>
      <w:rFonts w:eastAsia="宋体"/>
    </w:rPr>
  </w:style>
  <w:style w:type="paragraph" w:customStyle="1" w:styleId="168">
    <w:name w:val="标准文件_四级无标题"/>
    <w:basedOn w:val="99"/>
    <w:qFormat/>
    <w:uiPriority w:val="0"/>
    <w:pPr>
      <w:spacing w:beforeLines="0" w:afterLines="0"/>
      <w:outlineLvl w:val="9"/>
    </w:pPr>
    <w:rPr>
      <w:rFonts w:ascii="宋体" w:hAnsi="黑体" w:eastAsia="宋体"/>
      <w:szCs w:val="52"/>
    </w:rPr>
  </w:style>
  <w:style w:type="paragraph" w:customStyle="1" w:styleId="169">
    <w:name w:val="标准文件_大写罗马数字编号列项"/>
    <w:basedOn w:val="57"/>
    <w:qFormat/>
    <w:uiPriority w:val="0"/>
    <w:pPr>
      <w:numPr>
        <w:ilvl w:val="0"/>
        <w:numId w:val="23"/>
      </w:numPr>
      <w:ind w:firstLine="0" w:firstLineChars="0"/>
    </w:pPr>
    <w:rPr>
      <w:rFonts w:ascii="Times New Roman" w:cs="Arial"/>
      <w:szCs w:val="28"/>
    </w:rPr>
  </w:style>
  <w:style w:type="paragraph" w:customStyle="1" w:styleId="170">
    <w:name w:val="标准文件_小写罗马数字编号列项"/>
    <w:basedOn w:val="57"/>
    <w:qFormat/>
    <w:uiPriority w:val="0"/>
    <w:pPr>
      <w:numPr>
        <w:ilvl w:val="0"/>
        <w:numId w:val="24"/>
      </w:numPr>
      <w:ind w:firstLine="0" w:firstLineChars="0"/>
    </w:pPr>
    <w:rPr>
      <w:rFonts w:cs="Arial"/>
      <w:szCs w:val="28"/>
    </w:rPr>
  </w:style>
  <w:style w:type="paragraph" w:customStyle="1" w:styleId="171">
    <w:name w:val="标准文件_附录标题"/>
    <w:basedOn w:val="77"/>
    <w:qFormat/>
    <w:uiPriority w:val="0"/>
    <w:pPr>
      <w:numPr>
        <w:numId w:val="0"/>
      </w:numPr>
      <w:spacing w:after="280"/>
      <w:outlineLvl w:val="9"/>
    </w:pPr>
  </w:style>
  <w:style w:type="paragraph" w:customStyle="1" w:styleId="172">
    <w:name w:val="标准文件_二级项"/>
    <w:qFormat/>
    <w:uiPriority w:val="0"/>
    <w:rPr>
      <w:rFonts w:ascii="宋体" w:hAnsi="Times New Roman" w:eastAsia="宋体" w:cs="Times New Roman"/>
      <w:sz w:val="21"/>
      <w:lang w:val="en-US" w:eastAsia="zh-CN" w:bidi="ar-SA"/>
    </w:rPr>
  </w:style>
  <w:style w:type="paragraph" w:customStyle="1" w:styleId="173">
    <w:name w:val="标准文件_三级项"/>
    <w:basedOn w:val="1"/>
    <w:qFormat/>
    <w:uiPriority w:val="0"/>
    <w:pPr>
      <w:numPr>
        <w:ilvl w:val="2"/>
        <w:numId w:val="21"/>
      </w:numPr>
      <w:spacing w:line="536870612" w:lineRule="auto"/>
    </w:pPr>
    <w:rPr>
      <w:rFonts w:ascii="Times New Roman" w:hAnsi="Times New Roman"/>
    </w:rPr>
  </w:style>
  <w:style w:type="paragraph" w:customStyle="1" w:styleId="174">
    <w:name w:val="图表脚注说明"/>
    <w:basedOn w:val="1"/>
    <w:next w:val="57"/>
    <w:qFormat/>
    <w:uiPriority w:val="0"/>
    <w:pPr>
      <w:numPr>
        <w:ilvl w:val="0"/>
        <w:numId w:val="25"/>
      </w:numPr>
      <w:adjustRightInd/>
      <w:spacing w:line="240" w:lineRule="auto"/>
    </w:pPr>
    <w:rPr>
      <w:rFonts w:ascii="宋体" w:hAnsi="Times New Roman"/>
      <w:sz w:val="18"/>
      <w:szCs w:val="18"/>
    </w:rPr>
  </w:style>
  <w:style w:type="paragraph" w:customStyle="1" w:styleId="175">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6">
    <w:name w:val="标准文件_索引字母"/>
    <w:next w:val="57"/>
    <w:qFormat/>
    <w:uiPriority w:val="0"/>
    <w:pPr>
      <w:jc w:val="center"/>
    </w:pPr>
    <w:rPr>
      <w:rFonts w:ascii="宋体" w:hAnsi="宋体" w:eastAsia="Times New Roman" w:cs="Times New Roman"/>
      <w:b/>
      <w:kern w:val="2"/>
      <w:sz w:val="21"/>
      <w:lang w:val="en-US" w:eastAsia="zh-CN" w:bidi="ar-SA"/>
    </w:rPr>
  </w:style>
  <w:style w:type="paragraph" w:customStyle="1" w:styleId="177">
    <w:name w:val="标准文件_附录前"/>
    <w:next w:val="57"/>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8">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9">
    <w:name w:val="标准文件_表格"/>
    <w:basedOn w:val="57"/>
    <w:qFormat/>
    <w:uiPriority w:val="0"/>
    <w:pPr>
      <w:ind w:firstLine="0" w:firstLineChars="0"/>
      <w:jc w:val="center"/>
    </w:pPr>
    <w:rPr>
      <w:sz w:val="18"/>
    </w:rPr>
  </w:style>
  <w:style w:type="paragraph" w:customStyle="1" w:styleId="180">
    <w:name w:val="标准文件_注："/>
    <w:next w:val="57"/>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示例："/>
    <w:next w:val="183"/>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3">
    <w:name w:val="标准文件_示例内容"/>
    <w:basedOn w:val="57"/>
    <w:qFormat/>
    <w:uiPriority w:val="0"/>
    <w:pPr>
      <w:ind w:firstLine="420"/>
    </w:pPr>
    <w:rPr>
      <w:sz w:val="18"/>
    </w:rPr>
  </w:style>
  <w:style w:type="paragraph" w:customStyle="1" w:styleId="184">
    <w:name w:val="标准文件_示例×："/>
    <w:basedOn w:val="1"/>
    <w:next w:val="183"/>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5">
    <w:name w:val="标准文件_段 Char"/>
    <w:link w:val="57"/>
    <w:qFormat/>
    <w:uiPriority w:val="0"/>
    <w:rPr>
      <w:rFonts w:ascii="宋体" w:hAnsi="Times New Roman"/>
      <w:sz w:val="21"/>
    </w:rPr>
  </w:style>
  <w:style w:type="paragraph" w:customStyle="1" w:styleId="186">
    <w:name w:val="标准文件_表格续"/>
    <w:basedOn w:val="57"/>
    <w:next w:val="57"/>
    <w:qFormat/>
    <w:uiPriority w:val="0"/>
    <w:pPr>
      <w:jc w:val="center"/>
    </w:pPr>
    <w:rPr>
      <w:rFonts w:ascii="黑体" w:hAnsi="黑体" w:eastAsia="黑体"/>
    </w:rPr>
  </w:style>
  <w:style w:type="character" w:styleId="187">
    <w:name w:val="Placeholder Text"/>
    <w:basedOn w:val="29"/>
    <w:semiHidden/>
    <w:qFormat/>
    <w:uiPriority w:val="99"/>
    <w:rPr>
      <w:color w:val="808080"/>
    </w:rPr>
  </w:style>
  <w:style w:type="paragraph" w:customStyle="1" w:styleId="188">
    <w:name w:val="标准文件_二级项2"/>
    <w:basedOn w:val="57"/>
    <w:qFormat/>
    <w:uiPriority w:val="0"/>
    <w:pPr>
      <w:numPr>
        <w:ilvl w:val="1"/>
        <w:numId w:val="21"/>
      </w:numPr>
      <w:ind w:firstLine="0" w:firstLineChars="0"/>
    </w:pPr>
  </w:style>
  <w:style w:type="paragraph" w:customStyle="1" w:styleId="189">
    <w:name w:val="标准文件_三级项2"/>
    <w:basedOn w:val="57"/>
    <w:qFormat/>
    <w:uiPriority w:val="0"/>
    <w:pPr>
      <w:numPr>
        <w:ilvl w:val="0"/>
        <w:numId w:val="30"/>
      </w:numPr>
      <w:spacing w:line="300" w:lineRule="exact"/>
      <w:ind w:firstLineChars="0"/>
    </w:pPr>
    <w:rPr>
      <w:rFonts w:ascii="Times New Roman"/>
    </w:rPr>
  </w:style>
  <w:style w:type="paragraph" w:customStyle="1" w:styleId="190">
    <w:name w:val="标准文件_一级项2"/>
    <w:basedOn w:val="57"/>
    <w:qFormat/>
    <w:uiPriority w:val="0"/>
    <w:pPr>
      <w:numPr>
        <w:ilvl w:val="0"/>
        <w:numId w:val="31"/>
      </w:numPr>
      <w:spacing w:line="300" w:lineRule="exact"/>
      <w:ind w:firstLineChars="0"/>
    </w:pPr>
    <w:rPr>
      <w:rFonts w:ascii="Times New Roman"/>
    </w:rPr>
  </w:style>
  <w:style w:type="paragraph" w:customStyle="1" w:styleId="191">
    <w:name w:val="标准文件_提示"/>
    <w:basedOn w:val="57"/>
    <w:next w:val="57"/>
    <w:qFormat/>
    <w:uiPriority w:val="0"/>
    <w:pPr>
      <w:ind w:firstLine="420"/>
    </w:pPr>
    <w:rPr>
      <w:rFonts w:ascii="黑体" w:eastAsia="黑体"/>
    </w:rPr>
  </w:style>
  <w:style w:type="character" w:customStyle="1" w:styleId="192">
    <w:name w:val="标准文件_来源"/>
    <w:basedOn w:val="29"/>
    <w:qFormat/>
    <w:uiPriority w:val="1"/>
    <w:rPr>
      <w:rFonts w:eastAsia="宋体"/>
      <w:sz w:val="21"/>
    </w:rPr>
  </w:style>
  <w:style w:type="paragraph" w:customStyle="1" w:styleId="193">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4">
    <w:name w:val="其他发布日期"/>
    <w:basedOn w:val="121"/>
    <w:qFormat/>
    <w:uiPriority w:val="0"/>
    <w:pPr>
      <w:framePr w:w="3997" w:h="471" w:hRule="exact" w:hSpace="0" w:vSpace="181" w:vAnchor="page" w:hAnchor="page" w:x="1419" w:y="14097"/>
    </w:pPr>
  </w:style>
  <w:style w:type="paragraph" w:customStyle="1" w:styleId="195">
    <w:name w:val="其他实施日期"/>
    <w:basedOn w:val="155"/>
    <w:qFormat/>
    <w:uiPriority w:val="0"/>
    <w:pPr>
      <w:framePr w:w="3997" w:h="471" w:hRule="exact" w:vSpace="181" w:vAnchor="page" w:hAnchor="page" w:x="7089" w:y="14097"/>
    </w:pPr>
  </w:style>
  <w:style w:type="paragraph" w:customStyle="1" w:styleId="196">
    <w:name w:val="标准文件_文件编号"/>
    <w:basedOn w:val="57"/>
    <w:qFormat/>
    <w:uiPriority w:val="0"/>
    <w:pPr>
      <w:framePr w:w="9356" w:h="624" w:hRule="exact" w:hSpace="181" w:vSpace="181" w:wrap="around" w:vAnchor="page" w:hAnchor="page" w:x="1419" w:y="3284"/>
      <w:wordWrap w:val="0"/>
      <w:spacing w:line="280" w:lineRule="exact"/>
      <w:ind w:firstLine="0" w:firstLineChars="0"/>
      <w:jc w:val="right"/>
    </w:pPr>
    <w:rPr>
      <w:rFonts w:ascii="黑体" w:eastAsia="黑体"/>
      <w:bCs/>
      <w:sz w:val="28"/>
      <w:szCs w:val="28"/>
    </w:rPr>
  </w:style>
  <w:style w:type="paragraph" w:customStyle="1" w:styleId="197">
    <w:name w:val="标准文件_替换文件编号"/>
    <w:basedOn w:val="196"/>
    <w:qFormat/>
    <w:uiPriority w:val="0"/>
    <w:pPr>
      <w:spacing w:before="57"/>
    </w:pPr>
    <w:rPr>
      <w:sz w:val="21"/>
    </w:rPr>
  </w:style>
  <w:style w:type="paragraph" w:customStyle="1" w:styleId="198">
    <w:name w:val="标准文件_文件名称"/>
    <w:basedOn w:val="57"/>
    <w:next w:val="57"/>
    <w:qFormat/>
    <w:uiPriority w:val="0"/>
    <w:pPr>
      <w:framePr w:w="9639" w:h="6976" w:hRule="exact" w:wrap="around" w:vAnchor="page" w:hAnchor="page" w:y="6408"/>
      <w:autoSpaceDE/>
      <w:autoSpaceDN/>
      <w:spacing w:line="700" w:lineRule="exact"/>
      <w:ind w:firstLine="0" w:firstLineChars="0"/>
      <w:jc w:val="center"/>
    </w:pPr>
    <w:rPr>
      <w:rFonts w:ascii="黑体" w:hAnsi="黑体" w:eastAsia="黑体"/>
      <w:bCs/>
      <w:sz w:val="52"/>
    </w:rPr>
  </w:style>
  <w:style w:type="paragraph" w:customStyle="1" w:styleId="199">
    <w:name w:val="标准文件_附录图标号"/>
    <w:basedOn w:val="57"/>
    <w:next w:val="57"/>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0">
    <w:name w:val="标准文件_附录表标号"/>
    <w:basedOn w:val="57"/>
    <w:next w:val="57"/>
    <w:qFormat/>
    <w:uiPriority w:val="0"/>
    <w:pPr>
      <w:numPr>
        <w:ilvl w:val="0"/>
        <w:numId w:val="5"/>
      </w:numPr>
      <w:spacing w:line="14" w:lineRule="exact"/>
      <w:ind w:firstLine="0" w:firstLineChars="0"/>
      <w:jc w:val="center"/>
    </w:pPr>
    <w:rPr>
      <w:rFonts w:eastAsia="黑体"/>
      <w:vanish/>
      <w:sz w:val="2"/>
    </w:rPr>
  </w:style>
  <w:style w:type="paragraph" w:customStyle="1" w:styleId="201">
    <w:name w:val="标准文件_引言一级条标题"/>
    <w:basedOn w:val="57"/>
    <w:next w:val="57"/>
    <w:qFormat/>
    <w:uiPriority w:val="0"/>
    <w:pPr>
      <w:numPr>
        <w:ilvl w:val="1"/>
        <w:numId w:val="8"/>
      </w:numPr>
      <w:spacing w:beforeLines="50" w:afterLines="50"/>
      <w:ind w:firstLineChars="0"/>
    </w:pPr>
    <w:rPr>
      <w:rFonts w:ascii="黑体" w:eastAsia="黑体"/>
    </w:rPr>
  </w:style>
  <w:style w:type="paragraph" w:customStyle="1" w:styleId="202">
    <w:name w:val="标准文件_引言二级条标题"/>
    <w:basedOn w:val="57"/>
    <w:next w:val="57"/>
    <w:qFormat/>
    <w:uiPriority w:val="0"/>
    <w:pPr>
      <w:numPr>
        <w:ilvl w:val="2"/>
        <w:numId w:val="8"/>
      </w:numPr>
      <w:spacing w:beforeLines="50" w:afterLines="50"/>
      <w:ind w:firstLineChars="0"/>
    </w:pPr>
    <w:rPr>
      <w:rFonts w:ascii="黑体" w:eastAsia="黑体"/>
    </w:rPr>
  </w:style>
  <w:style w:type="paragraph" w:customStyle="1" w:styleId="203">
    <w:name w:val="标准文件_引言三级条标题"/>
    <w:basedOn w:val="57"/>
    <w:next w:val="57"/>
    <w:qFormat/>
    <w:uiPriority w:val="0"/>
    <w:pPr>
      <w:numPr>
        <w:ilvl w:val="3"/>
        <w:numId w:val="8"/>
      </w:numPr>
      <w:spacing w:beforeLines="50" w:afterLines="50"/>
      <w:ind w:firstLineChars="0"/>
    </w:pPr>
    <w:rPr>
      <w:rFonts w:ascii="黑体" w:eastAsia="黑体"/>
    </w:rPr>
  </w:style>
  <w:style w:type="paragraph" w:customStyle="1" w:styleId="204">
    <w:name w:val="标准文件_引言四级条标题"/>
    <w:basedOn w:val="57"/>
    <w:next w:val="57"/>
    <w:qFormat/>
    <w:uiPriority w:val="0"/>
    <w:pPr>
      <w:numPr>
        <w:ilvl w:val="4"/>
        <w:numId w:val="8"/>
      </w:numPr>
      <w:spacing w:beforeLines="50" w:afterLines="50"/>
      <w:ind w:firstLineChars="0"/>
    </w:pPr>
    <w:rPr>
      <w:rFonts w:ascii="黑体" w:eastAsia="黑体"/>
    </w:rPr>
  </w:style>
  <w:style w:type="paragraph" w:customStyle="1" w:styleId="205">
    <w:name w:val="标准文件_引言五级条标题"/>
    <w:basedOn w:val="57"/>
    <w:next w:val="57"/>
    <w:qFormat/>
    <w:uiPriority w:val="0"/>
    <w:pPr>
      <w:numPr>
        <w:ilvl w:val="5"/>
        <w:numId w:val="8"/>
      </w:numPr>
      <w:spacing w:beforeLines="50" w:afterLines="50"/>
      <w:ind w:firstLineChars="0"/>
    </w:pPr>
    <w:rPr>
      <w:rFonts w:ascii="黑体" w:eastAsia="黑体"/>
    </w:rPr>
  </w:style>
  <w:style w:type="paragraph" w:customStyle="1" w:styleId="206">
    <w:name w:val="标准文件_注后"/>
    <w:basedOn w:val="57"/>
    <w:qFormat/>
    <w:uiPriority w:val="0"/>
    <w:pPr>
      <w:ind w:left="811" w:firstLine="0" w:firstLineChars="0"/>
    </w:pPr>
    <w:rPr>
      <w:sz w:val="18"/>
    </w:rPr>
  </w:style>
  <w:style w:type="paragraph" w:customStyle="1" w:styleId="207">
    <w:name w:val="标准文件_注X后"/>
    <w:basedOn w:val="57"/>
    <w:qFormat/>
    <w:uiPriority w:val="0"/>
    <w:pPr>
      <w:ind w:left="811" w:firstLine="0" w:firstLineChars="0"/>
    </w:pPr>
    <w:rPr>
      <w:sz w:val="18"/>
    </w:rPr>
  </w:style>
  <w:style w:type="paragraph" w:customStyle="1" w:styleId="208">
    <w:name w:val="标准文件_示例后"/>
    <w:basedOn w:val="57"/>
    <w:qFormat/>
    <w:uiPriority w:val="0"/>
    <w:pPr>
      <w:ind w:left="964" w:firstLine="0" w:firstLineChars="0"/>
    </w:pPr>
    <w:rPr>
      <w:sz w:val="18"/>
    </w:rPr>
  </w:style>
  <w:style w:type="paragraph" w:customStyle="1" w:styleId="209">
    <w:name w:val="标准文件_示例X后"/>
    <w:basedOn w:val="57"/>
    <w:link w:val="210"/>
    <w:qFormat/>
    <w:uiPriority w:val="0"/>
    <w:pPr>
      <w:ind w:left="1049" w:firstLine="0" w:firstLineChars="0"/>
    </w:pPr>
    <w:rPr>
      <w:sz w:val="18"/>
    </w:rPr>
  </w:style>
  <w:style w:type="character" w:customStyle="1" w:styleId="210">
    <w:name w:val="标准文件_示例X后 字符"/>
    <w:basedOn w:val="185"/>
    <w:link w:val="209"/>
    <w:qFormat/>
    <w:uiPriority w:val="0"/>
    <w:rPr>
      <w:rFonts w:ascii="宋体" w:hAnsi="Times New Roman"/>
      <w:sz w:val="18"/>
    </w:rPr>
  </w:style>
  <w:style w:type="paragraph" w:customStyle="1" w:styleId="211">
    <w:name w:val="标准文件_索引项"/>
    <w:basedOn w:val="57"/>
    <w:next w:val="57"/>
    <w:qFormat/>
    <w:uiPriority w:val="0"/>
    <w:pPr>
      <w:tabs>
        <w:tab w:val="right" w:leader="dot" w:pos="9356"/>
      </w:tabs>
      <w:ind w:left="210" w:hanging="210" w:firstLineChars="0"/>
      <w:jc w:val="left"/>
    </w:pPr>
  </w:style>
  <w:style w:type="paragraph" w:customStyle="1" w:styleId="212">
    <w:name w:val="标准文件_附录一级无标题"/>
    <w:basedOn w:val="79"/>
    <w:qFormat/>
    <w:uiPriority w:val="0"/>
    <w:pPr>
      <w:spacing w:beforeLines="0" w:afterLines="0" w:line="276" w:lineRule="auto"/>
      <w:outlineLvl w:val="9"/>
    </w:pPr>
    <w:rPr>
      <w:rFonts w:ascii="宋体" w:eastAsia="宋体"/>
    </w:rPr>
  </w:style>
  <w:style w:type="paragraph" w:customStyle="1" w:styleId="213">
    <w:name w:val="标准文件_附录二级无标题"/>
    <w:basedOn w:val="80"/>
    <w:qFormat/>
    <w:uiPriority w:val="0"/>
    <w:pPr>
      <w:spacing w:beforeLines="0" w:afterLines="0" w:line="276" w:lineRule="auto"/>
      <w:outlineLvl w:val="9"/>
    </w:pPr>
    <w:rPr>
      <w:rFonts w:ascii="宋体" w:eastAsia="宋体"/>
    </w:rPr>
  </w:style>
  <w:style w:type="paragraph" w:customStyle="1" w:styleId="214">
    <w:name w:val="标准文件_附录三级无标题"/>
    <w:basedOn w:val="82"/>
    <w:qFormat/>
    <w:uiPriority w:val="0"/>
    <w:pPr>
      <w:spacing w:beforeLines="0" w:afterLines="0" w:line="276" w:lineRule="auto"/>
      <w:outlineLvl w:val="9"/>
    </w:pPr>
    <w:rPr>
      <w:rFonts w:ascii="宋体" w:eastAsia="宋体"/>
    </w:rPr>
  </w:style>
  <w:style w:type="paragraph" w:customStyle="1" w:styleId="215">
    <w:name w:val="标准文件_附录四级无标题"/>
    <w:basedOn w:val="83"/>
    <w:qFormat/>
    <w:uiPriority w:val="0"/>
    <w:pPr>
      <w:spacing w:beforeLines="0" w:afterLines="0" w:line="276" w:lineRule="auto"/>
      <w:outlineLvl w:val="9"/>
    </w:pPr>
    <w:rPr>
      <w:rFonts w:ascii="宋体" w:eastAsia="宋体"/>
    </w:rPr>
  </w:style>
  <w:style w:type="paragraph" w:customStyle="1" w:styleId="216">
    <w:name w:val="标准文件_附录五级无标题"/>
    <w:basedOn w:val="85"/>
    <w:qFormat/>
    <w:uiPriority w:val="0"/>
    <w:pPr>
      <w:spacing w:beforeLines="0" w:afterLines="0" w:line="276" w:lineRule="auto"/>
      <w:outlineLvl w:val="9"/>
    </w:pPr>
    <w:rPr>
      <w:rFonts w:ascii="宋体" w:eastAsia="宋体"/>
    </w:rPr>
  </w:style>
  <w:style w:type="paragraph" w:customStyle="1" w:styleId="217">
    <w:name w:val="标准文件_引言一级无标题"/>
    <w:basedOn w:val="201"/>
    <w:next w:val="57"/>
    <w:qFormat/>
    <w:uiPriority w:val="0"/>
    <w:pPr>
      <w:spacing w:beforeLines="0" w:afterLines="0" w:line="276" w:lineRule="auto"/>
    </w:pPr>
    <w:rPr>
      <w:rFonts w:ascii="宋体" w:eastAsia="宋体"/>
    </w:rPr>
  </w:style>
  <w:style w:type="paragraph" w:customStyle="1" w:styleId="218">
    <w:name w:val="标准文件_引言二级无标题"/>
    <w:basedOn w:val="202"/>
    <w:next w:val="57"/>
    <w:qFormat/>
    <w:uiPriority w:val="0"/>
    <w:pPr>
      <w:spacing w:beforeLines="0" w:afterLines="0" w:line="276" w:lineRule="auto"/>
    </w:pPr>
    <w:rPr>
      <w:rFonts w:ascii="宋体" w:eastAsia="宋体"/>
    </w:rPr>
  </w:style>
  <w:style w:type="paragraph" w:customStyle="1" w:styleId="219">
    <w:name w:val="标准文件_引言三级无标题"/>
    <w:basedOn w:val="203"/>
    <w:qFormat/>
    <w:uiPriority w:val="0"/>
    <w:pPr>
      <w:spacing w:beforeLines="0" w:afterLines="0" w:line="276" w:lineRule="auto"/>
    </w:pPr>
    <w:rPr>
      <w:rFonts w:ascii="宋体" w:eastAsia="宋体"/>
    </w:rPr>
  </w:style>
  <w:style w:type="paragraph" w:customStyle="1" w:styleId="220">
    <w:name w:val="标准文件_引言四级无标题"/>
    <w:basedOn w:val="204"/>
    <w:next w:val="57"/>
    <w:qFormat/>
    <w:uiPriority w:val="0"/>
    <w:pPr>
      <w:spacing w:beforeLines="0" w:afterLines="0" w:line="276" w:lineRule="auto"/>
    </w:pPr>
    <w:rPr>
      <w:rFonts w:ascii="宋体" w:eastAsia="宋体"/>
    </w:rPr>
  </w:style>
  <w:style w:type="paragraph" w:customStyle="1" w:styleId="221">
    <w:name w:val="标准文件_引言五级无标题"/>
    <w:basedOn w:val="205"/>
    <w:next w:val="57"/>
    <w:qFormat/>
    <w:uiPriority w:val="0"/>
    <w:pPr>
      <w:spacing w:beforeLines="0" w:afterLines="0" w:line="276" w:lineRule="auto"/>
    </w:pPr>
    <w:rPr>
      <w:rFonts w:ascii="宋体" w:eastAsia="宋体"/>
    </w:rPr>
  </w:style>
  <w:style w:type="paragraph" w:customStyle="1" w:styleId="222">
    <w:name w:val="标准文件_索引标题"/>
    <w:basedOn w:val="64"/>
    <w:next w:val="57"/>
    <w:qFormat/>
    <w:uiPriority w:val="0"/>
    <w:rPr>
      <w:rFonts w:hAnsi="黑体"/>
    </w:rPr>
  </w:style>
  <w:style w:type="paragraph" w:customStyle="1" w:styleId="223">
    <w:name w:val="标准文件_脚注内容"/>
    <w:basedOn w:val="57"/>
    <w:qFormat/>
    <w:uiPriority w:val="0"/>
    <w:pPr>
      <w:ind w:left="400" w:leftChars="200" w:hanging="200" w:hangingChars="200"/>
    </w:pPr>
    <w:rPr>
      <w:sz w:val="15"/>
    </w:rPr>
  </w:style>
  <w:style w:type="paragraph" w:customStyle="1" w:styleId="224">
    <w:name w:val="标准文件_术语条一"/>
    <w:basedOn w:val="163"/>
    <w:next w:val="57"/>
    <w:qFormat/>
    <w:uiPriority w:val="0"/>
  </w:style>
  <w:style w:type="paragraph" w:customStyle="1" w:styleId="225">
    <w:name w:val="标准文件_术语条二"/>
    <w:basedOn w:val="166"/>
    <w:next w:val="57"/>
    <w:qFormat/>
    <w:uiPriority w:val="0"/>
  </w:style>
  <w:style w:type="paragraph" w:customStyle="1" w:styleId="226">
    <w:name w:val="标准文件_术语条三"/>
    <w:basedOn w:val="165"/>
    <w:next w:val="57"/>
    <w:qFormat/>
    <w:uiPriority w:val="0"/>
  </w:style>
  <w:style w:type="paragraph" w:customStyle="1" w:styleId="227">
    <w:name w:val="标准文件_术语条四"/>
    <w:basedOn w:val="168"/>
    <w:next w:val="57"/>
    <w:qFormat/>
    <w:uiPriority w:val="0"/>
  </w:style>
  <w:style w:type="paragraph" w:customStyle="1" w:styleId="228">
    <w:name w:val="标准文件_术语条五"/>
    <w:basedOn w:val="164"/>
    <w:next w:val="57"/>
    <w:qFormat/>
    <w:uiPriority w:val="0"/>
  </w:style>
  <w:style w:type="paragraph" w:customStyle="1" w:styleId="22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0">
    <w:name w:val="发布"/>
    <w:basedOn w:val="29"/>
    <w:qFormat/>
    <w:uiPriority w:val="0"/>
    <w:rPr>
      <w:rFonts w:ascii="黑体" w:eastAsia="黑体"/>
      <w:spacing w:val="85"/>
      <w:w w:val="100"/>
      <w:position w:val="3"/>
      <w:sz w:val="28"/>
      <w:szCs w:val="28"/>
    </w:rPr>
  </w:style>
  <w:style w:type="character" w:customStyle="1" w:styleId="231">
    <w:name w:val="批注文字 Char"/>
    <w:basedOn w:val="29"/>
    <w:link w:val="13"/>
    <w:qFormat/>
    <w:uiPriority w:val="0"/>
    <w:rPr>
      <w:rFonts w:ascii="Times New Roman" w:hAnsi="Times New Roman" w:eastAsiaTheme="minorEastAsia" w:cstheme="minorBidi"/>
      <w:kern w:val="2"/>
      <w:sz w:val="21"/>
      <w:szCs w:val="24"/>
    </w:rPr>
  </w:style>
  <w:style w:type="paragraph" w:customStyle="1" w:styleId="232">
    <w:name w:val="样式2"/>
    <w:basedOn w:val="1"/>
    <w:link w:val="233"/>
    <w:qFormat/>
    <w:uiPriority w:val="0"/>
    <w:pPr>
      <w:adjustRightInd/>
      <w:spacing w:beforeLines="60" w:afterLines="60" w:line="240" w:lineRule="auto"/>
      <w:ind w:left="145" w:leftChars="69"/>
      <w:jc w:val="left"/>
      <w:outlineLvl w:val="1"/>
    </w:pPr>
    <w:rPr>
      <w:rFonts w:ascii="Times New Roman" w:hAnsi="Times New Roman" w:eastAsia="黑体" w:cstheme="minorEastAsia"/>
      <w:bCs/>
    </w:rPr>
  </w:style>
  <w:style w:type="character" w:customStyle="1" w:styleId="233">
    <w:name w:val="样式2 Char"/>
    <w:link w:val="232"/>
    <w:qFormat/>
    <w:uiPriority w:val="0"/>
    <w:rPr>
      <w:rFonts w:ascii="Times New Roman" w:hAnsi="Times New Roman" w:eastAsia="黑体" w:cstheme="minorEastAsia"/>
      <w:bCs/>
      <w:kern w:val="2"/>
      <w:sz w:val="21"/>
      <w:szCs w:val="21"/>
    </w:rPr>
  </w:style>
  <w:style w:type="paragraph" w:customStyle="1" w:styleId="234">
    <w:name w:val="样式3"/>
    <w:basedOn w:val="1"/>
    <w:link w:val="235"/>
    <w:qFormat/>
    <w:uiPriority w:val="0"/>
    <w:pPr>
      <w:adjustRightInd/>
      <w:spacing w:beforeLines="60" w:afterLines="60" w:line="279" w:lineRule="auto"/>
      <w:ind w:left="145" w:leftChars="69" w:right="145" w:rightChars="69"/>
      <w:outlineLvl w:val="2"/>
    </w:pPr>
    <w:rPr>
      <w:rFonts w:ascii="Times New Roman" w:hAnsi="Times New Roman" w:cstheme="minorEastAsia"/>
      <w:bCs/>
    </w:rPr>
  </w:style>
  <w:style w:type="character" w:customStyle="1" w:styleId="235">
    <w:name w:val="样式3 Char"/>
    <w:link w:val="234"/>
    <w:qFormat/>
    <w:uiPriority w:val="0"/>
    <w:rPr>
      <w:rFonts w:ascii="Times New Roman" w:hAnsi="Times New Roman" w:cstheme="minorEastAsia"/>
      <w:bCs/>
      <w:kern w:val="2"/>
      <w:sz w:val="21"/>
      <w:szCs w:val="21"/>
    </w:rPr>
  </w:style>
  <w:style w:type="paragraph" w:customStyle="1" w:styleId="236">
    <w:name w:val="段"/>
    <w:link w:val="237"/>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237">
    <w:name w:val="段 Char"/>
    <w:link w:val="236"/>
    <w:qFormat/>
    <w:locked/>
    <w:uiPriority w:val="0"/>
    <w:rPr>
      <w:rFonts w:ascii="宋体" w:hAnsi="Times New Roman"/>
      <w:sz w:val="21"/>
    </w:rPr>
  </w:style>
  <w:style w:type="table" w:customStyle="1" w:styleId="238">
    <w:name w:val="网格型1"/>
    <w:basedOn w:val="27"/>
    <w:qFormat/>
    <w:uiPriority w:val="59"/>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3" Type="http://schemas.openxmlformats.org/officeDocument/2006/relationships/glossaryDocument" Target="glossary/document.xml"/><Relationship Id="rId52" Type="http://schemas.openxmlformats.org/officeDocument/2006/relationships/fontTable" Target="fontTable.xml"/><Relationship Id="rId51" Type="http://schemas.openxmlformats.org/officeDocument/2006/relationships/numbering" Target="numbering.xml"/><Relationship Id="rId50" Type="http://schemas.openxmlformats.org/officeDocument/2006/relationships/customXml" Target="../customXml/item1.xml"/><Relationship Id="rId5" Type="http://schemas.openxmlformats.org/officeDocument/2006/relationships/header" Target="header1.xml"/><Relationship Id="rId49" Type="http://schemas.openxmlformats.org/officeDocument/2006/relationships/image" Target="media/image8.jpeg"/><Relationship Id="rId48" Type="http://schemas.openxmlformats.org/officeDocument/2006/relationships/image" Target="media/image7.jpeg"/><Relationship Id="rId47" Type="http://schemas.openxmlformats.org/officeDocument/2006/relationships/image" Target="media/image6.jpeg"/><Relationship Id="rId46" Type="http://schemas.openxmlformats.org/officeDocument/2006/relationships/image" Target="media/image5.png"/><Relationship Id="rId45" Type="http://schemas.openxmlformats.org/officeDocument/2006/relationships/image" Target="media/image4.png"/><Relationship Id="rId44" Type="http://schemas.openxmlformats.org/officeDocument/2006/relationships/image" Target="media/image3.png"/><Relationship Id="rId43" Type="http://schemas.openxmlformats.org/officeDocument/2006/relationships/image" Target="media/image2.png"/><Relationship Id="rId42" Type="http://schemas.openxmlformats.org/officeDocument/2006/relationships/oleObject" Target="embeddings/oleObject1.bin"/><Relationship Id="rId41" Type="http://schemas.openxmlformats.org/officeDocument/2006/relationships/image" Target="media/image1.png"/><Relationship Id="rId40" Type="http://schemas.openxmlformats.org/officeDocument/2006/relationships/image" Target="media/image1.tiff"/><Relationship Id="rId4" Type="http://schemas.openxmlformats.org/officeDocument/2006/relationships/endnotes" Target="endnotes.xml"/><Relationship Id="rId39" Type="http://schemas.openxmlformats.org/officeDocument/2006/relationships/theme" Target="theme/theme1.xml"/><Relationship Id="rId38" Type="http://schemas.openxmlformats.org/officeDocument/2006/relationships/footer" Target="footer17.xml"/><Relationship Id="rId37" Type="http://schemas.openxmlformats.org/officeDocument/2006/relationships/footer" Target="footer16.xml"/><Relationship Id="rId36" Type="http://schemas.openxmlformats.org/officeDocument/2006/relationships/header" Target="header17.xml"/><Relationship Id="rId35" Type="http://schemas.openxmlformats.org/officeDocument/2006/relationships/header" Target="header16.xml"/><Relationship Id="rId34" Type="http://schemas.openxmlformats.org/officeDocument/2006/relationships/footer" Target="footer15.xml"/><Relationship Id="rId33" Type="http://schemas.openxmlformats.org/officeDocument/2006/relationships/footer" Target="footer14.xml"/><Relationship Id="rId32" Type="http://schemas.openxmlformats.org/officeDocument/2006/relationships/header" Target="header15.xml"/><Relationship Id="rId31" Type="http://schemas.openxmlformats.org/officeDocument/2006/relationships/header" Target="header14.xml"/><Relationship Id="rId30" Type="http://schemas.openxmlformats.org/officeDocument/2006/relationships/footer" Target="footer13.xml"/><Relationship Id="rId3" Type="http://schemas.openxmlformats.org/officeDocument/2006/relationships/footnotes" Target="footnotes.xml"/><Relationship Id="rId29" Type="http://schemas.openxmlformats.org/officeDocument/2006/relationships/footer" Target="footer12.xml"/><Relationship Id="rId28" Type="http://schemas.openxmlformats.org/officeDocument/2006/relationships/header" Target="header13.xml"/><Relationship Id="rId27" Type="http://schemas.openxmlformats.org/officeDocument/2006/relationships/header" Target="header12.xml"/><Relationship Id="rId26" Type="http://schemas.openxmlformats.org/officeDocument/2006/relationships/footer" Target="footer11.xml"/><Relationship Id="rId25" Type="http://schemas.openxmlformats.org/officeDocument/2006/relationships/footer" Target="footer10.xml"/><Relationship Id="rId24" Type="http://schemas.openxmlformats.org/officeDocument/2006/relationships/header" Target="header11.xml"/><Relationship Id="rId23" Type="http://schemas.openxmlformats.org/officeDocument/2006/relationships/header" Target="header10.xml"/><Relationship Id="rId22" Type="http://schemas.openxmlformats.org/officeDocument/2006/relationships/footer" Target="footer9.xml"/><Relationship Id="rId21" Type="http://schemas.openxmlformats.org/officeDocument/2006/relationships/footer" Target="footer8.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uos/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AD010F0E13DD4ADD9D8A29CB521EA8D4"/>
        <w:style w:val=""/>
        <w:category>
          <w:name w:val="常规"/>
          <w:gallery w:val="placeholder"/>
        </w:category>
        <w:types>
          <w:type w:val="bbPlcHdr"/>
        </w:types>
        <w:behaviors>
          <w:behavior w:val="content"/>
        </w:behaviors>
        <w:description w:val=""/>
        <w:guid w:val="{56FDE0BE-D231-45A9-9E9B-2899FCB62221}"/>
      </w:docPartPr>
      <w:docPartBody>
        <w:p>
          <w:pPr>
            <w:pStyle w:val="5"/>
          </w:pPr>
          <w:r>
            <w:rPr>
              <w:rStyle w:val="4"/>
              <w:rFonts w:hint="eastAsia"/>
            </w:rPr>
            <w:t>单击或点击此处输入文字。</w:t>
          </w:r>
        </w:p>
      </w:docPartBody>
    </w:docPart>
    <w:docPart>
      <w:docPartPr>
        <w:name w:val="3A7792984E9241609FCD59EBCAE21123"/>
        <w:style w:val=""/>
        <w:category>
          <w:name w:val="常规"/>
          <w:gallery w:val="placeholder"/>
        </w:category>
        <w:types>
          <w:type w:val="bbPlcHdr"/>
        </w:types>
        <w:behaviors>
          <w:behavior w:val="content"/>
        </w:behaviors>
        <w:description w:val=""/>
        <w:guid w:val="{7DD928F0-558C-49DC-A54E-686DC9BE3472}"/>
      </w:docPartPr>
      <w:docPartBody>
        <w:p>
          <w:pPr>
            <w:pStyle w:val="6"/>
          </w:pPr>
          <w:r>
            <w:rPr>
              <w:rStyle w:val="4"/>
              <w:rFonts w:hint="eastAsia"/>
            </w:rPr>
            <w:t>选择一项。</w:t>
          </w:r>
        </w:p>
      </w:docPartBody>
    </w:docPart>
    <w:docPart>
      <w:docPartPr>
        <w:name w:val="04E79B50CC6A4F379709BFD97B5D8D2D"/>
        <w:style w:val=""/>
        <w:category>
          <w:name w:val="常规"/>
          <w:gallery w:val="placeholder"/>
        </w:category>
        <w:types>
          <w:type w:val="bbPlcHdr"/>
        </w:types>
        <w:behaviors>
          <w:behavior w:val="content"/>
        </w:behaviors>
        <w:description w:val=""/>
        <w:guid w:val="{D70608F6-782B-47EC-B049-1CD397AE4941}"/>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仿宋S"/>
    <w:panose1 w:val="00000000000000000000"/>
    <w:charset w:val="86"/>
    <w:family w:val="auto"/>
    <w:pitch w:val="default"/>
    <w:sig w:usb0="00000000" w:usb1="00000000" w:usb2="00000016" w:usb3="00000000" w:csb0="0004000F" w:csb1="00000000"/>
  </w:font>
  <w:font w:name="等线">
    <w:altName w:val="汉仪仿宋S"/>
    <w:panose1 w:val="00000000000000000000"/>
    <w:charset w:val="86"/>
    <w:family w:val="auto"/>
    <w:pitch w:val="default"/>
    <w:sig w:usb0="00000000" w:usb1="00000000" w:usb2="00000000" w:usb3="00000000" w:csb0="00000000" w:csb1="00000000"/>
  </w:font>
  <w:font w:name="等线">
    <w:altName w:val="汉仪仿宋S"/>
    <w:panose1 w:val="00000000000000000000"/>
    <w:charset w:val="00"/>
    <w:family w:val="auto"/>
    <w:pitch w:val="default"/>
    <w:sig w:usb0="00000000" w:usb1="00000000" w:usb2="00000000" w:usb3="00000000" w:csb0="0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C301AD"/>
    <w:rsid w:val="00001148"/>
    <w:rsid w:val="00102517"/>
    <w:rsid w:val="001154DA"/>
    <w:rsid w:val="001A57C8"/>
    <w:rsid w:val="00246D74"/>
    <w:rsid w:val="0025429A"/>
    <w:rsid w:val="0029588E"/>
    <w:rsid w:val="002B47CB"/>
    <w:rsid w:val="002F14E4"/>
    <w:rsid w:val="0035092B"/>
    <w:rsid w:val="003D5477"/>
    <w:rsid w:val="00437861"/>
    <w:rsid w:val="0046002A"/>
    <w:rsid w:val="004A3515"/>
    <w:rsid w:val="004B137E"/>
    <w:rsid w:val="004E3283"/>
    <w:rsid w:val="005B285B"/>
    <w:rsid w:val="006070A3"/>
    <w:rsid w:val="00623043"/>
    <w:rsid w:val="0068465E"/>
    <w:rsid w:val="006F23D6"/>
    <w:rsid w:val="00713382"/>
    <w:rsid w:val="007621D2"/>
    <w:rsid w:val="007B11CA"/>
    <w:rsid w:val="007C134F"/>
    <w:rsid w:val="008347A6"/>
    <w:rsid w:val="0091721B"/>
    <w:rsid w:val="00975427"/>
    <w:rsid w:val="00984450"/>
    <w:rsid w:val="00987E6C"/>
    <w:rsid w:val="009D2961"/>
    <w:rsid w:val="00A10E4D"/>
    <w:rsid w:val="00A52F03"/>
    <w:rsid w:val="00A73BBF"/>
    <w:rsid w:val="00A86858"/>
    <w:rsid w:val="00A94394"/>
    <w:rsid w:val="00AB2010"/>
    <w:rsid w:val="00B7103D"/>
    <w:rsid w:val="00BC58AC"/>
    <w:rsid w:val="00BE156C"/>
    <w:rsid w:val="00C265CF"/>
    <w:rsid w:val="00C301AD"/>
    <w:rsid w:val="00CD5143"/>
    <w:rsid w:val="00D001CA"/>
    <w:rsid w:val="00D02B64"/>
    <w:rsid w:val="00D72E8E"/>
    <w:rsid w:val="00D848B6"/>
    <w:rsid w:val="00DC3291"/>
    <w:rsid w:val="00E025FE"/>
    <w:rsid w:val="00E14A87"/>
    <w:rsid w:val="00E15BA4"/>
    <w:rsid w:val="00E24889"/>
    <w:rsid w:val="00E400DE"/>
    <w:rsid w:val="00E43B5A"/>
    <w:rsid w:val="00E60965"/>
    <w:rsid w:val="00E61A8F"/>
    <w:rsid w:val="00F14DE7"/>
    <w:rsid w:val="00FC08E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AD010F0E13DD4ADD9D8A29CB521EA8D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3A7792984E9241609FCD59EBCAE2112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04E79B50CC6A4F379709BFD97B5D8D2D"/>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22</Pages>
  <Words>2227</Words>
  <Characters>12695</Characters>
  <Lines>105</Lines>
  <Paragraphs>29</Paragraphs>
  <TotalTime>0</TotalTime>
  <ScaleCrop>false</ScaleCrop>
  <LinksUpToDate>false</LinksUpToDate>
  <CharactersWithSpaces>14893</CharactersWithSpaces>
  <Application>WPS Office_11.8.2.10621_F1E327BC-269C-435d-A152-05C5408002CA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2023-07-07T03:07:00Z</dcterms:created>
  <dc:creator>BZH-BZFW-ZL</dc:creator>
  <dc:description>&lt;config cover="true" show_menu="true" version="1.0.0" doctype="SDKXY"&gt;_x000d_
&lt;/config&gt;</dc:description>
  <cp:lastModifiedBy>uos</cp:lastModifiedBy>
  <cp:lastPrinted>2023-06-16T02:07:00Z</cp:lastPrinted>
  <dcterms:modified xsi:type="dcterms:W3CDTF">2023-08-07T09:57:42Z</dcterms:modified>
  <dc:title>地方标准</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2052-11.8.2.10621</vt:lpwstr>
  </property>
  <property fmtid="{D5CDD505-2E9C-101B-9397-08002B2CF9AE}" pid="15" name="DoublePage">
    <vt:lpwstr>true</vt:lpwstr>
  </property>
</Properties>
</file>