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center"/>
        <w:rPr>
          <w:rFonts w:ascii="Times" w:hAnsi="Times" w:eastAsia="方正小标宋简体"/>
          <w:sz w:val="44"/>
          <w:szCs w:val="44"/>
        </w:rPr>
      </w:pPr>
      <w:bookmarkStart w:id="0" w:name="_Toc117591571"/>
      <w:bookmarkStart w:id="1" w:name="_Hlk117685429"/>
      <w:bookmarkStart w:id="16" w:name="_GoBack"/>
      <w:bookmarkEnd w:id="16"/>
    </w:p>
    <w:p>
      <w:pPr>
        <w:spacing w:line="594" w:lineRule="exact"/>
        <w:jc w:val="center"/>
        <w:outlineLvl w:val="0"/>
        <w:rPr>
          <w:rFonts w:ascii="Times" w:hAnsi="Times" w:eastAsia="方正小标宋简体"/>
          <w:sz w:val="44"/>
          <w:szCs w:val="44"/>
        </w:rPr>
      </w:pPr>
    </w:p>
    <w:p>
      <w:pPr>
        <w:spacing w:line="594" w:lineRule="exact"/>
        <w:jc w:val="center"/>
        <w:rPr>
          <w:rFonts w:hint="eastAsia" w:ascii="Times" w:hAnsi="Times" w:eastAsia="楷体_GB2312"/>
          <w:sz w:val="32"/>
          <w:szCs w:val="32"/>
        </w:rPr>
      </w:pPr>
      <w:r>
        <w:rPr>
          <w:rFonts w:hint="eastAsia" w:ascii="Times" w:hAnsi="Times" w:eastAsia="方正小标宋简体"/>
          <w:sz w:val="44"/>
          <w:szCs w:val="44"/>
          <w:lang w:val="en-US" w:eastAsia="zh-CN"/>
        </w:rPr>
        <w:t>关于标准必要专利领域的反垄断指南</w:t>
      </w:r>
      <w:bookmarkEnd w:id="0"/>
    </w:p>
    <w:p>
      <w:pPr>
        <w:spacing w:line="594" w:lineRule="exact"/>
        <w:jc w:val="center"/>
        <w:rPr>
          <w:rFonts w:ascii="Times" w:hAnsi="Times" w:eastAsia="楷体_GB2312"/>
          <w:sz w:val="32"/>
          <w:szCs w:val="32"/>
        </w:rPr>
      </w:pPr>
      <w:r>
        <w:rPr>
          <w:rFonts w:hint="eastAsia" w:ascii="Times" w:hAnsi="Times" w:eastAsia="楷体_GB2312"/>
          <w:sz w:val="32"/>
          <w:szCs w:val="32"/>
        </w:rPr>
        <w:t>（</w:t>
      </w:r>
      <w:r>
        <w:rPr>
          <w:rFonts w:hint="eastAsia" w:ascii="Times" w:hAnsi="Times" w:eastAsia="楷体_GB2312"/>
          <w:sz w:val="32"/>
          <w:szCs w:val="32"/>
          <w:lang w:val="en-US" w:eastAsia="zh-CN"/>
        </w:rPr>
        <w:t>征求意见稿</w:t>
      </w:r>
      <w:r>
        <w:rPr>
          <w:rFonts w:hint="eastAsia" w:ascii="Times" w:hAnsi="Times" w:eastAsia="楷体_GB2312"/>
          <w:sz w:val="32"/>
          <w:szCs w:val="32"/>
        </w:rPr>
        <w:t>）</w:t>
      </w:r>
    </w:p>
    <w:p>
      <w:pPr>
        <w:widowControl/>
        <w:spacing w:line="594" w:lineRule="exact"/>
        <w:jc w:val="center"/>
        <w:rPr>
          <w:rFonts w:ascii="Times" w:hAnsi="Times" w:eastAsia="黑体"/>
          <w:sz w:val="32"/>
          <w:szCs w:val="32"/>
        </w:rPr>
      </w:pPr>
      <w:bookmarkStart w:id="2" w:name="_Toc117591572"/>
    </w:p>
    <w:p>
      <w:pPr>
        <w:widowControl/>
        <w:spacing w:line="594" w:lineRule="exact"/>
        <w:jc w:val="center"/>
        <w:outlineLvl w:val="0"/>
        <w:rPr>
          <w:rFonts w:ascii="Times" w:hAnsi="Times" w:eastAsia="黑体"/>
          <w:sz w:val="32"/>
          <w:szCs w:val="32"/>
        </w:rPr>
      </w:pPr>
      <w:r>
        <w:rPr>
          <w:rFonts w:hint="eastAsia" w:ascii="Times" w:hAnsi="Times" w:eastAsia="黑体"/>
          <w:sz w:val="32"/>
          <w:szCs w:val="32"/>
        </w:rPr>
        <w:t>第一章  总则</w:t>
      </w:r>
      <w:bookmarkEnd w:id="2"/>
    </w:p>
    <w:p>
      <w:pPr>
        <w:adjustRightInd/>
        <w:snapToGrid/>
        <w:spacing w:line="594" w:lineRule="exact"/>
        <w:ind w:firstLine="640" w:firstLineChars="0"/>
        <w:outlineLvl w:val="9"/>
        <w:rPr>
          <w:rFonts w:hint="eastAsia" w:ascii="Times New Roman" w:hAnsi="Times New Roman" w:eastAsia="楷体_GB2312" w:cs="Calibri"/>
          <w:b w:val="0"/>
          <w:bCs w:val="0"/>
          <w:sz w:val="32"/>
          <w:szCs w:val="32"/>
        </w:rPr>
      </w:pPr>
      <w:bookmarkStart w:id="3" w:name="_Toc117591573"/>
      <w:r>
        <w:rPr>
          <w:rFonts w:hint="eastAsia" w:ascii="Times New Roman" w:hAnsi="Times New Roman" w:eastAsia="楷体_GB2312" w:cs="Calibri"/>
          <w:b w:val="0"/>
          <w:bCs w:val="0"/>
          <w:sz w:val="32"/>
          <w:szCs w:val="32"/>
        </w:rPr>
        <w:t>【第一条】 指南的目的、依据</w:t>
      </w:r>
      <w:bookmarkEnd w:id="3"/>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为预防和制止经营者滥用标准必要专利排除、限制竞争的行为，</w:t>
      </w:r>
      <w:r>
        <w:rPr>
          <w:rFonts w:hint="eastAsia" w:ascii="Times" w:hAnsi="Times" w:eastAsia="仿宋_GB2312"/>
          <w:sz w:val="32"/>
          <w:szCs w:val="32"/>
          <w:lang w:val="en-US" w:eastAsia="zh-CN"/>
        </w:rPr>
        <w:t>保护知识产权，</w:t>
      </w:r>
      <w:r>
        <w:rPr>
          <w:rFonts w:hint="eastAsia" w:ascii="Times" w:hAnsi="Times" w:eastAsia="仿宋_GB2312"/>
          <w:sz w:val="32"/>
          <w:szCs w:val="32"/>
        </w:rPr>
        <w:t>提高经济运行效率，</w:t>
      </w:r>
      <w:r>
        <w:rPr>
          <w:rFonts w:hint="eastAsia" w:ascii="Times" w:hAnsi="Times" w:eastAsia="仿宋_GB2312" w:cs="仿宋_GB2312"/>
          <w:sz w:val="32"/>
          <w:szCs w:val="32"/>
        </w:rPr>
        <w:t>维护消费者利益和社会公共利益，</w:t>
      </w:r>
      <w:r>
        <w:rPr>
          <w:rFonts w:hint="eastAsia" w:ascii="Times" w:hAnsi="Times" w:eastAsia="仿宋_GB2312"/>
          <w:sz w:val="32"/>
          <w:szCs w:val="32"/>
        </w:rPr>
        <w:t>根据《中华人民共和国反垄断法》（以下简称《反垄断法》）、《中华人民共和国标准化法》、《中华人民共和国专利法》等法律法规规定，制定本指南。</w:t>
      </w:r>
    </w:p>
    <w:p>
      <w:pPr>
        <w:adjustRightInd/>
        <w:snapToGrid/>
        <w:spacing w:line="594" w:lineRule="exact"/>
        <w:ind w:firstLine="640" w:firstLineChars="0"/>
        <w:outlineLvl w:val="9"/>
        <w:rPr>
          <w:rFonts w:hint="eastAsia" w:ascii="Times New Roman" w:hAnsi="Times New Roman" w:eastAsia="楷体_GB2312" w:cs="Calibri"/>
          <w:sz w:val="32"/>
          <w:szCs w:val="32"/>
        </w:rPr>
      </w:pPr>
      <w:bookmarkStart w:id="4" w:name="_Toc117591574"/>
      <w:r>
        <w:rPr>
          <w:rFonts w:hint="eastAsia" w:ascii="Times New Roman" w:hAnsi="Times New Roman" w:eastAsia="楷体_GB2312" w:cs="Calibri"/>
          <w:sz w:val="32"/>
          <w:szCs w:val="32"/>
        </w:rPr>
        <w:t>【第二条】 相关概念</w:t>
      </w:r>
      <w:bookmarkEnd w:id="4"/>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标准必要专利，是指实施标准必不可少的专利。</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标准制定组织，是指以标准制定、发布为主要活动的组织。</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标准必要专利权人，是指享有标准必要专利权的经营者。</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标准实施方，是指实施标准的经营者。</w:t>
      </w:r>
    </w:p>
    <w:p>
      <w:pPr>
        <w:adjustRightInd/>
        <w:snapToGrid/>
        <w:spacing w:line="594" w:lineRule="exact"/>
        <w:ind w:firstLine="640" w:firstLineChars="0"/>
        <w:outlineLvl w:val="9"/>
        <w:rPr>
          <w:rFonts w:hint="eastAsia" w:ascii="Times New Roman" w:hAnsi="Times New Roman" w:eastAsia="楷体_GB2312" w:cs="Calibri"/>
          <w:sz w:val="32"/>
          <w:szCs w:val="32"/>
        </w:rPr>
      </w:pPr>
      <w:bookmarkStart w:id="5" w:name="_Toc117591575"/>
      <w:r>
        <w:rPr>
          <w:rFonts w:hint="eastAsia" w:ascii="Times New Roman" w:hAnsi="Times New Roman" w:eastAsia="楷体_GB2312" w:cs="Calibri"/>
          <w:sz w:val="32"/>
          <w:szCs w:val="32"/>
        </w:rPr>
        <w:t>【第三条】 分析原则</w:t>
      </w:r>
      <w:bookmarkEnd w:id="5"/>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分析涉及标准必要专利的行为是否排除、限制竞争，遵循以下基本原则：</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（一）采用与滥用知识产权相同的规制原则，遵循《反垄断法》相关规定；</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（二）</w:t>
      </w:r>
      <w:r>
        <w:rPr>
          <w:rFonts w:hint="eastAsia" w:ascii="Times New Roman" w:hAnsi="Times New Roman" w:eastAsia="仿宋_GB2312"/>
          <w:sz w:val="32"/>
          <w:szCs w:val="32"/>
        </w:rPr>
        <w:t>把握知</w:t>
      </w:r>
      <w:r>
        <w:rPr>
          <w:rFonts w:ascii="Times New Roman" w:hAnsi="Times New Roman" w:eastAsia="仿宋_GB2312"/>
          <w:sz w:val="32"/>
          <w:szCs w:val="32"/>
        </w:rPr>
        <w:t>识产权</w:t>
      </w:r>
      <w:r>
        <w:rPr>
          <w:rFonts w:hint="eastAsia" w:ascii="Times New Roman" w:hAnsi="Times New Roman" w:eastAsia="仿宋_GB2312"/>
          <w:sz w:val="32"/>
          <w:szCs w:val="32"/>
        </w:rPr>
        <w:t>保护</w:t>
      </w:r>
      <w:r>
        <w:rPr>
          <w:rFonts w:ascii="Times New Roman" w:hAnsi="Times New Roman" w:eastAsia="仿宋_GB2312"/>
          <w:sz w:val="32"/>
          <w:szCs w:val="32"/>
        </w:rPr>
        <w:t>和</w:t>
      </w:r>
      <w:r>
        <w:rPr>
          <w:rFonts w:hint="eastAsia" w:ascii="Times New Roman" w:hAnsi="Times New Roman" w:eastAsia="仿宋_GB2312"/>
          <w:sz w:val="32"/>
          <w:szCs w:val="32"/>
        </w:rPr>
        <w:t>反垄断之间的</w:t>
      </w:r>
      <w:r>
        <w:rPr>
          <w:rFonts w:ascii="Times New Roman" w:hAnsi="Times New Roman" w:eastAsia="仿宋_GB2312"/>
          <w:sz w:val="32"/>
          <w:szCs w:val="32"/>
        </w:rPr>
        <w:t>关系</w:t>
      </w:r>
      <w:r>
        <w:rPr>
          <w:rFonts w:hint="eastAsia" w:ascii="Times New Roman" w:hAnsi="Times New Roman" w:eastAsia="仿宋_GB2312"/>
          <w:sz w:val="32"/>
          <w:szCs w:val="32"/>
        </w:rPr>
        <w:t>，</w:t>
      </w:r>
      <w:r>
        <w:rPr>
          <w:rFonts w:hint="eastAsia" w:ascii="Times" w:hAnsi="Times" w:eastAsia="仿宋_GB2312"/>
          <w:sz w:val="32"/>
          <w:szCs w:val="32"/>
        </w:rPr>
        <w:t>兼顾保护知识产权和促进市场公平竞争；</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（三）充分考量标准制定和实施过程中必要专利的信息披露、许可承诺与许可谈判的合规情况；</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（四）保障标准必要专利创新合理回报，更好平衡标准必要专利权人和标准实施方的利益。</w:t>
      </w:r>
    </w:p>
    <w:p>
      <w:pPr>
        <w:adjustRightInd w:val="0"/>
        <w:snapToGrid w:val="0"/>
        <w:spacing w:line="594" w:lineRule="exact"/>
        <w:ind w:firstLine="640" w:firstLineChars="200"/>
        <w:outlineLvl w:val="1"/>
        <w:rPr>
          <w:rFonts w:ascii="Times" w:hAnsi="Times" w:eastAsia="仿宋_GB2312" w:cs="楷体"/>
          <w:sz w:val="32"/>
          <w:szCs w:val="32"/>
        </w:rPr>
      </w:pPr>
      <w:bookmarkStart w:id="6" w:name="_Toc117591576"/>
      <w:r>
        <w:rPr>
          <w:rFonts w:hint="eastAsia" w:ascii="Times New Roman" w:hAnsi="Times New Roman" w:eastAsia="楷体_GB2312" w:cs="Calibri"/>
          <w:sz w:val="32"/>
          <w:szCs w:val="32"/>
        </w:rPr>
        <w:t xml:space="preserve">【第四条】 </w:t>
      </w:r>
      <w:bookmarkEnd w:id="6"/>
      <w:r>
        <w:rPr>
          <w:rFonts w:hint="eastAsia" w:ascii="Times New Roman" w:hAnsi="Times New Roman" w:eastAsia="楷体_GB2312" w:cs="Calibri"/>
          <w:sz w:val="32"/>
          <w:szCs w:val="32"/>
        </w:rPr>
        <w:t>相关市场</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通常情况下，界定涉及标准必要专利的相关商品市场和相关地域市场需要遵循《反垄断法》和《国务院反垄断委员会关于相关市场界定的指南》所确定的一般原则，同时考虑标准必要专利</w:t>
      </w:r>
      <w:r>
        <w:rPr>
          <w:rFonts w:hint="eastAsia" w:ascii="Times" w:hAnsi="Times" w:eastAsia="仿宋_GB2312"/>
          <w:sz w:val="32"/>
          <w:szCs w:val="32"/>
          <w:lang w:val="en-US" w:eastAsia="zh-CN"/>
        </w:rPr>
        <w:t>的</w:t>
      </w:r>
      <w:r>
        <w:rPr>
          <w:rFonts w:hint="eastAsia" w:ascii="Times" w:hAnsi="Times" w:eastAsia="仿宋_GB2312"/>
          <w:sz w:val="32"/>
          <w:szCs w:val="32"/>
        </w:rPr>
        <w:t>技术性、创新性和全球性等特点，结合个案进行具体分析。</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（一）相关商品市场</w:t>
      </w:r>
    </w:p>
    <w:p>
      <w:pPr>
        <w:spacing w:line="594" w:lineRule="exact"/>
        <w:ind w:firstLine="640" w:firstLineChars="200"/>
        <w:rPr>
          <w:rFonts w:ascii="仿宋_GB2312" w:hAnsi="楷体" w:eastAsia="仿宋_GB2312"/>
          <w:sz w:val="32"/>
          <w:szCs w:val="32"/>
        </w:rPr>
      </w:pPr>
      <w:r>
        <w:rPr>
          <w:rFonts w:hint="eastAsia" w:ascii="Times" w:hAnsi="Times" w:eastAsia="仿宋_GB2312"/>
          <w:sz w:val="32"/>
          <w:szCs w:val="32"/>
        </w:rPr>
        <w:t>界定涉及标准必要专利的相关商品市场</w:t>
      </w:r>
      <w:r>
        <w:rPr>
          <w:rFonts w:hint="eastAsia" w:ascii="Times" w:hAnsi="Times" w:eastAsia="仿宋_GB2312"/>
          <w:sz w:val="32"/>
          <w:szCs w:val="32"/>
          <w:lang w:val="en-US" w:eastAsia="zh-CN"/>
        </w:rPr>
        <w:t>采用</w:t>
      </w:r>
      <w:r>
        <w:rPr>
          <w:rFonts w:hint="eastAsia" w:ascii="Times" w:hAnsi="Times" w:eastAsia="仿宋_GB2312"/>
          <w:sz w:val="32"/>
          <w:szCs w:val="32"/>
        </w:rPr>
        <w:t>替代性分析</w:t>
      </w:r>
      <w:r>
        <w:rPr>
          <w:rFonts w:hint="eastAsia" w:ascii="Times" w:hAnsi="Times" w:eastAsia="仿宋_GB2312"/>
          <w:sz w:val="32"/>
          <w:szCs w:val="32"/>
          <w:lang w:val="en-US" w:eastAsia="zh-CN"/>
        </w:rPr>
        <w:t>的方法</w:t>
      </w:r>
      <w:r>
        <w:rPr>
          <w:rFonts w:hint="eastAsia" w:ascii="Times" w:hAnsi="Times" w:eastAsia="仿宋_GB2312"/>
          <w:sz w:val="32"/>
          <w:szCs w:val="32"/>
        </w:rPr>
        <w:t>。</w:t>
      </w:r>
      <w:r>
        <w:rPr>
          <w:rFonts w:hint="eastAsia" w:ascii="仿宋_GB2312" w:hAnsi="楷体" w:eastAsia="仿宋_GB2312"/>
          <w:sz w:val="32"/>
          <w:szCs w:val="32"/>
        </w:rPr>
        <w:t>在具体个案中，</w:t>
      </w:r>
      <w:r>
        <w:rPr>
          <w:rFonts w:hint="eastAsia" w:ascii="Times" w:hAnsi="Times" w:eastAsia="仿宋_GB2312"/>
          <w:sz w:val="32"/>
          <w:szCs w:val="32"/>
        </w:rPr>
        <w:t>涉及标准必要专利的相关商品市场主要是技术市场即标准必要专利许可市场，可以从不同标准必要专利之间、同一标准中的必要专利之间以及标准必要专利与非标准必要专利之间等是否存在紧密替代关系进行需求替代分析。</w:t>
      </w:r>
      <w:r>
        <w:rPr>
          <w:rFonts w:hint="eastAsia" w:ascii="仿宋_GB2312" w:hAnsi="楷体" w:eastAsia="仿宋_GB2312"/>
          <w:sz w:val="32"/>
          <w:szCs w:val="32"/>
        </w:rPr>
        <w:t>必要时，可以同时从标准和标准必要专利的供给等方面进行供给替代分析。</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（二）相关地域市场</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界定涉及标准必要专利的相关地域市场同样采用替代性分析</w:t>
      </w:r>
      <w:r>
        <w:rPr>
          <w:rFonts w:hint="eastAsia" w:ascii="Times" w:hAnsi="Times" w:eastAsia="仿宋_GB2312"/>
          <w:sz w:val="32"/>
          <w:szCs w:val="32"/>
          <w:lang w:val="en-US" w:eastAsia="zh-CN"/>
        </w:rPr>
        <w:t>的方法</w:t>
      </w:r>
      <w:r>
        <w:rPr>
          <w:rFonts w:hint="eastAsia" w:ascii="Times" w:hAnsi="Times" w:eastAsia="仿宋_GB2312"/>
          <w:sz w:val="32"/>
          <w:szCs w:val="32"/>
        </w:rPr>
        <w:t>。当涉及标准必要专利的相关地域市场覆盖多个国家和地区时，在个案中界定相关地域市场，需综合考虑不同国家和地区在标准实施、专利权保护等方面的地域性特征等因素。</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在调查涉及标准必要专利的垄断协议、滥用市场支配地位案件以及开展经营者集中反垄断审查</w:t>
      </w:r>
      <w:r>
        <w:rPr>
          <w:rFonts w:hint="eastAsia" w:ascii="Times" w:hAnsi="Times" w:eastAsia="仿宋_GB2312"/>
          <w:sz w:val="32"/>
          <w:szCs w:val="32"/>
          <w:lang w:val="en-US" w:eastAsia="zh-CN"/>
        </w:rPr>
        <w:t>时</w:t>
      </w:r>
      <w:r>
        <w:rPr>
          <w:rFonts w:hint="eastAsia" w:ascii="Times" w:hAnsi="Times" w:eastAsia="仿宋_GB2312"/>
          <w:sz w:val="32"/>
          <w:szCs w:val="32"/>
        </w:rPr>
        <w:t>，通常需要界定相关市场，但不同类型垄断案件对于相关市场界定的实际需求不同，应结合个案情况有所侧重。</w:t>
      </w:r>
    </w:p>
    <w:p>
      <w:pPr>
        <w:spacing w:line="594" w:lineRule="exact"/>
        <w:ind w:firstLine="640" w:firstLineChars="200"/>
        <w:outlineLvl w:val="1"/>
        <w:rPr>
          <w:rFonts w:hint="eastAsia" w:ascii="Times New Roman" w:hAnsi="Times New Roman" w:eastAsia="楷体_GB2312" w:cs="Calibri"/>
          <w:sz w:val="32"/>
          <w:szCs w:val="32"/>
        </w:rPr>
      </w:pPr>
      <w:r>
        <w:rPr>
          <w:rFonts w:hint="eastAsia" w:ascii="Times New Roman" w:hAnsi="Times New Roman" w:eastAsia="楷体_GB2312" w:cs="Calibri"/>
          <w:sz w:val="32"/>
          <w:szCs w:val="32"/>
        </w:rPr>
        <w:t>【第五条】 标准必要专利的信息披露</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参与标准制修订的专利权人或者专利申请人应</w:t>
      </w:r>
      <w:r>
        <w:rPr>
          <w:rFonts w:hint="eastAsia" w:ascii="仿宋_GB2312" w:hAnsi="楷体" w:eastAsia="仿宋_GB2312"/>
          <w:color w:val="000000" w:themeColor="text1"/>
          <w:sz w:val="32"/>
          <w:szCs w:val="32"/>
          <w14:textFill>
            <w14:solidFill>
              <w14:schemeClr w14:val="tx1"/>
            </w14:solidFill>
          </w14:textFill>
        </w:rPr>
        <w:t>按照标准制定组织规定，在</w:t>
      </w:r>
      <w:r>
        <w:rPr>
          <w:rFonts w:hint="eastAsia" w:ascii="Times" w:hAnsi="Times" w:eastAsia="仿宋_GB2312"/>
          <w:sz w:val="32"/>
          <w:szCs w:val="32"/>
        </w:rPr>
        <w:t>标准制修订的任何阶段</w:t>
      </w:r>
      <w:r>
        <w:rPr>
          <w:rFonts w:hint="eastAsia" w:ascii="仿宋_GB2312" w:hAnsi="楷体" w:eastAsia="仿宋_GB2312"/>
          <w:color w:val="000000" w:themeColor="text1"/>
          <w:sz w:val="32"/>
          <w:szCs w:val="32"/>
          <w14:textFill>
            <w14:solidFill>
              <w14:schemeClr w14:val="tx1"/>
            </w14:solidFill>
          </w14:textFill>
        </w:rPr>
        <w:t>及时充分披露其拥有的专利，并可以披露其知悉的其他专利，</w:t>
      </w:r>
      <w:r>
        <w:rPr>
          <w:rFonts w:hint="eastAsia" w:ascii="Times" w:hAnsi="Times" w:eastAsia="仿宋_GB2312"/>
          <w:sz w:val="32"/>
          <w:szCs w:val="32"/>
        </w:rPr>
        <w:t>同时提供相应证明材料，并对真实性负责。</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没有参与标准制修订的专利权人或者专利申请人可以</w:t>
      </w:r>
      <w:r>
        <w:rPr>
          <w:rFonts w:hint="eastAsia" w:ascii="仿宋_GB2312" w:hAnsi="楷体" w:eastAsia="仿宋_GB2312"/>
          <w:color w:val="000000" w:themeColor="text1"/>
          <w:sz w:val="32"/>
          <w:szCs w:val="32"/>
          <w14:textFill>
            <w14:solidFill>
              <w14:schemeClr w14:val="tx1"/>
            </w14:solidFill>
          </w14:textFill>
        </w:rPr>
        <w:t>按照标准制定组织规定，</w:t>
      </w:r>
      <w:r>
        <w:rPr>
          <w:rFonts w:hint="eastAsia" w:ascii="Times" w:hAnsi="Times" w:eastAsia="仿宋_GB2312"/>
          <w:sz w:val="32"/>
          <w:szCs w:val="32"/>
        </w:rPr>
        <w:t>在标准制修订的任何阶段披露其拥有和知悉的</w:t>
      </w:r>
      <w:r>
        <w:rPr>
          <w:rFonts w:hint="eastAsia" w:ascii="仿宋_GB2312" w:hAnsi="楷体" w:eastAsia="仿宋_GB2312"/>
          <w:color w:val="000000" w:themeColor="text1"/>
          <w:sz w:val="32"/>
          <w:szCs w:val="32"/>
          <w14:textFill>
            <w14:solidFill>
              <w14:schemeClr w14:val="tx1"/>
            </w14:solidFill>
          </w14:textFill>
        </w:rPr>
        <w:t>专利</w:t>
      </w:r>
      <w:r>
        <w:rPr>
          <w:rFonts w:hint="eastAsia" w:ascii="Times" w:hAnsi="Times" w:eastAsia="仿宋_GB2312"/>
          <w:sz w:val="32"/>
          <w:szCs w:val="32"/>
        </w:rPr>
        <w:t>，同时提供相应证明材料，并对真实性负责。</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在具体个案中，专利权人未按标准制定组织规定</w:t>
      </w:r>
      <w:r>
        <w:rPr>
          <w:rFonts w:hint="eastAsia" w:ascii="仿宋_GB2312" w:hAnsi="楷体" w:eastAsia="仿宋_GB2312"/>
          <w:color w:val="000000" w:themeColor="text1"/>
          <w:sz w:val="32"/>
          <w:szCs w:val="32"/>
          <w14:textFill>
            <w14:solidFill>
              <w14:schemeClr w14:val="tx1"/>
            </w14:solidFill>
          </w14:textFill>
        </w:rPr>
        <w:t>及时充分</w:t>
      </w:r>
      <w:r>
        <w:rPr>
          <w:rFonts w:hint="eastAsia" w:ascii="Times" w:hAnsi="Times" w:eastAsia="仿宋_GB2312"/>
          <w:sz w:val="32"/>
          <w:szCs w:val="32"/>
        </w:rPr>
        <w:t>披露专利信息，或者明确放弃专利权，但在标准颁布后向标准实施方主张专利权的情形，是认定具体行为在相关市场中是否会对市场竞争产生排除、限制影响的重要考虑因素。</w:t>
      </w:r>
    </w:p>
    <w:p>
      <w:pPr>
        <w:spacing w:line="594" w:lineRule="exact"/>
        <w:ind w:firstLine="640" w:firstLineChars="200"/>
        <w:outlineLvl w:val="1"/>
        <w:rPr>
          <w:rFonts w:hint="eastAsia" w:ascii="Times New Roman" w:hAnsi="Times New Roman" w:eastAsia="楷体_GB2312" w:cs="Calibri"/>
          <w:sz w:val="32"/>
          <w:szCs w:val="32"/>
        </w:rPr>
      </w:pPr>
      <w:r>
        <w:rPr>
          <w:rFonts w:hint="eastAsia" w:ascii="Times New Roman" w:hAnsi="Times New Roman" w:eastAsia="楷体_GB2312" w:cs="Calibri"/>
          <w:sz w:val="32"/>
          <w:szCs w:val="32"/>
        </w:rPr>
        <w:t>【第六条】 标准必要专利的许可承诺</w:t>
      </w:r>
    </w:p>
    <w:p>
      <w:pPr>
        <w:adjustRightInd w:val="0"/>
        <w:snapToGrid w:val="0"/>
        <w:spacing w:line="594" w:lineRule="exact"/>
        <w:ind w:firstLine="640" w:firstLineChars="200"/>
        <w:rPr>
          <w:rFonts w:hint="eastAsia" w:ascii="Times" w:hAnsi="Times" w:eastAsia="仿宋_GB2312"/>
          <w:sz w:val="32"/>
          <w:szCs w:val="32"/>
        </w:rPr>
      </w:pPr>
      <w:r>
        <w:rPr>
          <w:rFonts w:hint="eastAsia" w:ascii="Times" w:hAnsi="Times" w:eastAsia="仿宋_GB2312"/>
          <w:sz w:val="32"/>
          <w:szCs w:val="32"/>
        </w:rPr>
        <w:t>公平、合理和无歧视原则，是标准必要专利权人与标准实施方进行标准必要专利许可谈判需遵循的重要原则，被国际、国外和国内标准制定组织所公认并广泛采用成为知识产权政策的重要内容。</w:t>
      </w:r>
    </w:p>
    <w:p>
      <w:pPr>
        <w:adjustRightInd w:val="0"/>
        <w:snapToGrid w:val="0"/>
        <w:spacing w:line="594" w:lineRule="exact"/>
        <w:ind w:firstLine="640" w:firstLineChars="200"/>
        <w:rPr>
          <w:rFonts w:ascii="仿宋_GB2312" w:hAnsi="楷体" w:eastAsia="仿宋_GB2312"/>
          <w:color w:val="000000" w:themeColor="text1"/>
          <w:sz w:val="32"/>
          <w:szCs w:val="32"/>
          <w14:textFill>
            <w14:solidFill>
              <w14:schemeClr w14:val="tx1"/>
            </w14:solidFill>
          </w14:textFill>
        </w:rPr>
      </w:pPr>
      <w:r>
        <w:rPr>
          <w:rFonts w:hint="eastAsia" w:ascii="Times" w:hAnsi="Times" w:eastAsia="仿宋_GB2312"/>
          <w:sz w:val="32"/>
          <w:szCs w:val="32"/>
        </w:rPr>
        <w:t>参与标准制修订的专利权人或者专利申请人应</w:t>
      </w:r>
      <w:r>
        <w:rPr>
          <w:rFonts w:hint="eastAsia" w:ascii="仿宋_GB2312" w:hAnsi="楷体" w:eastAsia="仿宋_GB2312"/>
          <w:color w:val="000000" w:themeColor="text1"/>
          <w:sz w:val="32"/>
          <w:szCs w:val="32"/>
          <w14:textFill>
            <w14:solidFill>
              <w14:schemeClr w14:val="tx1"/>
            </w14:solidFill>
          </w14:textFill>
        </w:rPr>
        <w:t>按照标准制定组织规定，明确作出专利实施许可</w:t>
      </w:r>
      <w:r>
        <w:rPr>
          <w:rFonts w:hint="eastAsia" w:ascii="仿宋_GB2312" w:hAnsi="楷体" w:eastAsia="仿宋_GB2312"/>
          <w:color w:val="000000" w:themeColor="text1"/>
          <w:sz w:val="32"/>
          <w:szCs w:val="32"/>
          <w:lang w:val="en-US" w:eastAsia="zh-CN"/>
          <w14:textFill>
            <w14:solidFill>
              <w14:schemeClr w14:val="tx1"/>
            </w14:solidFill>
          </w14:textFill>
        </w:rPr>
        <w:t>承诺</w:t>
      </w:r>
      <w:r>
        <w:rPr>
          <w:rFonts w:hint="eastAsia" w:ascii="仿宋_GB2312" w:hAnsi="楷体" w:eastAsia="仿宋_GB2312"/>
          <w:color w:val="000000" w:themeColor="text1"/>
          <w:sz w:val="32"/>
          <w:szCs w:val="32"/>
          <w14:textFill>
            <w14:solidFill>
              <w14:schemeClr w14:val="tx1"/>
            </w14:solidFill>
          </w14:textFill>
        </w:rPr>
        <w:t>，即同意在公平、合理和无歧视原则基础上，免费或者收费许可任何经营者等在实施该标准时</w:t>
      </w:r>
      <w:r>
        <w:rPr>
          <w:rFonts w:hint="eastAsia" w:ascii="仿宋_GB2312" w:hAnsi="楷体" w:eastAsia="仿宋_GB2312"/>
          <w:color w:val="000000" w:themeColor="text1"/>
          <w:sz w:val="32"/>
          <w:szCs w:val="32"/>
          <w:lang w:val="en-US" w:eastAsia="zh-CN"/>
          <w14:textFill>
            <w14:solidFill>
              <w14:schemeClr w14:val="tx1"/>
            </w14:solidFill>
          </w14:textFill>
        </w:rPr>
        <w:t>使用</w:t>
      </w:r>
      <w:r>
        <w:rPr>
          <w:rFonts w:hint="eastAsia" w:ascii="仿宋_GB2312" w:hAnsi="楷体" w:eastAsia="仿宋_GB2312"/>
          <w:color w:val="000000" w:themeColor="text1"/>
          <w:sz w:val="32"/>
          <w:szCs w:val="32"/>
          <w14:textFill>
            <w14:solidFill>
              <w14:schemeClr w14:val="tx1"/>
            </w14:solidFill>
          </w14:textFill>
        </w:rPr>
        <w:t>其专利。</w:t>
      </w:r>
    </w:p>
    <w:p>
      <w:pPr>
        <w:adjustRightInd w:val="0"/>
        <w:snapToGrid w:val="0"/>
        <w:spacing w:line="594" w:lineRule="exact"/>
        <w:ind w:firstLine="640" w:firstLineChars="200"/>
        <w:rPr>
          <w:rFonts w:ascii="Times" w:hAnsi="Times" w:eastAsia="仿宋_GB2312"/>
          <w:sz w:val="32"/>
          <w:szCs w:val="32"/>
          <w:highlight w:val="yellow"/>
        </w:rPr>
      </w:pPr>
      <w:r>
        <w:rPr>
          <w:rFonts w:hint="eastAsia" w:ascii="仿宋_GB2312" w:hAnsi="楷体" w:eastAsia="仿宋_GB2312"/>
          <w:color w:val="000000" w:themeColor="text1"/>
          <w:sz w:val="32"/>
          <w:szCs w:val="32"/>
          <w14:textFill>
            <w14:solidFill>
              <w14:schemeClr w14:val="tx1"/>
            </w14:solidFill>
          </w14:textFill>
        </w:rPr>
        <w:t>对于已经基于公平、合理和无歧视原则作出许可</w:t>
      </w:r>
      <w:r>
        <w:rPr>
          <w:rFonts w:hint="eastAsia" w:ascii="仿宋_GB2312" w:hAnsi="楷体" w:eastAsia="仿宋_GB2312"/>
          <w:color w:val="000000" w:themeColor="text1"/>
          <w:sz w:val="32"/>
          <w:szCs w:val="32"/>
          <w:lang w:val="en-US" w:eastAsia="zh-CN"/>
          <w14:textFill>
            <w14:solidFill>
              <w14:schemeClr w14:val="tx1"/>
            </w14:solidFill>
          </w14:textFill>
        </w:rPr>
        <w:t>承诺</w:t>
      </w:r>
      <w:r>
        <w:rPr>
          <w:rFonts w:hint="eastAsia" w:ascii="仿宋_GB2312" w:hAnsi="楷体" w:eastAsia="仿宋_GB2312"/>
          <w:color w:val="000000" w:themeColor="text1"/>
          <w:sz w:val="32"/>
          <w:szCs w:val="32"/>
          <w14:textFill>
            <w14:solidFill>
              <w14:schemeClr w14:val="tx1"/>
            </w14:solidFill>
          </w14:textFill>
        </w:rPr>
        <w:t>的专利，标准必要专利权人转让或者转移该专利时，应当事先告知受让人该专利实施许可</w:t>
      </w:r>
      <w:r>
        <w:rPr>
          <w:rFonts w:hint="eastAsia" w:ascii="仿宋_GB2312" w:hAnsi="楷体" w:eastAsia="仿宋_GB2312"/>
          <w:color w:val="000000" w:themeColor="text1"/>
          <w:sz w:val="32"/>
          <w:szCs w:val="32"/>
          <w:lang w:val="en-US" w:eastAsia="zh-CN"/>
          <w14:textFill>
            <w14:solidFill>
              <w14:schemeClr w14:val="tx1"/>
            </w14:solidFill>
          </w14:textFill>
        </w:rPr>
        <w:t>承诺</w:t>
      </w:r>
      <w:r>
        <w:rPr>
          <w:rFonts w:hint="eastAsia" w:ascii="仿宋_GB2312" w:hAnsi="楷体" w:eastAsia="仿宋_GB2312"/>
          <w:color w:val="000000" w:themeColor="text1"/>
          <w:sz w:val="32"/>
          <w:szCs w:val="32"/>
          <w14:textFill>
            <w14:solidFill>
              <w14:schemeClr w14:val="tx1"/>
            </w14:solidFill>
          </w14:textFill>
        </w:rPr>
        <w:t>的内容，并保证受让人同意受该专利实施许可</w:t>
      </w:r>
      <w:r>
        <w:rPr>
          <w:rFonts w:hint="eastAsia" w:ascii="仿宋_GB2312" w:hAnsi="楷体" w:eastAsia="仿宋_GB2312"/>
          <w:color w:val="000000" w:themeColor="text1"/>
          <w:sz w:val="32"/>
          <w:szCs w:val="32"/>
          <w:lang w:val="en-US" w:eastAsia="zh-CN"/>
          <w14:textFill>
            <w14:solidFill>
              <w14:schemeClr w14:val="tx1"/>
            </w14:solidFill>
          </w14:textFill>
        </w:rPr>
        <w:t>承诺</w:t>
      </w:r>
      <w:r>
        <w:rPr>
          <w:rFonts w:hint="eastAsia" w:ascii="仿宋_GB2312" w:hAnsi="楷体" w:eastAsia="仿宋_GB2312"/>
          <w:color w:val="000000" w:themeColor="text1"/>
          <w:sz w:val="32"/>
          <w:szCs w:val="32"/>
          <w14:textFill>
            <w14:solidFill>
              <w14:schemeClr w14:val="tx1"/>
            </w14:solidFill>
          </w14:textFill>
        </w:rPr>
        <w:t>的约束，即标准必要专利许可承诺对受让人</w:t>
      </w:r>
      <w:r>
        <w:rPr>
          <w:rFonts w:hint="eastAsia" w:ascii="Times" w:hAnsi="Times" w:eastAsia="仿宋_GB2312"/>
          <w:sz w:val="32"/>
          <w:szCs w:val="32"/>
        </w:rPr>
        <w:t>具有同等效力。</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在具体个案中，</w:t>
      </w:r>
      <w:r>
        <w:rPr>
          <w:rFonts w:hint="eastAsia" w:ascii="仿宋_GB2312" w:hAnsi="楷体" w:eastAsia="仿宋_GB2312"/>
          <w:color w:val="000000" w:themeColor="text1"/>
          <w:sz w:val="32"/>
          <w:szCs w:val="32"/>
          <w14:textFill>
            <w14:solidFill>
              <w14:schemeClr w14:val="tx1"/>
            </w14:solidFill>
          </w14:textFill>
        </w:rPr>
        <w:t>标准必要专利权人或者其受让人是否</w:t>
      </w:r>
      <w:r>
        <w:rPr>
          <w:rFonts w:hint="eastAsia" w:ascii="仿宋_GB2312" w:hAnsi="楷体" w:eastAsia="仿宋_GB2312"/>
          <w:sz w:val="32"/>
          <w:szCs w:val="32"/>
        </w:rPr>
        <w:t>违反公平、合理和无歧视承诺，是认定以不公平的高价许可，没有正当理由拒绝许可、搭售商品、附加其他不合理的交易条件或者实行差别待遇等</w:t>
      </w:r>
      <w:r>
        <w:rPr>
          <w:rFonts w:hint="eastAsia" w:ascii="Times" w:hAnsi="Times" w:eastAsia="仿宋_GB2312"/>
          <w:sz w:val="32"/>
          <w:szCs w:val="32"/>
        </w:rPr>
        <w:t>具体垄断行为的重要考虑因素。</w:t>
      </w:r>
    </w:p>
    <w:p>
      <w:pPr>
        <w:spacing w:line="594" w:lineRule="exact"/>
        <w:ind w:firstLine="640" w:firstLineChars="200"/>
        <w:outlineLvl w:val="1"/>
        <w:rPr>
          <w:rFonts w:hint="eastAsia" w:ascii="Times New Roman" w:hAnsi="Times New Roman" w:eastAsia="楷体_GB2312" w:cs="Calibri"/>
          <w:sz w:val="32"/>
          <w:szCs w:val="32"/>
        </w:rPr>
      </w:pPr>
      <w:r>
        <w:rPr>
          <w:rFonts w:hint="eastAsia" w:ascii="Times New Roman" w:hAnsi="Times New Roman" w:eastAsia="楷体_GB2312" w:cs="Calibri"/>
          <w:sz w:val="32"/>
          <w:szCs w:val="32"/>
        </w:rPr>
        <w:t>【第七条】 标准必要专利的善意谈判</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标准必要专利善意谈判是履行</w:t>
      </w:r>
      <w:r>
        <w:rPr>
          <w:rFonts w:hint="eastAsia" w:ascii="仿宋_GB2312" w:hAnsi="楷体" w:eastAsia="仿宋_GB2312"/>
          <w:sz w:val="32"/>
          <w:szCs w:val="32"/>
        </w:rPr>
        <w:t>公平、合理和无歧视承诺</w:t>
      </w:r>
      <w:r>
        <w:rPr>
          <w:rFonts w:hint="eastAsia" w:ascii="Times" w:hAnsi="Times" w:eastAsia="仿宋_GB2312"/>
          <w:sz w:val="32"/>
          <w:szCs w:val="32"/>
        </w:rPr>
        <w:t>的具体表现</w:t>
      </w:r>
      <w:r>
        <w:rPr>
          <w:rFonts w:hint="eastAsia" w:ascii="Times" w:hAnsi="Times" w:eastAsia="仿宋_GB2312"/>
          <w:sz w:val="32"/>
          <w:szCs w:val="32"/>
          <w:lang w:eastAsia="zh-CN"/>
        </w:rPr>
        <w:t>。</w:t>
      </w:r>
      <w:r>
        <w:rPr>
          <w:rFonts w:hint="eastAsia" w:ascii="Times" w:hAnsi="Times" w:eastAsia="仿宋_GB2312"/>
          <w:sz w:val="32"/>
          <w:szCs w:val="32"/>
        </w:rPr>
        <w:t>标准必要专利权人和标准实施方之间</w:t>
      </w:r>
      <w:r>
        <w:rPr>
          <w:rFonts w:hint="eastAsia" w:ascii="Times" w:hAnsi="Times" w:eastAsia="仿宋_GB2312"/>
          <w:sz w:val="32"/>
          <w:szCs w:val="32"/>
          <w:lang w:val="en-US" w:eastAsia="zh-CN"/>
        </w:rPr>
        <w:t>应当</w:t>
      </w:r>
      <w:r>
        <w:rPr>
          <w:rFonts w:hint="eastAsia" w:ascii="Times" w:hAnsi="Times" w:eastAsia="仿宋_GB2312"/>
          <w:sz w:val="32"/>
          <w:szCs w:val="32"/>
        </w:rPr>
        <w:t>就标准必要专利</w:t>
      </w:r>
      <w:r>
        <w:rPr>
          <w:rFonts w:hint="eastAsia" w:ascii="Times" w:hAnsi="Times" w:eastAsia="仿宋_GB2312"/>
          <w:sz w:val="32"/>
          <w:szCs w:val="32"/>
          <w:lang w:val="en-US" w:eastAsia="zh-CN"/>
        </w:rPr>
        <w:t>许可</w:t>
      </w:r>
      <w:r>
        <w:rPr>
          <w:rFonts w:hint="eastAsia" w:ascii="Times" w:hAnsi="Times" w:eastAsia="仿宋_GB2312"/>
          <w:sz w:val="32"/>
          <w:szCs w:val="32"/>
        </w:rPr>
        <w:t>的</w:t>
      </w:r>
      <w:r>
        <w:rPr>
          <w:rFonts w:hint="eastAsia" w:ascii="Times" w:hAnsi="Times" w:eastAsia="仿宋_GB2312"/>
          <w:sz w:val="32"/>
          <w:szCs w:val="32"/>
          <w:lang w:val="en-US" w:eastAsia="zh-CN"/>
        </w:rPr>
        <w:t>费率</w:t>
      </w:r>
      <w:r>
        <w:rPr>
          <w:rFonts w:hint="eastAsia" w:ascii="Times" w:hAnsi="Times" w:eastAsia="仿宋_GB2312"/>
          <w:sz w:val="32"/>
          <w:szCs w:val="32"/>
        </w:rPr>
        <w:t>、数量、时限等许可</w:t>
      </w:r>
      <w:r>
        <w:rPr>
          <w:rFonts w:hint="eastAsia" w:ascii="Times" w:hAnsi="Times" w:eastAsia="仿宋_GB2312"/>
          <w:sz w:val="32"/>
          <w:szCs w:val="32"/>
          <w:lang w:val="en-US" w:eastAsia="zh-CN"/>
        </w:rPr>
        <w:t>条件</w:t>
      </w:r>
      <w:r>
        <w:rPr>
          <w:rFonts w:hint="eastAsia" w:ascii="Times" w:hAnsi="Times" w:eastAsia="仿宋_GB2312"/>
          <w:sz w:val="32"/>
          <w:szCs w:val="32"/>
        </w:rPr>
        <w:t>开展</w:t>
      </w:r>
      <w:r>
        <w:rPr>
          <w:rFonts w:hint="eastAsia" w:ascii="Times" w:hAnsi="Times" w:eastAsia="仿宋_GB2312"/>
          <w:sz w:val="32"/>
          <w:szCs w:val="32"/>
          <w:lang w:val="en-US" w:eastAsia="zh-CN"/>
        </w:rPr>
        <w:t>善意谈判，以达成</w:t>
      </w:r>
      <w:r>
        <w:rPr>
          <w:rFonts w:hint="eastAsia" w:ascii="仿宋_GB2312" w:hAnsi="楷体" w:eastAsia="仿宋_GB2312"/>
          <w:sz w:val="32"/>
          <w:szCs w:val="32"/>
        </w:rPr>
        <w:t>公平、合理和无歧视</w:t>
      </w:r>
      <w:r>
        <w:rPr>
          <w:rFonts w:hint="eastAsia" w:ascii="Times" w:hAnsi="Times" w:eastAsia="仿宋_GB2312"/>
          <w:sz w:val="32"/>
          <w:szCs w:val="32"/>
          <w:lang w:val="en-US" w:eastAsia="zh-CN"/>
        </w:rPr>
        <w:t>的许可条件</w:t>
      </w:r>
      <w:r>
        <w:rPr>
          <w:rFonts w:hint="eastAsia" w:ascii="Times" w:hAnsi="Times" w:eastAsia="仿宋_GB2312"/>
          <w:sz w:val="32"/>
          <w:szCs w:val="32"/>
        </w:rPr>
        <w:t>。</w:t>
      </w:r>
      <w:r>
        <w:rPr>
          <w:rFonts w:hint="eastAsia" w:ascii="Times" w:hAnsi="Times" w:eastAsia="仿宋_GB2312"/>
          <w:sz w:val="32"/>
          <w:szCs w:val="32"/>
          <w:lang w:val="en-US" w:eastAsia="zh-CN"/>
        </w:rPr>
        <w:t>善意谈判包括但不限于</w:t>
      </w:r>
      <w:r>
        <w:rPr>
          <w:rFonts w:hint="eastAsia" w:ascii="Times" w:hAnsi="Times" w:eastAsia="仿宋_GB2312"/>
          <w:sz w:val="32"/>
          <w:szCs w:val="32"/>
        </w:rPr>
        <w:t>下列程序和要求：</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（一）标准必要专利权人应对标准实施方提出明确的许可谈判要约，包括提供标准必要专利清单、标准必要专利与标准的对照表及合理的反馈期限等具体内容；</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（二）标准实施方应在合理期限内对获得许可表达善意意愿，即不存在恶意拖延、无正当理由拒绝许可谈判等情形；</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（三）标准必要专利权人应提出符合其所作出的公平、合理和无歧视承诺的许可条件，主要包括许可费率计算方式及合理性理由、标准必要专利保护时效及转让情况等与许可直接相关的必要信息和实际情况；</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（四）标准实施方应在合理期限内接受许可条件，如不接受，应在合理期限内就许可费率、回授等许可条件提出符合公平、合理和无歧视原则的方案。</w:t>
      </w:r>
    </w:p>
    <w:p>
      <w:pPr>
        <w:widowControl/>
        <w:spacing w:line="594" w:lineRule="exact"/>
        <w:ind w:firstLine="640" w:firstLineChars="200"/>
        <w:rPr>
          <w:rFonts w:ascii="Times" w:hAnsi="Times" w:eastAsia="仿宋_GB2312"/>
          <w:sz w:val="32"/>
          <w:szCs w:val="32"/>
        </w:rPr>
      </w:pPr>
      <w:bookmarkStart w:id="7" w:name="_Toc117591578"/>
      <w:r>
        <w:rPr>
          <w:rFonts w:hint="eastAsia" w:ascii="Times" w:hAnsi="Times" w:eastAsia="仿宋_GB2312"/>
          <w:sz w:val="32"/>
          <w:szCs w:val="32"/>
        </w:rPr>
        <w:t>在具体个案中，</w:t>
      </w:r>
      <w:r>
        <w:rPr>
          <w:rFonts w:hint="eastAsia" w:ascii="Times" w:hAnsi="Times" w:eastAsia="仿宋_GB2312"/>
          <w:sz w:val="32"/>
          <w:szCs w:val="32"/>
          <w:lang w:val="en-US" w:eastAsia="zh-CN"/>
        </w:rPr>
        <w:t>须对谈判的过程和内容进行全面评估，</w:t>
      </w:r>
      <w:r>
        <w:rPr>
          <w:rFonts w:hint="eastAsia" w:ascii="Times" w:hAnsi="Times" w:eastAsia="仿宋_GB2312"/>
          <w:sz w:val="32"/>
          <w:szCs w:val="32"/>
        </w:rPr>
        <w:t>非善意的标准必要专利许可谈判将提高相关市场中排除、限制竞争的风险</w:t>
      </w:r>
      <w:r>
        <w:rPr>
          <w:rFonts w:hint="eastAsia" w:ascii="Times" w:hAnsi="Times" w:eastAsia="仿宋_GB2312"/>
          <w:sz w:val="32"/>
          <w:szCs w:val="32"/>
          <w:lang w:eastAsia="zh-CN"/>
        </w:rPr>
        <w:t>。</w:t>
      </w:r>
      <w:r>
        <w:rPr>
          <w:rFonts w:hint="eastAsia" w:ascii="Times" w:hAnsi="Times" w:eastAsia="仿宋_GB2312"/>
          <w:sz w:val="32"/>
          <w:szCs w:val="32"/>
        </w:rPr>
        <w:t>标准必要专利权人和标准实施方均需对其上述过程中不存在过错进行证明，提供相应证明材料，并对所提供证明材料的真实性负责。</w:t>
      </w:r>
    </w:p>
    <w:p>
      <w:pPr>
        <w:spacing w:line="594" w:lineRule="exact"/>
      </w:pPr>
    </w:p>
    <w:p>
      <w:pPr>
        <w:widowControl/>
        <w:spacing w:line="594" w:lineRule="exact"/>
        <w:jc w:val="center"/>
        <w:outlineLvl w:val="0"/>
        <w:rPr>
          <w:rFonts w:ascii="Times" w:hAnsi="Times" w:eastAsia="黑体"/>
          <w:sz w:val="32"/>
          <w:szCs w:val="32"/>
        </w:rPr>
      </w:pPr>
      <w:r>
        <w:rPr>
          <w:rFonts w:hint="eastAsia" w:ascii="Times" w:hAnsi="Times" w:eastAsia="黑体"/>
          <w:sz w:val="32"/>
          <w:szCs w:val="32"/>
        </w:rPr>
        <w:t>第二章  涉及标准必要专利的垄断协议</w:t>
      </w:r>
    </w:p>
    <w:p>
      <w:pPr>
        <w:widowControl/>
        <w:spacing w:line="594" w:lineRule="exact"/>
        <w:ind w:firstLine="640" w:firstLineChars="200"/>
        <w:rPr>
          <w:rFonts w:ascii="Times" w:hAnsi="Times" w:eastAsia="黑体"/>
          <w:sz w:val="32"/>
          <w:szCs w:val="32"/>
        </w:rPr>
      </w:pPr>
      <w:r>
        <w:rPr>
          <w:rFonts w:hint="eastAsia" w:ascii="Times" w:hAnsi="Times" w:eastAsia="仿宋_GB2312" w:cs="仿宋"/>
          <w:sz w:val="32"/>
          <w:szCs w:val="32"/>
          <w:lang w:val="en-US" w:eastAsia="zh-CN"/>
        </w:rPr>
        <w:t>认定</w:t>
      </w:r>
      <w:r>
        <w:rPr>
          <w:rFonts w:hint="eastAsia" w:ascii="Times" w:hAnsi="Times" w:eastAsia="仿宋_GB2312" w:cs="仿宋"/>
          <w:sz w:val="32"/>
          <w:szCs w:val="32"/>
        </w:rPr>
        <w:t>涉及标准必要专利的垄断协议</w:t>
      </w:r>
      <w:r>
        <w:rPr>
          <w:rFonts w:hint="eastAsia" w:ascii="Times" w:hAnsi="Times" w:eastAsia="仿宋_GB2312" w:cs="仿宋"/>
          <w:sz w:val="32"/>
          <w:szCs w:val="32"/>
          <w:lang w:eastAsia="zh-CN"/>
        </w:rPr>
        <w:t>，</w:t>
      </w:r>
      <w:r>
        <w:rPr>
          <w:rFonts w:hint="eastAsia" w:ascii="Times" w:hAnsi="Times" w:eastAsia="仿宋_GB2312" w:cs="仿宋"/>
          <w:sz w:val="32"/>
          <w:szCs w:val="32"/>
        </w:rPr>
        <w:t>适用《反垄断法》和《</w:t>
      </w:r>
      <w:r>
        <w:rPr>
          <w:rFonts w:hint="eastAsia" w:ascii="Times" w:hAnsi="Times" w:eastAsia="仿宋_GB2312"/>
          <w:sz w:val="32"/>
          <w:szCs w:val="32"/>
        </w:rPr>
        <w:t>国务院反垄断委员会</w:t>
      </w:r>
      <w:r>
        <w:rPr>
          <w:rFonts w:hint="eastAsia" w:ascii="Times" w:hAnsi="Times" w:eastAsia="仿宋_GB2312" w:cs="仿宋"/>
          <w:sz w:val="32"/>
          <w:szCs w:val="32"/>
        </w:rPr>
        <w:t>关于知识产权领域的反垄断指南》</w:t>
      </w:r>
      <w:r>
        <w:rPr>
          <w:rFonts w:hint="eastAsia" w:ascii="Times" w:hAnsi="Times" w:eastAsia="仿宋_GB2312" w:cs="仿宋"/>
          <w:sz w:val="32"/>
          <w:szCs w:val="32"/>
          <w:lang w:eastAsia="zh-CN"/>
        </w:rPr>
        <w:t>（</w:t>
      </w:r>
      <w:r>
        <w:rPr>
          <w:rFonts w:hint="eastAsia" w:ascii="Times" w:hAnsi="Times" w:eastAsia="仿宋_GB2312" w:cs="仿宋"/>
          <w:sz w:val="32"/>
          <w:szCs w:val="32"/>
          <w:lang w:val="en-US" w:eastAsia="zh-CN"/>
        </w:rPr>
        <w:t>以下简称《</w:t>
      </w:r>
      <w:r>
        <w:rPr>
          <w:rFonts w:hint="eastAsia" w:ascii="Times" w:hAnsi="Times" w:eastAsia="仿宋_GB2312" w:cs="仿宋"/>
          <w:sz w:val="32"/>
          <w:szCs w:val="32"/>
        </w:rPr>
        <w:t>关于知识产权领域的反垄断指南</w:t>
      </w:r>
      <w:r>
        <w:rPr>
          <w:rFonts w:hint="eastAsia" w:ascii="Times" w:hAnsi="Times" w:eastAsia="仿宋_GB2312" w:cs="仿宋"/>
          <w:sz w:val="32"/>
          <w:szCs w:val="32"/>
          <w:lang w:val="en-US" w:eastAsia="zh-CN"/>
        </w:rPr>
        <w:t>》</w:t>
      </w:r>
      <w:r>
        <w:rPr>
          <w:rFonts w:hint="eastAsia" w:ascii="Times" w:hAnsi="Times" w:eastAsia="仿宋_GB2312" w:cs="仿宋"/>
          <w:sz w:val="32"/>
          <w:szCs w:val="32"/>
          <w:lang w:eastAsia="zh-CN"/>
        </w:rPr>
        <w:t>）等</w:t>
      </w:r>
      <w:r>
        <w:rPr>
          <w:rFonts w:hint="eastAsia" w:ascii="Times" w:hAnsi="Times" w:eastAsia="仿宋_GB2312" w:cs="仿宋"/>
          <w:sz w:val="32"/>
          <w:szCs w:val="32"/>
          <w:lang w:val="en-US" w:eastAsia="zh-CN"/>
        </w:rPr>
        <w:t>相关</w:t>
      </w:r>
      <w:r>
        <w:rPr>
          <w:rFonts w:hint="eastAsia" w:ascii="Times" w:hAnsi="Times" w:eastAsia="仿宋_GB2312" w:cs="仿宋"/>
          <w:sz w:val="32"/>
          <w:szCs w:val="32"/>
        </w:rPr>
        <w:t>规定。</w:t>
      </w:r>
      <w:bookmarkEnd w:id="7"/>
    </w:p>
    <w:p>
      <w:pPr>
        <w:adjustRightInd w:val="0"/>
        <w:snapToGrid w:val="0"/>
        <w:spacing w:line="594" w:lineRule="exact"/>
        <w:ind w:firstLine="640" w:firstLineChars="200"/>
        <w:outlineLvl w:val="1"/>
        <w:rPr>
          <w:rFonts w:hint="eastAsia" w:ascii="Times New Roman" w:hAnsi="Times New Roman" w:eastAsia="楷体_GB2312" w:cs="Calibri"/>
          <w:sz w:val="32"/>
          <w:szCs w:val="32"/>
        </w:rPr>
      </w:pPr>
      <w:r>
        <w:rPr>
          <w:rFonts w:hint="eastAsia" w:ascii="Times New Roman" w:hAnsi="Times New Roman" w:eastAsia="楷体_GB2312" w:cs="Calibri"/>
          <w:sz w:val="32"/>
          <w:szCs w:val="32"/>
        </w:rPr>
        <w:t>【第八条】 标准制定与实施过程中的垄断协议</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在标准制定和实施过程中，不同标准必要专利权人之间可能达成垄断协议，排除、限制竞争，具体分析时可以考虑以下情形和因素：</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（一）是否没有正当理由，排除其他特定经营者参与标准制定；</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（二）是否没有正当理由，排除其他特定经营者的相关方案；</w:t>
      </w:r>
    </w:p>
    <w:p>
      <w:pPr>
        <w:spacing w:line="594" w:lineRule="exact"/>
        <w:ind w:firstLine="601"/>
        <w:rPr>
          <w:rFonts w:ascii="Times" w:hAnsi="Times" w:eastAsia="仿宋_GB2312"/>
          <w:sz w:val="32"/>
          <w:szCs w:val="32"/>
        </w:rPr>
      </w:pPr>
      <w:r>
        <w:rPr>
          <w:rFonts w:hint="eastAsia" w:ascii="Times" w:hAnsi="Times" w:eastAsia="仿宋_GB2312"/>
          <w:sz w:val="32"/>
          <w:szCs w:val="32"/>
        </w:rPr>
        <w:t>（三）是否没有正当理由，约定不实施其他竞争性标准；</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（四）是否没有正当理由，限制特定标准实施方基于标准进行测试、获得认证等实施标准的活动。</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标准制定组织不得在标准制定和实施过程中，组织标准必要专利权人达成垄断协议或者为标准必要专利权人达成垄断协议提供实质性帮助。</w:t>
      </w:r>
    </w:p>
    <w:p>
      <w:pPr>
        <w:adjustRightInd w:val="0"/>
        <w:snapToGrid w:val="0"/>
        <w:spacing w:line="594" w:lineRule="exact"/>
        <w:ind w:firstLine="640" w:firstLineChars="200"/>
        <w:outlineLvl w:val="1"/>
        <w:rPr>
          <w:rFonts w:hint="eastAsia" w:ascii="Times New Roman" w:hAnsi="Times New Roman" w:eastAsia="楷体_GB2312" w:cs="Calibri"/>
          <w:sz w:val="32"/>
          <w:szCs w:val="32"/>
          <w:lang w:eastAsia="zh-Hans"/>
        </w:rPr>
      </w:pPr>
      <w:r>
        <w:rPr>
          <w:rFonts w:hint="eastAsia" w:ascii="Times New Roman" w:hAnsi="Times New Roman" w:eastAsia="楷体_GB2312" w:cs="Calibri"/>
          <w:sz w:val="32"/>
          <w:szCs w:val="32"/>
        </w:rPr>
        <w:t>【第九条】 涉及标准必要专利联营的垄断协议</w:t>
      </w:r>
    </w:p>
    <w:p>
      <w:pPr>
        <w:spacing w:line="594" w:lineRule="exact"/>
        <w:ind w:firstLine="602"/>
        <w:rPr>
          <w:rFonts w:ascii="Times" w:hAnsi="Times" w:eastAsia="仿宋_GB2312" w:cs="仿宋"/>
          <w:sz w:val="32"/>
          <w:szCs w:val="32"/>
        </w:rPr>
      </w:pPr>
      <w:r>
        <w:rPr>
          <w:rFonts w:hint="eastAsia" w:ascii="Times" w:hAnsi="Times" w:eastAsia="仿宋_GB2312" w:cs="仿宋"/>
          <w:sz w:val="32"/>
          <w:szCs w:val="32"/>
        </w:rPr>
        <w:t>通常情况下，专利联营可以降低许可等交易成本，提高许可效率和标准实施稳定性，具有促进竞争的效果。但是，不同</w:t>
      </w:r>
      <w:r>
        <w:rPr>
          <w:rFonts w:hint="eastAsia" w:ascii="Times" w:hAnsi="Times" w:eastAsia="仿宋_GB2312"/>
          <w:sz w:val="32"/>
          <w:szCs w:val="32"/>
        </w:rPr>
        <w:t>标准必要专利权人之间可能利用专利联营达成垄断协议，排除、限制竞争，具体分析时可以考虑以下情形：</w:t>
      </w:r>
    </w:p>
    <w:p>
      <w:pPr>
        <w:spacing w:line="594" w:lineRule="exact"/>
        <w:ind w:firstLine="602"/>
        <w:rPr>
          <w:rFonts w:ascii="Times" w:hAnsi="Times" w:eastAsia="仿宋_GB2312" w:cs="仿宋"/>
          <w:sz w:val="32"/>
          <w:szCs w:val="32"/>
        </w:rPr>
      </w:pPr>
      <w:r>
        <w:rPr>
          <w:rFonts w:hint="eastAsia" w:ascii="Times" w:hAnsi="Times" w:eastAsia="仿宋_GB2312" w:cs="仿宋"/>
          <w:sz w:val="32"/>
          <w:szCs w:val="32"/>
        </w:rPr>
        <w:t>（一）是否利用专利联营交换价格、产量、市场划分等有关竞争的敏感信息；</w:t>
      </w:r>
    </w:p>
    <w:p>
      <w:pPr>
        <w:spacing w:line="594" w:lineRule="exact"/>
        <w:ind w:firstLine="602"/>
        <w:rPr>
          <w:rFonts w:ascii="Times" w:hAnsi="Times" w:eastAsia="仿宋_GB2312" w:cs="仿宋"/>
          <w:sz w:val="32"/>
          <w:szCs w:val="32"/>
        </w:rPr>
      </w:pPr>
      <w:r>
        <w:rPr>
          <w:rFonts w:hint="eastAsia" w:ascii="Times" w:hAnsi="Times" w:eastAsia="仿宋_GB2312" w:cs="仿宋"/>
          <w:sz w:val="32"/>
          <w:szCs w:val="32"/>
        </w:rPr>
        <w:t>（二）是否固定或变更标准必要专利许可费率。</w:t>
      </w:r>
    </w:p>
    <w:p>
      <w:pPr>
        <w:adjustRightInd w:val="0"/>
        <w:snapToGrid w:val="0"/>
        <w:spacing w:line="594" w:lineRule="exact"/>
        <w:ind w:firstLine="640" w:firstLineChars="200"/>
        <w:outlineLvl w:val="1"/>
        <w:rPr>
          <w:rFonts w:hint="eastAsia" w:ascii="Times New Roman" w:hAnsi="Times New Roman" w:eastAsia="楷体_GB2312" w:cs="Calibri"/>
          <w:sz w:val="32"/>
          <w:szCs w:val="32"/>
        </w:rPr>
      </w:pPr>
      <w:r>
        <w:rPr>
          <w:rFonts w:hint="eastAsia" w:ascii="Times New Roman" w:hAnsi="Times New Roman" w:eastAsia="楷体_GB2312" w:cs="Calibri"/>
          <w:sz w:val="32"/>
          <w:szCs w:val="32"/>
        </w:rPr>
        <w:t>【第十条】 涉及标准必要专利</w:t>
      </w:r>
      <w:r>
        <w:rPr>
          <w:rFonts w:hint="eastAsia" w:ascii="Times New Roman" w:hAnsi="Times New Roman" w:eastAsia="楷体_GB2312" w:cs="Calibri"/>
          <w:sz w:val="32"/>
          <w:szCs w:val="32"/>
          <w:lang w:val="en-US" w:eastAsia="zh-CN"/>
        </w:rPr>
        <w:t>的</w:t>
      </w:r>
      <w:r>
        <w:rPr>
          <w:rFonts w:hint="eastAsia" w:ascii="Times New Roman" w:hAnsi="Times New Roman" w:eastAsia="楷体_GB2312" w:cs="Calibri"/>
          <w:sz w:val="32"/>
          <w:szCs w:val="32"/>
        </w:rPr>
        <w:t>其他垄断协议</w:t>
      </w:r>
    </w:p>
    <w:p>
      <w:pPr>
        <w:pStyle w:val="26"/>
        <w:spacing w:line="594" w:lineRule="exact"/>
        <w:ind w:firstLine="640" w:firstLineChars="200"/>
        <w:rPr>
          <w:rFonts w:ascii="Times" w:hAnsi="Times" w:eastAsia="仿宋_GB2312"/>
          <w:sz w:val="32"/>
          <w:szCs w:val="32"/>
        </w:rPr>
      </w:pPr>
      <w:r>
        <w:rPr>
          <w:rFonts w:hint="eastAsia" w:ascii="Times" w:hAnsi="Times" w:eastAsia="仿宋_GB2312"/>
          <w:sz w:val="32"/>
          <w:szCs w:val="32"/>
        </w:rPr>
        <w:t>除上述协议外，标准必要专利权人还可能滥用其专利权实施其他类型的垄断协议</w:t>
      </w:r>
      <w:r>
        <w:rPr>
          <w:rFonts w:hint="eastAsia" w:ascii="Times" w:hAnsi="Times" w:eastAsia="仿宋_GB2312" w:cs="仿宋"/>
          <w:sz w:val="32"/>
          <w:szCs w:val="32"/>
        </w:rPr>
        <w:t>，</w:t>
      </w:r>
      <w:r>
        <w:rPr>
          <w:rFonts w:hint="eastAsia" w:ascii="Times" w:hAnsi="Times" w:eastAsia="仿宋_GB2312" w:cs="仿宋"/>
          <w:sz w:val="32"/>
          <w:szCs w:val="32"/>
          <w:lang w:eastAsia="zh-Hans"/>
        </w:rPr>
        <w:t>排除、限制</w:t>
      </w:r>
      <w:r>
        <w:rPr>
          <w:rFonts w:hint="eastAsia" w:ascii="Times" w:hAnsi="Times" w:eastAsia="仿宋_GB2312" w:cs="仿宋"/>
          <w:sz w:val="32"/>
          <w:szCs w:val="32"/>
        </w:rPr>
        <w:t>竞争，</w:t>
      </w:r>
      <w:r>
        <w:rPr>
          <w:rFonts w:hint="eastAsia" w:ascii="Times" w:hAnsi="Times" w:eastAsia="仿宋_GB2312"/>
          <w:sz w:val="32"/>
          <w:szCs w:val="32"/>
        </w:rPr>
        <w:t>具体分析时可以考虑以下因素</w:t>
      </w:r>
      <w:r>
        <w:rPr>
          <w:rFonts w:hint="eastAsia" w:ascii="Times" w:hAnsi="Times" w:eastAsia="仿宋_GB2312" w:cs="仿宋"/>
          <w:sz w:val="32"/>
          <w:szCs w:val="32"/>
          <w:lang w:eastAsia="zh-Hans"/>
        </w:rPr>
        <w:t>：</w:t>
      </w:r>
    </w:p>
    <w:p>
      <w:pPr>
        <w:pStyle w:val="26"/>
        <w:spacing w:line="594" w:lineRule="exact"/>
        <w:ind w:firstLine="640" w:firstLineChars="200"/>
        <w:rPr>
          <w:rFonts w:ascii="Times" w:hAnsi="Times" w:eastAsia="仿宋_GB2312"/>
          <w:sz w:val="32"/>
          <w:szCs w:val="32"/>
          <w:lang w:eastAsia="zh-Hans"/>
        </w:rPr>
      </w:pPr>
      <w:r>
        <w:rPr>
          <w:rFonts w:hint="eastAsia" w:ascii="Times" w:hAnsi="Times" w:eastAsia="仿宋_GB2312"/>
          <w:sz w:val="32"/>
          <w:szCs w:val="32"/>
          <w:lang w:eastAsia="zh-Hans"/>
        </w:rPr>
        <w:t>（</w:t>
      </w:r>
      <w:r>
        <w:rPr>
          <w:rFonts w:hint="eastAsia" w:ascii="Times" w:hAnsi="Times" w:eastAsia="仿宋_GB2312"/>
          <w:sz w:val="32"/>
          <w:szCs w:val="32"/>
        </w:rPr>
        <w:t>一</w:t>
      </w:r>
      <w:r>
        <w:rPr>
          <w:rFonts w:hint="eastAsia" w:ascii="Times" w:hAnsi="Times" w:eastAsia="仿宋_GB2312"/>
          <w:sz w:val="32"/>
          <w:szCs w:val="32"/>
          <w:lang w:eastAsia="zh-Hans"/>
        </w:rPr>
        <w:t>）</w:t>
      </w:r>
      <w:r>
        <w:rPr>
          <w:rFonts w:hint="eastAsia" w:ascii="Times" w:hAnsi="Times" w:eastAsia="仿宋_GB2312"/>
          <w:sz w:val="32"/>
          <w:szCs w:val="32"/>
        </w:rPr>
        <w:t>是否限制</w:t>
      </w:r>
      <w:r>
        <w:rPr>
          <w:rFonts w:hint="eastAsia" w:ascii="Times" w:hAnsi="Times" w:eastAsia="仿宋_GB2312"/>
          <w:sz w:val="32"/>
          <w:szCs w:val="32"/>
          <w:lang w:eastAsia="zh-Hans"/>
        </w:rPr>
        <w:t>标准实施方</w:t>
      </w:r>
      <w:r>
        <w:rPr>
          <w:rFonts w:hint="eastAsia" w:ascii="Times" w:hAnsi="Times" w:eastAsia="仿宋_GB2312"/>
          <w:sz w:val="32"/>
          <w:szCs w:val="32"/>
        </w:rPr>
        <w:t>生产、销售涉及标准必要专利产品的价格、数量或质量</w:t>
      </w:r>
      <w:r>
        <w:rPr>
          <w:rFonts w:hint="eastAsia" w:ascii="Times" w:hAnsi="Times" w:eastAsia="仿宋_GB2312"/>
          <w:sz w:val="32"/>
          <w:szCs w:val="32"/>
          <w:lang w:eastAsia="zh-Hans"/>
        </w:rPr>
        <w:t>；</w:t>
      </w:r>
    </w:p>
    <w:p>
      <w:pPr>
        <w:pStyle w:val="26"/>
        <w:adjustRightInd w:val="0"/>
        <w:snapToGrid w:val="0"/>
        <w:spacing w:line="594" w:lineRule="exact"/>
        <w:ind w:firstLine="640" w:firstLineChars="200"/>
        <w:rPr>
          <w:rFonts w:hint="eastAsia" w:ascii="Times" w:hAnsi="Times" w:eastAsia="仿宋_GB2312"/>
          <w:sz w:val="32"/>
          <w:szCs w:val="32"/>
          <w:lang w:eastAsia="zh-CN"/>
        </w:rPr>
      </w:pPr>
      <w:r>
        <w:rPr>
          <w:rFonts w:hint="eastAsia" w:ascii="Times" w:hAnsi="Times" w:eastAsia="仿宋_GB2312"/>
          <w:sz w:val="32"/>
          <w:szCs w:val="32"/>
          <w:lang w:eastAsia="zh-Hans"/>
        </w:rPr>
        <w:t>（</w:t>
      </w:r>
      <w:r>
        <w:rPr>
          <w:rFonts w:hint="eastAsia" w:ascii="Times" w:hAnsi="Times" w:eastAsia="仿宋_GB2312"/>
          <w:sz w:val="32"/>
          <w:szCs w:val="32"/>
        </w:rPr>
        <w:t>二</w:t>
      </w:r>
      <w:r>
        <w:rPr>
          <w:rFonts w:hint="eastAsia" w:ascii="Times" w:hAnsi="Times" w:eastAsia="仿宋_GB2312"/>
          <w:sz w:val="32"/>
          <w:szCs w:val="32"/>
          <w:lang w:eastAsia="zh-Hans"/>
        </w:rPr>
        <w:t>）</w:t>
      </w:r>
      <w:r>
        <w:rPr>
          <w:rFonts w:hint="eastAsia" w:ascii="Times" w:hAnsi="Times" w:eastAsia="仿宋_GB2312"/>
          <w:sz w:val="32"/>
          <w:szCs w:val="32"/>
        </w:rPr>
        <w:t>是否限制</w:t>
      </w:r>
      <w:r>
        <w:rPr>
          <w:rFonts w:hint="eastAsia" w:ascii="Times" w:hAnsi="Times" w:eastAsia="仿宋_GB2312"/>
          <w:sz w:val="32"/>
          <w:szCs w:val="32"/>
          <w:lang w:eastAsia="zh-Hans"/>
        </w:rPr>
        <w:t>标准实施方</w:t>
      </w:r>
      <w:r>
        <w:rPr>
          <w:rFonts w:hint="eastAsia" w:ascii="Times" w:hAnsi="Times" w:eastAsia="仿宋_GB2312"/>
          <w:sz w:val="32"/>
          <w:szCs w:val="32"/>
        </w:rPr>
        <w:t>开发竞争性技术等</w:t>
      </w:r>
      <w:r>
        <w:rPr>
          <w:rFonts w:hint="eastAsia" w:ascii="Times" w:hAnsi="Times" w:eastAsia="仿宋_GB2312"/>
          <w:sz w:val="32"/>
          <w:szCs w:val="32"/>
          <w:lang w:eastAsia="zh-CN"/>
        </w:rPr>
        <w:t>；</w:t>
      </w:r>
    </w:p>
    <w:p>
      <w:pPr>
        <w:pStyle w:val="26"/>
        <w:adjustRightInd w:val="0"/>
        <w:snapToGrid w:val="0"/>
        <w:spacing w:line="594" w:lineRule="exact"/>
        <w:ind w:firstLine="640" w:firstLineChars="200"/>
        <w:rPr>
          <w:rFonts w:hint="eastAsia" w:ascii="Times" w:hAnsi="Times" w:eastAsia="仿宋_GB2312"/>
          <w:sz w:val="32"/>
          <w:szCs w:val="32"/>
          <w:lang w:eastAsia="zh-CN"/>
        </w:rPr>
      </w:pPr>
      <w:r>
        <w:rPr>
          <w:rFonts w:hint="eastAsia" w:ascii="Times" w:hAnsi="Times" w:eastAsia="仿宋_GB2312"/>
          <w:sz w:val="32"/>
          <w:szCs w:val="32"/>
          <w:lang w:eastAsia="zh-CN"/>
        </w:rPr>
        <w:t>（</w:t>
      </w:r>
      <w:r>
        <w:rPr>
          <w:rFonts w:hint="eastAsia" w:ascii="Times" w:hAnsi="Times" w:eastAsia="仿宋_GB2312"/>
          <w:sz w:val="32"/>
          <w:szCs w:val="32"/>
          <w:lang w:val="en-US" w:eastAsia="zh-CN"/>
        </w:rPr>
        <w:t>三</w:t>
      </w:r>
      <w:r>
        <w:rPr>
          <w:rFonts w:hint="eastAsia" w:ascii="Times" w:hAnsi="Times" w:eastAsia="仿宋_GB2312"/>
          <w:sz w:val="32"/>
          <w:szCs w:val="32"/>
          <w:lang w:eastAsia="zh-CN"/>
        </w:rPr>
        <w:t>）与认定垄断协议有关的其他因素。</w:t>
      </w:r>
    </w:p>
    <w:p>
      <w:pPr>
        <w:adjustRightInd w:val="0"/>
        <w:snapToGrid w:val="0"/>
        <w:spacing w:line="594" w:lineRule="exact"/>
        <w:jc w:val="center"/>
        <w:outlineLvl w:val="0"/>
        <w:rPr>
          <w:rFonts w:hint="eastAsia" w:ascii="Times" w:hAnsi="Times" w:eastAsia="黑体"/>
          <w:sz w:val="32"/>
          <w:szCs w:val="32"/>
        </w:rPr>
      </w:pPr>
    </w:p>
    <w:p>
      <w:pPr>
        <w:adjustRightInd w:val="0"/>
        <w:snapToGrid w:val="0"/>
        <w:spacing w:line="594" w:lineRule="exact"/>
        <w:jc w:val="center"/>
        <w:outlineLvl w:val="0"/>
        <w:rPr>
          <w:rFonts w:ascii="Times" w:hAnsi="Times" w:eastAsia="仿宋_GB2312"/>
          <w:sz w:val="32"/>
          <w:szCs w:val="32"/>
        </w:rPr>
      </w:pPr>
      <w:r>
        <w:rPr>
          <w:rFonts w:hint="eastAsia" w:ascii="Times" w:hAnsi="Times" w:eastAsia="黑体"/>
          <w:sz w:val="32"/>
          <w:szCs w:val="32"/>
        </w:rPr>
        <w:t>第三章  涉及标准必要专利的滥用市场支配地位行为</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认定涉及标准必要专利的滥用市场支配地位行为，适用《反垄断法》和《关于知识产权领域的反垄断指南》等</w:t>
      </w:r>
      <w:r>
        <w:rPr>
          <w:rFonts w:hint="eastAsia" w:ascii="Times" w:hAnsi="Times" w:eastAsia="仿宋_GB2312"/>
          <w:sz w:val="32"/>
          <w:szCs w:val="32"/>
          <w:lang w:val="en-US" w:eastAsia="zh-CN"/>
        </w:rPr>
        <w:t>相关</w:t>
      </w:r>
      <w:r>
        <w:rPr>
          <w:rFonts w:hint="eastAsia" w:ascii="Times" w:hAnsi="Times" w:eastAsia="仿宋_GB2312"/>
          <w:sz w:val="32"/>
          <w:szCs w:val="32"/>
        </w:rPr>
        <w:t>规定。通常情况下，首先需要界定相关市场，分析标准必要专利权人在相关市场是否具有市场支配地位，再根据个案情况具体分析是否构成滥用市场支配地位行为。</w:t>
      </w:r>
    </w:p>
    <w:p>
      <w:pPr>
        <w:adjustRightInd w:val="0"/>
        <w:snapToGrid w:val="0"/>
        <w:spacing w:line="594" w:lineRule="exact"/>
        <w:ind w:firstLine="640" w:firstLineChars="200"/>
        <w:outlineLvl w:val="1"/>
        <w:rPr>
          <w:rFonts w:hint="eastAsia" w:ascii="Times New Roman" w:hAnsi="Times New Roman" w:eastAsia="楷体_GB2312" w:cs="Calibri"/>
          <w:sz w:val="32"/>
          <w:szCs w:val="32"/>
        </w:rPr>
      </w:pPr>
      <w:bookmarkStart w:id="8" w:name="_Toc117591591"/>
      <w:r>
        <w:rPr>
          <w:rFonts w:hint="eastAsia" w:ascii="Times New Roman" w:hAnsi="Times New Roman" w:eastAsia="楷体_GB2312" w:cs="Calibri"/>
          <w:sz w:val="32"/>
          <w:szCs w:val="32"/>
        </w:rPr>
        <w:t>【第十一条】市场支配地位的认定方法和考虑因素</w:t>
      </w:r>
      <w:bookmarkEnd w:id="8"/>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认定标准必要专利权人在相关市场上是否具有支配地位，应依据《反垄断法》和《关于知识产权领域的反垄断指南》等规定</w:t>
      </w:r>
      <w:r>
        <w:rPr>
          <w:rFonts w:hint="eastAsia" w:ascii="Times" w:hAnsi="Times" w:eastAsia="仿宋_GB2312"/>
          <w:sz w:val="32"/>
          <w:szCs w:val="32"/>
          <w:lang w:val="en-US" w:eastAsia="zh-CN"/>
        </w:rPr>
        <w:t>分析</w:t>
      </w:r>
      <w:r>
        <w:rPr>
          <w:rFonts w:hint="eastAsia" w:ascii="Times" w:hAnsi="Times" w:eastAsia="仿宋_GB2312"/>
          <w:sz w:val="32"/>
          <w:szCs w:val="32"/>
        </w:rPr>
        <w:t>认定或者推定经营者具有市场支配地位的因素和情形，同时结合标准必要专利的特点，还可以具体考虑以下因素：</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（一）标准必要专利权人在相关市场的市场份额，以及相关市场的竞争状况。通常情况下，标准必要专利权人在其持有的标准必要专利许可市场中，占有</w:t>
      </w:r>
      <w:r>
        <w:rPr>
          <w:rFonts w:ascii="Times" w:hAnsi="Times" w:eastAsia="仿宋_GB2312"/>
          <w:sz w:val="32"/>
          <w:szCs w:val="32"/>
        </w:rPr>
        <w:t>100%</w:t>
      </w:r>
      <w:r>
        <w:rPr>
          <w:rFonts w:hint="eastAsia" w:ascii="Times" w:hAnsi="Times" w:eastAsia="仿宋_GB2312"/>
          <w:sz w:val="32"/>
          <w:szCs w:val="32"/>
        </w:rPr>
        <w:t>的市场份额，不存在市场竞争；</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二）标准必要专利权人控制相关市场的能力。主要包括标准必要专利权人决定许可费率、方式等许可条件的能力，阻碍、影响其他经营者进入相关市场的能力，以及标准实施方制约标准必要专利权人的客观条件和实际能力等；</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（三）下游市场对标准必要专利的依赖程度。主要包括对应标准的演进情况、可替代性和转换成本等；</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（四）其他专利权人进入许可市场的难易程度。主要包括标准必要专利技术被替换的可能性等；</w:t>
      </w:r>
    </w:p>
    <w:p>
      <w:pPr>
        <w:adjustRightInd w:val="0"/>
        <w:snapToGrid w:val="0"/>
        <w:spacing w:line="594" w:lineRule="exact"/>
        <w:ind w:firstLine="640" w:firstLineChars="200"/>
        <w:rPr>
          <w:rFonts w:ascii="Times" w:hAnsi="Times" w:eastAsia="仿宋_GB2312"/>
          <w:color w:val="4F81BD" w:themeColor="accent1"/>
          <w:sz w:val="32"/>
          <w:szCs w:val="32"/>
          <w14:textFill>
            <w14:solidFill>
              <w14:schemeClr w14:val="accent1"/>
            </w14:solidFill>
          </w14:textFill>
        </w:rPr>
      </w:pPr>
      <w:r>
        <w:rPr>
          <w:rFonts w:hint="eastAsia" w:ascii="Times" w:hAnsi="Times" w:eastAsia="仿宋_GB2312"/>
          <w:sz w:val="32"/>
          <w:szCs w:val="32"/>
        </w:rPr>
        <w:t>（五）标准必要专利权人的财力和技术条件等与认定市场支配地位有关的其他因素。</w:t>
      </w:r>
    </w:p>
    <w:p>
      <w:pPr>
        <w:adjustRightInd w:val="0"/>
        <w:snapToGrid w:val="0"/>
        <w:spacing w:line="594" w:lineRule="exact"/>
        <w:ind w:firstLine="640" w:firstLineChars="200"/>
        <w:outlineLvl w:val="1"/>
        <w:rPr>
          <w:rFonts w:hint="eastAsia" w:ascii="Times New Roman" w:hAnsi="Times New Roman" w:eastAsia="楷体_GB2312" w:cs="Calibri"/>
          <w:sz w:val="32"/>
          <w:szCs w:val="32"/>
        </w:rPr>
      </w:pPr>
      <w:bookmarkStart w:id="9" w:name="_Toc117591593"/>
      <w:r>
        <w:rPr>
          <w:rFonts w:hint="eastAsia" w:ascii="Times New Roman" w:hAnsi="Times New Roman" w:eastAsia="楷体_GB2312" w:cs="Calibri"/>
          <w:sz w:val="32"/>
          <w:szCs w:val="32"/>
        </w:rPr>
        <w:t>【第十二条】以不公平的高价</w:t>
      </w:r>
      <w:bookmarkEnd w:id="9"/>
      <w:r>
        <w:rPr>
          <w:rFonts w:hint="eastAsia" w:ascii="Times New Roman" w:hAnsi="Times New Roman" w:eastAsia="楷体_GB2312" w:cs="Calibri"/>
          <w:sz w:val="32"/>
          <w:szCs w:val="32"/>
        </w:rPr>
        <w:t>许可标准必要专利</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通常情况下，标准必要专利具有较高的价值，合理的许可费能够保障标准必要专利权人就其研发投入和技术创新获得回报。但是，标准必要专利权人可能滥用其市场支配地位，以不公平的高价许可标准必要专利或者销售包含标准必要专利的产品，排除、限制竞争，具体分析时可以考虑以下因素：</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（一）</w:t>
      </w:r>
      <w:r>
        <w:rPr>
          <w:rFonts w:hint="eastAsia" w:ascii="Times" w:hAnsi="Times" w:eastAsia="仿宋_GB2312"/>
          <w:sz w:val="32"/>
          <w:szCs w:val="32"/>
          <w:lang w:val="en-US" w:eastAsia="zh-CN"/>
        </w:rPr>
        <w:t>许可</w:t>
      </w:r>
      <w:r>
        <w:rPr>
          <w:rFonts w:hint="eastAsia" w:ascii="Times" w:hAnsi="Times" w:eastAsia="仿宋_GB2312"/>
          <w:sz w:val="32"/>
          <w:szCs w:val="32"/>
        </w:rPr>
        <w:t>双方是否根据本指南第七条进行善意的许可谈判；</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（二）许可费是否明显高于研发成本；</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（三）许可费是否明显高于</w:t>
      </w:r>
      <w:r>
        <w:rPr>
          <w:rFonts w:hint="eastAsia" w:ascii="仿宋_GB2312" w:hAnsi="楷体" w:eastAsia="仿宋_GB2312"/>
          <w:sz w:val="32"/>
          <w:szCs w:val="32"/>
        </w:rPr>
        <w:t>可以比照的历史许可费或者许可费标准</w:t>
      </w:r>
      <w:r>
        <w:rPr>
          <w:rFonts w:hint="eastAsia" w:ascii="Times" w:hAnsi="Times" w:eastAsia="仿宋_GB2312"/>
          <w:sz w:val="32"/>
          <w:szCs w:val="32"/>
        </w:rPr>
        <w:t>；</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（四）许可费是否超出标准必要专利的地域范围或者覆盖的商品范围；</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（五）是否就过期、无效的标准必要专利或者非标准必要专利收取许可费；</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（六）标准必要专利权人是否根据标准必要专利数量和质量发生的变化合理调整许可费用；</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（七）标准必要专利权人是否通过非专利实施实体进行重复收费。</w:t>
      </w:r>
    </w:p>
    <w:p>
      <w:pPr>
        <w:spacing w:line="594" w:lineRule="exact"/>
        <w:ind w:firstLine="640" w:firstLineChars="200"/>
        <w:outlineLvl w:val="1"/>
        <w:rPr>
          <w:rFonts w:ascii="Times" w:hAnsi="Times" w:eastAsia="仿宋_GB2312"/>
          <w:sz w:val="32"/>
          <w:szCs w:val="32"/>
        </w:rPr>
      </w:pPr>
      <w:bookmarkStart w:id="10" w:name="_Toc117591595"/>
      <w:r>
        <w:rPr>
          <w:rFonts w:hint="eastAsia" w:ascii="Times New Roman" w:hAnsi="Times New Roman" w:eastAsia="楷体_GB2312" w:cs="Calibri"/>
          <w:sz w:val="32"/>
          <w:szCs w:val="32"/>
        </w:rPr>
        <w:t>【第十三条】拒绝许可标准必要专利</w:t>
      </w:r>
      <w:r>
        <w:rPr>
          <w:rFonts w:hint="eastAsia" w:ascii="Times" w:hAnsi="Times" w:eastAsia="仿宋_GB2312"/>
          <w:sz w:val="32"/>
          <w:szCs w:val="32"/>
        </w:rPr>
        <w:t xml:space="preserve">  </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通常情况下，标准必要专利权人作出公平、合理和无歧视承诺后，如果没有正当理由，不得拒绝任何愿意获得许可的</w:t>
      </w:r>
      <w:r>
        <w:rPr>
          <w:rFonts w:hint="eastAsia" w:ascii="Times" w:hAnsi="Times" w:eastAsia="仿宋_GB2312"/>
          <w:sz w:val="32"/>
          <w:szCs w:val="32"/>
          <w:lang w:val="en-US" w:eastAsia="zh-CN"/>
        </w:rPr>
        <w:t>标准实施方</w:t>
      </w:r>
      <w:r>
        <w:rPr>
          <w:rFonts w:hint="eastAsia" w:ascii="Times" w:hAnsi="Times" w:eastAsia="仿宋_GB2312"/>
          <w:sz w:val="32"/>
          <w:szCs w:val="32"/>
        </w:rPr>
        <w:t>，否则可能对市场竞争产生排除、限制影响，具体分析时可以考虑以下因素：</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（一）</w:t>
      </w:r>
      <w:r>
        <w:rPr>
          <w:rFonts w:hint="eastAsia" w:ascii="Times" w:hAnsi="Times" w:eastAsia="仿宋_GB2312"/>
          <w:sz w:val="32"/>
          <w:szCs w:val="32"/>
          <w:lang w:val="en-US" w:eastAsia="zh-CN"/>
        </w:rPr>
        <w:t>许可</w:t>
      </w:r>
      <w:r>
        <w:rPr>
          <w:rFonts w:hint="eastAsia" w:ascii="Times" w:hAnsi="Times" w:eastAsia="仿宋_GB2312"/>
          <w:sz w:val="32"/>
          <w:szCs w:val="32"/>
        </w:rPr>
        <w:t>双方是否根据本指南第七条进行善意的许可谈判；</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（二）通过符合公平、合理和无歧视承诺的许可是否能够弥补标准必要专利侵权损害；</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（三）标准实施方是否缺乏支付合理许可费的能力等；</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（四）标准实施方是否有不良信用记录或者出现经营状况恶化等情况，影响交易安全；</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（五）是否因不可抗力等客观原因无法进行标准必要专利的许可；</w:t>
      </w:r>
    </w:p>
    <w:p>
      <w:pPr>
        <w:spacing w:line="594" w:lineRule="exact"/>
        <w:ind w:firstLine="640" w:firstLineChars="200"/>
        <w:rPr>
          <w:rFonts w:hint="eastAsia" w:ascii="Times" w:hAnsi="Times" w:eastAsia="仿宋_GB2312"/>
          <w:sz w:val="32"/>
          <w:szCs w:val="32"/>
        </w:rPr>
      </w:pPr>
      <w:r>
        <w:rPr>
          <w:rFonts w:hint="eastAsia" w:ascii="Times" w:hAnsi="Times" w:eastAsia="仿宋_GB2312"/>
          <w:sz w:val="32"/>
          <w:szCs w:val="32"/>
        </w:rPr>
        <w:t>（六）拒绝许可相关标准必要专利对市场竞争和标准实施方进行创新的影响及程度；</w:t>
      </w:r>
    </w:p>
    <w:p>
      <w:pPr>
        <w:widowControl/>
        <w:shd w:val="clear" w:color="auto" w:fill="auto"/>
        <w:spacing w:after="0" w:line="594" w:lineRule="exact"/>
        <w:ind w:firstLine="640" w:firstLineChars="200"/>
        <w:rPr>
          <w:rFonts w:hint="eastAsia" w:ascii="Times" w:hAnsi="Times" w:eastAsia="仿宋_GB2312"/>
          <w:color w:val="333333"/>
          <w:sz w:val="32"/>
          <w:szCs w:val="32"/>
        </w:rPr>
      </w:pPr>
      <w:r>
        <w:rPr>
          <w:rFonts w:hint="eastAsia" w:ascii="Times" w:hAnsi="Times" w:eastAsia="仿宋_GB2312"/>
          <w:sz w:val="32"/>
          <w:szCs w:val="32"/>
        </w:rPr>
        <w:t>（七）</w:t>
      </w:r>
      <w:r>
        <w:rPr>
          <w:rFonts w:hint="eastAsia" w:ascii="Times" w:hAnsi="Times" w:eastAsia="仿宋_GB2312"/>
          <w:color w:val="333333"/>
          <w:sz w:val="32"/>
          <w:szCs w:val="32"/>
          <w:shd w:val="clear" w:color="auto" w:fill="auto"/>
        </w:rPr>
        <w:t>拒绝许可</w:t>
      </w:r>
      <w:r>
        <w:rPr>
          <w:rFonts w:hint="eastAsia" w:ascii="Times" w:hAnsi="Times" w:eastAsia="仿宋_GB2312"/>
          <w:sz w:val="32"/>
          <w:szCs w:val="32"/>
        </w:rPr>
        <w:t>相关标准必要专利</w:t>
      </w:r>
      <w:r>
        <w:rPr>
          <w:rFonts w:hint="eastAsia" w:ascii="Times" w:hAnsi="Times" w:eastAsia="仿宋_GB2312"/>
          <w:color w:val="333333"/>
          <w:sz w:val="32"/>
          <w:szCs w:val="32"/>
          <w:shd w:val="clear" w:color="auto" w:fill="auto"/>
        </w:rPr>
        <w:t>是否会损害消费者利益或者社会公共利益。</w:t>
      </w:r>
    </w:p>
    <w:p>
      <w:pPr>
        <w:spacing w:line="594" w:lineRule="exact"/>
        <w:ind w:firstLine="640" w:firstLineChars="200"/>
        <w:outlineLvl w:val="1"/>
        <w:rPr>
          <w:rFonts w:hint="eastAsia" w:ascii="Times New Roman" w:hAnsi="Times New Roman" w:eastAsia="楷体_GB2312" w:cs="Calibri"/>
          <w:sz w:val="32"/>
          <w:szCs w:val="32"/>
        </w:rPr>
      </w:pPr>
      <w:r>
        <w:rPr>
          <w:rFonts w:hint="eastAsia" w:ascii="Times New Roman" w:hAnsi="Times New Roman" w:eastAsia="楷体_GB2312" w:cs="Calibri"/>
          <w:sz w:val="32"/>
          <w:szCs w:val="32"/>
        </w:rPr>
        <w:t>【第十四条】涉及标准必要专利的搭售</w:t>
      </w:r>
      <w:bookmarkEnd w:id="10"/>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通常情况下，在标准必要专利许可时进行一揽子许可或者搭售相关必要产品，可以降低整体交易成本，提高标准实施效率。但是，标准必要专利权人可能滥用其市场支配地位，没有正当理由，在许可时强制标准实施方接受一揽子许可或者</w:t>
      </w:r>
      <w:r>
        <w:rPr>
          <w:rFonts w:hint="eastAsia" w:ascii="仿宋_GB2312" w:hAnsi="楷体" w:eastAsia="仿宋_GB2312"/>
          <w:sz w:val="32"/>
          <w:szCs w:val="32"/>
        </w:rPr>
        <w:t>购买其他不必要的产品</w:t>
      </w:r>
      <w:r>
        <w:rPr>
          <w:rFonts w:hint="eastAsia" w:ascii="Times" w:hAnsi="Times" w:eastAsia="仿宋_GB2312"/>
          <w:sz w:val="32"/>
          <w:szCs w:val="32"/>
        </w:rPr>
        <w:t>，排除、限制竞争，具体分析时可以考虑以下因素：</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（一）</w:t>
      </w:r>
      <w:r>
        <w:rPr>
          <w:rFonts w:hint="eastAsia" w:ascii="Times" w:hAnsi="Times" w:eastAsia="仿宋_GB2312"/>
          <w:sz w:val="32"/>
          <w:szCs w:val="32"/>
          <w:lang w:val="en-US" w:eastAsia="zh-CN"/>
        </w:rPr>
        <w:t>许可</w:t>
      </w:r>
      <w:r>
        <w:rPr>
          <w:rFonts w:hint="eastAsia" w:ascii="Times" w:hAnsi="Times" w:eastAsia="仿宋_GB2312"/>
          <w:sz w:val="32"/>
          <w:szCs w:val="32"/>
        </w:rPr>
        <w:t>双方是否根据本指南第七条进行善意的许可谈判；</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（二）是否符合所在行业或领域交易惯例或者消费习惯；</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（三）是否具有合理性和必要性，如有利于标准实施或者发挥产品功能等；</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（四）拆分一揽子许可是否具有可行性，并且是否会给标准实施方造成不合理的标准实施成本；</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（五）标准实施方是否可以自主选择许可组合或者所购买的产品；</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（六）是否排除、限制其他经营者的交易机会；</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（七）是否限制消费者的选择权。</w:t>
      </w:r>
    </w:p>
    <w:p>
      <w:pPr>
        <w:spacing w:line="594" w:lineRule="exact"/>
        <w:ind w:firstLine="640" w:firstLineChars="200"/>
        <w:outlineLvl w:val="1"/>
        <w:rPr>
          <w:rFonts w:hint="eastAsia" w:ascii="Times New Roman" w:hAnsi="Times New Roman" w:eastAsia="楷体_GB2312" w:cs="Calibri"/>
          <w:sz w:val="32"/>
          <w:szCs w:val="32"/>
        </w:rPr>
      </w:pPr>
      <w:r>
        <w:rPr>
          <w:rFonts w:hint="eastAsia" w:ascii="Times New Roman" w:hAnsi="Times New Roman" w:eastAsia="楷体_GB2312" w:cs="Calibri"/>
          <w:sz w:val="32"/>
          <w:szCs w:val="32"/>
        </w:rPr>
        <w:t>【第十五条】涉及标准必要专利的附加其他不合理的交易条件</w:t>
      </w:r>
    </w:p>
    <w:p>
      <w:pPr>
        <w:adjustRightInd w:val="0"/>
        <w:snapToGrid w:val="0"/>
        <w:spacing w:line="594" w:lineRule="exact"/>
        <w:ind w:firstLine="640" w:firstLineChars="200"/>
        <w:rPr>
          <w:rFonts w:ascii="Times" w:hAnsi="Times" w:eastAsia="仿宋_GB2312"/>
          <w:sz w:val="32"/>
          <w:szCs w:val="32"/>
        </w:rPr>
      </w:pPr>
      <w:r>
        <w:rPr>
          <w:rFonts w:hint="eastAsia" w:ascii="Times" w:hAnsi="Times" w:eastAsia="仿宋_GB2312"/>
          <w:sz w:val="32"/>
          <w:szCs w:val="32"/>
        </w:rPr>
        <w:t>通常情况下，标准必要专利的许可条件由标准必要专利人和标准实施方之间约定形成，充分体现</w:t>
      </w:r>
      <w:r>
        <w:rPr>
          <w:rFonts w:hint="eastAsia" w:ascii="Times" w:hAnsi="Times" w:eastAsia="仿宋_GB2312"/>
          <w:sz w:val="32"/>
          <w:szCs w:val="32"/>
          <w:lang w:val="en-US" w:eastAsia="zh-CN"/>
        </w:rPr>
        <w:t>许可</w:t>
      </w:r>
      <w:r>
        <w:rPr>
          <w:rFonts w:hint="eastAsia" w:ascii="Times" w:hAnsi="Times" w:eastAsia="仿宋_GB2312"/>
          <w:sz w:val="32"/>
          <w:szCs w:val="32"/>
        </w:rPr>
        <w:t>双方的意思自治。但是，标准必要专利权人可能滥用其市场支配地位，没有正当理由，在标准必要专利许可中附加不合理的交易条件，排除、限制竞争，具体分析时可以考虑以下因素：</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（一）</w:t>
      </w:r>
      <w:r>
        <w:rPr>
          <w:rFonts w:hint="eastAsia" w:ascii="Times" w:hAnsi="Times" w:eastAsia="仿宋_GB2312"/>
          <w:sz w:val="32"/>
          <w:szCs w:val="32"/>
          <w:lang w:val="en-US" w:eastAsia="zh-CN"/>
        </w:rPr>
        <w:t>许可</w:t>
      </w:r>
      <w:r>
        <w:rPr>
          <w:rFonts w:hint="eastAsia" w:ascii="Times" w:hAnsi="Times" w:eastAsia="仿宋_GB2312"/>
          <w:sz w:val="32"/>
          <w:szCs w:val="32"/>
        </w:rPr>
        <w:t>双方是否根据本指南第七条进行善意的许可谈判；</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（二）是否将免费反向授权等作为许可标准必要专利的前置性条件；</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（三）是否强制要求标准实施方将其标准必要专利进行排他性回授或者独占性回授等非互惠性回授；</w:t>
      </w:r>
    </w:p>
    <w:p>
      <w:pPr>
        <w:pStyle w:val="2"/>
        <w:spacing w:after="0" w:line="594" w:lineRule="exact"/>
        <w:ind w:left="0" w:leftChars="0" w:firstLine="640"/>
        <w:rPr>
          <w:rFonts w:ascii="Times" w:hAnsi="Times" w:eastAsia="仿宋_GB2312"/>
        </w:rPr>
      </w:pPr>
      <w:r>
        <w:rPr>
          <w:rFonts w:hint="eastAsia" w:ascii="Times" w:hAnsi="Times" w:eastAsia="仿宋_GB2312"/>
        </w:rPr>
        <w:t>（四）</w:t>
      </w:r>
      <w:r>
        <w:rPr>
          <w:rFonts w:hint="eastAsia" w:ascii="Times" w:hAnsi="Times" w:eastAsia="仿宋_GB2312"/>
          <w:sz w:val="32"/>
          <w:szCs w:val="32"/>
        </w:rPr>
        <w:t>是否以贬低或者否定标准实施方持有的标准必要专利价值或者其他知识产权等为由，要求标准实施方进行交叉许可并不提供合理对价</w:t>
      </w:r>
      <w:r>
        <w:rPr>
          <w:rFonts w:hint="eastAsia" w:ascii="Times" w:hAnsi="Times" w:eastAsia="仿宋_GB2312"/>
        </w:rPr>
        <w:t>；</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（五）是否对期限届满或者被宣告无效的标准必要专利继续主张权利；</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（六）是否禁止标准实施方对其标准必要专利的必要性、有效性等提出异议；</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（七）是否禁止或者限制标准实施方选择纠纷解决的措施；</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（八）迫使或者禁止标准实施方与第三方进行交易，或者限制标准实施方与第三方进行交易的条件。</w:t>
      </w:r>
    </w:p>
    <w:p>
      <w:pPr>
        <w:spacing w:line="594" w:lineRule="exact"/>
        <w:ind w:firstLine="640" w:firstLineChars="200"/>
        <w:outlineLvl w:val="1"/>
        <w:rPr>
          <w:rFonts w:hint="eastAsia" w:ascii="Times New Roman" w:hAnsi="Times New Roman" w:eastAsia="楷体_GB2312" w:cs="Calibri"/>
          <w:sz w:val="32"/>
          <w:szCs w:val="32"/>
        </w:rPr>
      </w:pPr>
      <w:bookmarkStart w:id="11" w:name="_Toc117591596"/>
      <w:r>
        <w:rPr>
          <w:rFonts w:hint="eastAsia" w:ascii="Times New Roman" w:hAnsi="Times New Roman" w:eastAsia="楷体_GB2312" w:cs="Calibri"/>
          <w:sz w:val="32"/>
          <w:szCs w:val="32"/>
        </w:rPr>
        <w:t>【第十六条】涉及</w:t>
      </w:r>
      <w:bookmarkEnd w:id="11"/>
      <w:r>
        <w:rPr>
          <w:rFonts w:hint="eastAsia" w:ascii="Times New Roman" w:hAnsi="Times New Roman" w:eastAsia="楷体_GB2312" w:cs="Calibri"/>
          <w:sz w:val="32"/>
          <w:szCs w:val="32"/>
        </w:rPr>
        <w:t>标准必要专利的差别待遇</w:t>
      </w:r>
    </w:p>
    <w:p>
      <w:pPr>
        <w:spacing w:line="594" w:lineRule="exact"/>
        <w:ind w:firstLine="640" w:firstLineChars="200"/>
        <w:rPr>
          <w:rFonts w:hint="eastAsia" w:ascii="Times" w:hAnsi="Times" w:eastAsia="仿宋_GB2312" w:cs="Times New Roman"/>
          <w:color w:val="333333"/>
          <w:sz w:val="32"/>
          <w:szCs w:val="32"/>
          <w:shd w:val="clear" w:color="auto" w:fill="auto"/>
        </w:rPr>
      </w:pPr>
      <w:r>
        <w:rPr>
          <w:rFonts w:hint="eastAsia" w:ascii="Times" w:hAnsi="Times" w:eastAsia="仿宋_GB2312"/>
          <w:sz w:val="32"/>
          <w:szCs w:val="32"/>
        </w:rPr>
        <w:t>通常情况下，标准必要专利许可条件会因为标准实施方的实际情况、所处地域的交易习惯等在许可费用、时间等方面体现出差异性。但是，标准必要专利权人可能滥用其市场支配地位，没有正当理由，对条件相同的标准实施方实行差别待遇，排除、限制竞争，具体分析时可以考虑以下因素：</w:t>
      </w:r>
    </w:p>
    <w:p>
      <w:pPr>
        <w:widowControl/>
        <w:shd w:val="clear" w:color="auto" w:fill="FFFFFF"/>
        <w:spacing w:beforeAutospacing="0" w:afterAutospacing="0" w:line="594" w:lineRule="exact"/>
        <w:ind w:firstLine="640" w:firstLineChars="200"/>
        <w:rPr>
          <w:rFonts w:ascii="Times" w:hAnsi="Times" w:eastAsia="仿宋_GB2312"/>
          <w:sz w:val="32"/>
          <w:szCs w:val="32"/>
        </w:rPr>
      </w:pPr>
      <w:r>
        <w:rPr>
          <w:rFonts w:hint="eastAsia" w:ascii="Times" w:hAnsi="Times" w:eastAsia="仿宋_GB2312"/>
          <w:sz w:val="32"/>
          <w:szCs w:val="32"/>
        </w:rPr>
        <w:t>（一）</w:t>
      </w:r>
      <w:r>
        <w:rPr>
          <w:rFonts w:hint="eastAsia" w:ascii="Times" w:hAnsi="Times" w:eastAsia="仿宋_GB2312"/>
          <w:sz w:val="32"/>
          <w:szCs w:val="32"/>
          <w:lang w:val="en-US" w:eastAsia="zh-CN"/>
        </w:rPr>
        <w:t>许可</w:t>
      </w:r>
      <w:r>
        <w:rPr>
          <w:rFonts w:hint="eastAsia" w:ascii="Times" w:hAnsi="Times" w:eastAsia="仿宋_GB2312"/>
          <w:sz w:val="32"/>
          <w:szCs w:val="32"/>
        </w:rPr>
        <w:t>双方是否根据本指南第七条进行善意的许可谈判；</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（二）标准实施方的条件是否相同；</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（三）涉及标准必要专利的许可条件是否</w:t>
      </w:r>
      <w:r>
        <w:rPr>
          <w:rFonts w:hint="eastAsia" w:ascii="Times" w:hAnsi="Times" w:eastAsia="仿宋_GB2312"/>
          <w:sz w:val="32"/>
          <w:szCs w:val="32"/>
          <w:lang w:val="en-US" w:eastAsia="zh-CN"/>
        </w:rPr>
        <w:t>相</w:t>
      </w:r>
      <w:r>
        <w:rPr>
          <w:rFonts w:hint="eastAsia" w:ascii="Times" w:hAnsi="Times" w:eastAsia="仿宋_GB2312"/>
          <w:sz w:val="32"/>
          <w:szCs w:val="32"/>
        </w:rPr>
        <w:t>同；</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（四）存在差异性的标准必要专利许可内容是否因</w:t>
      </w:r>
      <w:r>
        <w:rPr>
          <w:rFonts w:hint="eastAsia" w:ascii="Times" w:hAnsi="Times" w:eastAsia="仿宋_GB2312"/>
          <w:sz w:val="32"/>
          <w:szCs w:val="32"/>
          <w:lang w:val="en-US" w:eastAsia="zh-CN"/>
        </w:rPr>
        <w:t>许可</w:t>
      </w:r>
      <w:r>
        <w:rPr>
          <w:rFonts w:hint="eastAsia" w:ascii="Times" w:hAnsi="Times" w:eastAsia="仿宋_GB2312"/>
          <w:sz w:val="32"/>
          <w:szCs w:val="32"/>
        </w:rPr>
        <w:t>双方达成的其他许可条件而导致；</w:t>
      </w:r>
    </w:p>
    <w:p>
      <w:pPr>
        <w:spacing w:line="594" w:lineRule="exact"/>
        <w:ind w:firstLine="640" w:firstLineChars="200"/>
        <w:rPr>
          <w:rFonts w:ascii="Times" w:hAnsi="Times" w:eastAsia="仿宋_GB2312"/>
          <w:sz w:val="32"/>
          <w:szCs w:val="32"/>
        </w:rPr>
      </w:pPr>
      <w:r>
        <w:rPr>
          <w:rFonts w:hint="eastAsia" w:ascii="Times" w:hAnsi="Times" w:eastAsia="仿宋_GB2312"/>
          <w:sz w:val="32"/>
          <w:szCs w:val="32"/>
        </w:rPr>
        <w:t>（五）该差别待遇是否对标准实施方参与市场竞争产生显著不利影响。</w:t>
      </w:r>
      <w:bookmarkStart w:id="12" w:name="_Toc117591598"/>
    </w:p>
    <w:bookmarkEnd w:id="12"/>
    <w:p>
      <w:pPr>
        <w:pStyle w:val="26"/>
        <w:spacing w:line="594" w:lineRule="exact"/>
        <w:ind w:firstLine="641"/>
        <w:outlineLvl w:val="1"/>
        <w:rPr>
          <w:rFonts w:ascii="Times" w:hAnsi="Times" w:eastAsia="仿宋_GB2312"/>
          <w:sz w:val="32"/>
          <w:szCs w:val="32"/>
        </w:rPr>
      </w:pPr>
      <w:r>
        <w:rPr>
          <w:rFonts w:hint="eastAsia" w:ascii="Times New Roman" w:hAnsi="Times New Roman" w:eastAsia="楷体_GB2312" w:cs="Calibri"/>
          <w:sz w:val="32"/>
          <w:szCs w:val="32"/>
        </w:rPr>
        <w:t>【第十七条】涉及标准必要专利的滥用救济措施行为</w:t>
      </w:r>
    </w:p>
    <w:p>
      <w:pPr>
        <w:pStyle w:val="2"/>
        <w:spacing w:after="0" w:line="594" w:lineRule="exact"/>
        <w:ind w:left="0" w:leftChars="0" w:firstLine="640"/>
        <w:rPr>
          <w:rFonts w:ascii="Times" w:hAnsi="Times" w:eastAsia="仿宋_GB2312" w:cs="仿宋"/>
        </w:rPr>
      </w:pPr>
      <w:r>
        <w:rPr>
          <w:rFonts w:hint="eastAsia" w:ascii="Times" w:hAnsi="Times" w:eastAsia="仿宋_GB2312" w:cs="Times New Roman"/>
          <w:sz w:val="32"/>
          <w:szCs w:val="32"/>
        </w:rPr>
        <w:t>通常情况下，标准必要专利权人有权依法请求法院或者相关部门作出或者颁发禁止使用相关</w:t>
      </w:r>
      <w:r>
        <w:rPr>
          <w:rFonts w:hint="eastAsia" w:ascii="Times" w:hAnsi="Times" w:eastAsia="仿宋_GB2312" w:cs="Times New Roman"/>
          <w:sz w:val="32"/>
          <w:szCs w:val="32"/>
          <w:lang w:val="en-US" w:eastAsia="zh-CN"/>
        </w:rPr>
        <w:t>专利</w:t>
      </w:r>
      <w:r>
        <w:rPr>
          <w:rFonts w:hint="eastAsia" w:ascii="Times" w:hAnsi="Times" w:eastAsia="仿宋_GB2312" w:cs="Times New Roman"/>
          <w:sz w:val="32"/>
          <w:szCs w:val="32"/>
        </w:rPr>
        <w:t>权的判决、裁定或者决定。但是，标准必要专利权人可能滥用上述救济措施</w:t>
      </w:r>
      <w:r>
        <w:rPr>
          <w:rFonts w:hint="eastAsia" w:ascii="Times" w:hAnsi="Times" w:eastAsia="仿宋_GB2312"/>
          <w:color w:val="000000" w:themeColor="text1"/>
          <w:sz w:val="32"/>
          <w:szCs w:val="32"/>
          <w14:textFill>
            <w14:solidFill>
              <w14:schemeClr w14:val="tx1"/>
            </w14:solidFill>
          </w14:textFill>
        </w:rPr>
        <w:t>要求标准实施方接受其不公平的高价或者其他不合理的交易条件</w:t>
      </w:r>
      <w:r>
        <w:rPr>
          <w:rFonts w:hint="eastAsia" w:ascii="Times" w:hAnsi="Times" w:eastAsia="仿宋_GB2312" w:cs="Times New Roman"/>
          <w:sz w:val="32"/>
          <w:szCs w:val="32"/>
        </w:rPr>
        <w:t>，排除、限制竞争</w:t>
      </w:r>
      <w:r>
        <w:rPr>
          <w:rFonts w:hint="eastAsia" w:ascii="Times" w:hAnsi="Times" w:eastAsia="仿宋_GB2312"/>
          <w:sz w:val="32"/>
          <w:szCs w:val="32"/>
          <w:lang w:eastAsia="zh-CN"/>
        </w:rPr>
        <w:t>。</w:t>
      </w:r>
      <w:r>
        <w:rPr>
          <w:rFonts w:hint="eastAsia" w:ascii="Times" w:hAnsi="Times" w:eastAsia="仿宋_GB2312"/>
          <w:sz w:val="32"/>
          <w:szCs w:val="32"/>
        </w:rPr>
        <w:t>具体分析时</w:t>
      </w:r>
      <w:r>
        <w:rPr>
          <w:rFonts w:hint="eastAsia" w:ascii="Times" w:hAnsi="Times" w:eastAsia="仿宋_GB2312"/>
          <w:sz w:val="32"/>
          <w:szCs w:val="32"/>
          <w:lang w:val="en-US" w:eastAsia="zh-CN"/>
        </w:rPr>
        <w:t>应当</w:t>
      </w:r>
      <w:r>
        <w:rPr>
          <w:rFonts w:hint="eastAsia" w:ascii="Times" w:hAnsi="Times" w:eastAsia="仿宋_GB2312"/>
          <w:sz w:val="32"/>
          <w:szCs w:val="32"/>
        </w:rPr>
        <w:t>考虑</w:t>
      </w:r>
      <w:r>
        <w:rPr>
          <w:rFonts w:hint="eastAsia" w:ascii="Times" w:hAnsi="Times" w:eastAsia="仿宋_GB2312"/>
          <w:sz w:val="32"/>
          <w:szCs w:val="32"/>
          <w:lang w:val="en-US" w:eastAsia="zh-CN"/>
        </w:rPr>
        <w:t>许可</w:t>
      </w:r>
      <w:r>
        <w:rPr>
          <w:rFonts w:hint="eastAsia" w:ascii="Times" w:hAnsi="Times" w:eastAsia="仿宋_GB2312"/>
          <w:sz w:val="32"/>
          <w:szCs w:val="32"/>
        </w:rPr>
        <w:t>双方是否根据本指南第七条进行善意的许可谈判</w:t>
      </w:r>
      <w:r>
        <w:rPr>
          <w:rFonts w:hint="eastAsia" w:ascii="Times" w:hAnsi="Times" w:eastAsia="仿宋_GB2312"/>
          <w:sz w:val="32"/>
          <w:szCs w:val="32"/>
          <w:lang w:eastAsia="zh-CN"/>
        </w:rPr>
        <w:t>，</w:t>
      </w:r>
      <w:r>
        <w:rPr>
          <w:rFonts w:hint="eastAsia" w:ascii="Times" w:hAnsi="Times" w:eastAsia="仿宋_GB2312"/>
          <w:sz w:val="32"/>
          <w:szCs w:val="32"/>
          <w:lang w:val="en-US" w:eastAsia="zh-CN"/>
        </w:rPr>
        <w:t>并可以考虑</w:t>
      </w:r>
      <w:r>
        <w:rPr>
          <w:rFonts w:hint="eastAsia" w:ascii="Times" w:hAnsi="Times" w:eastAsia="仿宋_GB2312"/>
          <w:sz w:val="32"/>
          <w:szCs w:val="32"/>
        </w:rPr>
        <w:t>《关于知识产权领域的反垄断指南》</w:t>
      </w:r>
      <w:r>
        <w:rPr>
          <w:rFonts w:hint="eastAsia" w:ascii="Times" w:hAnsi="Times" w:eastAsia="仿宋_GB2312"/>
          <w:sz w:val="32"/>
          <w:szCs w:val="32"/>
          <w:lang w:val="en-US" w:eastAsia="zh-CN"/>
        </w:rPr>
        <w:t>规定的其他因素。</w:t>
      </w:r>
    </w:p>
    <w:p>
      <w:pPr>
        <w:widowControl/>
        <w:spacing w:line="594" w:lineRule="exact"/>
        <w:jc w:val="center"/>
        <w:rPr>
          <w:rFonts w:ascii="Times" w:hAnsi="Times" w:eastAsia="黑体" w:cs="黑体"/>
          <w:kern w:val="0"/>
          <w:sz w:val="32"/>
          <w:szCs w:val="32"/>
        </w:rPr>
      </w:pPr>
    </w:p>
    <w:p>
      <w:pPr>
        <w:widowControl/>
        <w:spacing w:line="594" w:lineRule="exact"/>
        <w:jc w:val="center"/>
        <w:outlineLvl w:val="0"/>
        <w:rPr>
          <w:rFonts w:ascii="Times" w:hAnsi="Times" w:eastAsia="黑体" w:cs="黑体"/>
          <w:kern w:val="0"/>
          <w:sz w:val="32"/>
          <w:szCs w:val="32"/>
        </w:rPr>
      </w:pPr>
      <w:r>
        <w:rPr>
          <w:rFonts w:hint="eastAsia" w:ascii="Times" w:hAnsi="Times" w:eastAsia="黑体" w:cs="黑体"/>
          <w:kern w:val="0"/>
          <w:sz w:val="32"/>
          <w:szCs w:val="32"/>
        </w:rPr>
        <w:t>第四章</w:t>
      </w:r>
      <w:r>
        <w:rPr>
          <w:rFonts w:ascii="Times" w:hAnsi="Times" w:eastAsia="黑体" w:cs="黑体"/>
          <w:kern w:val="0"/>
          <w:sz w:val="32"/>
          <w:szCs w:val="32"/>
        </w:rPr>
        <w:t xml:space="preserve"> </w:t>
      </w:r>
      <w:r>
        <w:rPr>
          <w:rFonts w:hint="eastAsia" w:ascii="Times" w:hAnsi="Times" w:eastAsia="黑体" w:cs="黑体"/>
          <w:kern w:val="0"/>
          <w:sz w:val="32"/>
          <w:szCs w:val="32"/>
        </w:rPr>
        <w:t>涉及标准必要专利的经营者集中</w:t>
      </w:r>
    </w:p>
    <w:p>
      <w:pPr>
        <w:widowControl/>
        <w:spacing w:line="594" w:lineRule="exact"/>
        <w:ind w:firstLine="640" w:firstLineChars="200"/>
        <w:rPr>
          <w:rFonts w:hint="eastAsia" w:ascii="Times" w:hAnsi="Times" w:eastAsia="仿宋_GB2312" w:cs="宋体"/>
          <w:kern w:val="0"/>
          <w:sz w:val="32"/>
          <w:szCs w:val="32"/>
        </w:rPr>
      </w:pPr>
      <w:r>
        <w:rPr>
          <w:rFonts w:hint="eastAsia" w:ascii="Times" w:hAnsi="Times" w:eastAsia="仿宋_GB2312" w:cs="宋体"/>
          <w:kern w:val="0"/>
          <w:sz w:val="32"/>
          <w:szCs w:val="32"/>
        </w:rPr>
        <w:t>经营者通过涉及标准必要专利的交易取得对其他经营者的控制权或者能够对其他经营者施加决定性影响，构成经营者集中的，应当按照《反垄断法》和《国务院关于经营者集中申报标准的规定》</w:t>
      </w:r>
      <w:r>
        <w:rPr>
          <w:rFonts w:hint="eastAsia" w:ascii="Times" w:hAnsi="Times" w:eastAsia="仿宋_GB2312" w:cs="宋体"/>
          <w:kern w:val="0"/>
          <w:sz w:val="32"/>
          <w:szCs w:val="32"/>
          <w:lang w:eastAsia="zh-CN"/>
        </w:rPr>
        <w:t>（</w:t>
      </w:r>
      <w:r>
        <w:rPr>
          <w:rFonts w:hint="eastAsia" w:ascii="Times" w:hAnsi="Times" w:eastAsia="仿宋_GB2312" w:cs="宋体"/>
          <w:kern w:val="0"/>
          <w:sz w:val="32"/>
          <w:szCs w:val="32"/>
          <w:lang w:val="en-US" w:eastAsia="zh-CN"/>
        </w:rPr>
        <w:t>以下简称《</w:t>
      </w:r>
      <w:r>
        <w:rPr>
          <w:rFonts w:hint="eastAsia" w:ascii="Times" w:hAnsi="Times" w:eastAsia="仿宋_GB2312" w:cs="宋体"/>
          <w:kern w:val="0"/>
          <w:sz w:val="32"/>
          <w:szCs w:val="32"/>
        </w:rPr>
        <w:t>关于经营者集中申报标准的规定</w:t>
      </w:r>
      <w:r>
        <w:rPr>
          <w:rFonts w:hint="eastAsia" w:ascii="Times" w:hAnsi="Times" w:eastAsia="仿宋_GB2312" w:cs="宋体"/>
          <w:kern w:val="0"/>
          <w:sz w:val="32"/>
          <w:szCs w:val="32"/>
          <w:lang w:val="en-US" w:eastAsia="zh-CN"/>
        </w:rPr>
        <w:t>》</w:t>
      </w:r>
      <w:r>
        <w:rPr>
          <w:rFonts w:hint="eastAsia" w:ascii="Times" w:hAnsi="Times" w:eastAsia="仿宋_GB2312" w:cs="宋体"/>
          <w:kern w:val="0"/>
          <w:sz w:val="32"/>
          <w:szCs w:val="32"/>
          <w:lang w:eastAsia="zh-CN"/>
        </w:rPr>
        <w:t>）</w:t>
      </w:r>
      <w:r>
        <w:rPr>
          <w:rFonts w:hint="eastAsia" w:ascii="Times" w:hAnsi="Times" w:eastAsia="仿宋_GB2312" w:cs="宋体"/>
          <w:kern w:val="0"/>
          <w:sz w:val="32"/>
          <w:szCs w:val="32"/>
        </w:rPr>
        <w:t>进行申报，未申报的不得实施集中。审查涉及标准必要专利的经营者集中，适用《反垄断法》、《关于知识产权领域的反垄断指南》等规定。</w:t>
      </w:r>
    </w:p>
    <w:p>
      <w:pPr>
        <w:widowControl/>
        <w:spacing w:line="594" w:lineRule="exact"/>
        <w:ind w:firstLine="640" w:firstLineChars="200"/>
        <w:outlineLvl w:val="1"/>
        <w:rPr>
          <w:rFonts w:hint="eastAsia" w:ascii="Times New Roman" w:hAnsi="Times New Roman" w:eastAsia="楷体_GB2312" w:cs="Calibri"/>
          <w:kern w:val="2"/>
          <w:sz w:val="32"/>
          <w:szCs w:val="32"/>
        </w:rPr>
      </w:pPr>
      <w:r>
        <w:rPr>
          <w:rFonts w:hint="eastAsia" w:ascii="Times New Roman" w:hAnsi="Times New Roman" w:eastAsia="楷体_GB2312" w:cs="Calibri"/>
          <w:kern w:val="2"/>
          <w:sz w:val="32"/>
          <w:szCs w:val="32"/>
        </w:rPr>
        <w:t>【第十八条】涉及标准必要专利的经营者集中申报</w:t>
      </w:r>
    </w:p>
    <w:p>
      <w:pPr>
        <w:widowControl/>
        <w:spacing w:line="594" w:lineRule="exact"/>
        <w:ind w:firstLine="640" w:firstLineChars="200"/>
        <w:rPr>
          <w:rFonts w:hint="eastAsia" w:ascii="Times" w:hAnsi="Times" w:eastAsia="仿宋_GB2312" w:cs="宋体"/>
          <w:kern w:val="0"/>
          <w:sz w:val="32"/>
          <w:szCs w:val="32"/>
        </w:rPr>
      </w:pPr>
      <w:r>
        <w:rPr>
          <w:rFonts w:hint="eastAsia" w:ascii="Times" w:hAnsi="Times" w:eastAsia="仿宋_GB2312" w:cs="宋体"/>
          <w:kern w:val="0"/>
          <w:sz w:val="32"/>
          <w:szCs w:val="32"/>
        </w:rPr>
        <w:t>认定涉及标准必要专利的经营者集中，应根据《关于知识产权领域的反垄断指南》以及有关反垄断规章进行分析，同时还可以考虑以下因素：</w:t>
      </w:r>
    </w:p>
    <w:p>
      <w:pPr>
        <w:widowControl/>
        <w:spacing w:line="594" w:lineRule="exact"/>
        <w:ind w:firstLine="640" w:firstLineChars="200"/>
        <w:rPr>
          <w:rFonts w:hint="eastAsia" w:ascii="Times" w:hAnsi="Times" w:eastAsia="仿宋_GB2312" w:cs="宋体"/>
          <w:kern w:val="0"/>
          <w:sz w:val="32"/>
          <w:szCs w:val="32"/>
        </w:rPr>
      </w:pPr>
      <w:r>
        <w:rPr>
          <w:rFonts w:hint="eastAsia" w:ascii="Times" w:hAnsi="Times" w:eastAsia="仿宋_GB2312" w:cs="宋体"/>
          <w:kern w:val="0"/>
          <w:sz w:val="32"/>
          <w:szCs w:val="32"/>
        </w:rPr>
        <w:t>（一）标准必要专利是否构成独立业务或</w:t>
      </w:r>
      <w:r>
        <w:rPr>
          <w:rFonts w:hint="eastAsia" w:ascii="Times" w:hAnsi="Times" w:eastAsia="仿宋_GB2312" w:cs="宋体"/>
          <w:kern w:val="0"/>
          <w:sz w:val="32"/>
          <w:szCs w:val="32"/>
          <w:lang w:val="en-US" w:eastAsia="zh-CN"/>
        </w:rPr>
        <w:t>者</w:t>
      </w:r>
      <w:r>
        <w:rPr>
          <w:rFonts w:hint="eastAsia" w:ascii="Times" w:hAnsi="Times" w:eastAsia="仿宋_GB2312" w:cs="宋体"/>
          <w:kern w:val="0"/>
          <w:sz w:val="32"/>
          <w:szCs w:val="32"/>
        </w:rPr>
        <w:t>产生独立且可计算的营业额；</w:t>
      </w:r>
    </w:p>
    <w:p>
      <w:pPr>
        <w:widowControl/>
        <w:spacing w:line="594" w:lineRule="exact"/>
        <w:ind w:firstLine="640" w:firstLineChars="200"/>
        <w:rPr>
          <w:rFonts w:hint="eastAsia" w:ascii="Times" w:hAnsi="Times" w:eastAsia="仿宋_GB2312" w:cs="宋体"/>
          <w:kern w:val="0"/>
          <w:sz w:val="32"/>
          <w:szCs w:val="32"/>
          <w:lang w:eastAsia="zh-CN"/>
        </w:rPr>
      </w:pPr>
      <w:r>
        <w:rPr>
          <w:rFonts w:hint="eastAsia" w:ascii="Times" w:hAnsi="Times" w:eastAsia="仿宋_GB2312" w:cs="宋体"/>
          <w:kern w:val="0"/>
          <w:sz w:val="32"/>
          <w:szCs w:val="32"/>
        </w:rPr>
        <w:t>（二）标准必要专利许可的方式和期限</w:t>
      </w:r>
      <w:r>
        <w:rPr>
          <w:rFonts w:hint="eastAsia" w:ascii="Times" w:hAnsi="Times" w:eastAsia="仿宋_GB2312" w:cs="宋体"/>
          <w:kern w:val="0"/>
          <w:sz w:val="32"/>
          <w:szCs w:val="32"/>
          <w:lang w:eastAsia="zh-CN"/>
        </w:rPr>
        <w:t>。</w:t>
      </w:r>
    </w:p>
    <w:p>
      <w:pPr>
        <w:widowControl/>
        <w:spacing w:line="594" w:lineRule="exact"/>
        <w:ind w:firstLine="640" w:firstLineChars="200"/>
        <w:rPr>
          <w:rFonts w:hint="eastAsia" w:ascii="Times" w:hAnsi="Times" w:eastAsia="仿宋_GB2312" w:cs="宋体"/>
          <w:kern w:val="0"/>
          <w:sz w:val="32"/>
          <w:szCs w:val="32"/>
        </w:rPr>
      </w:pPr>
      <w:r>
        <w:rPr>
          <w:rFonts w:hint="eastAsia" w:ascii="Times" w:hAnsi="Times" w:eastAsia="仿宋_GB2312" w:cs="宋体"/>
          <w:kern w:val="0"/>
          <w:sz w:val="32"/>
          <w:szCs w:val="32"/>
        </w:rPr>
        <w:t>根据《关于经营者集中申报标准的规定》，经营者集中未达到申报标准，但按照规定程序收集的事实和证据表明该涉及标准必要专利的经营者集中具有或者可能具有排除、限制竞争效果，经营者未按照国务院反垄断执法机构要求进行申报的，国务院反垄断执法机构应当依法进行调查。经营者可以就未达到申报标准的经营者集中主动向国务院反垄断执法机构申报。</w:t>
      </w:r>
    </w:p>
    <w:p>
      <w:pPr>
        <w:widowControl/>
        <w:spacing w:line="594" w:lineRule="exact"/>
        <w:ind w:firstLine="640" w:firstLineChars="200"/>
        <w:outlineLvl w:val="1"/>
        <w:rPr>
          <w:rFonts w:hint="eastAsia" w:ascii="Times New Roman" w:hAnsi="Times New Roman" w:eastAsia="楷体_GB2312" w:cs="Calibri"/>
          <w:kern w:val="2"/>
          <w:sz w:val="32"/>
          <w:szCs w:val="32"/>
        </w:rPr>
      </w:pPr>
      <w:r>
        <w:rPr>
          <w:rFonts w:hint="eastAsia" w:ascii="Times New Roman" w:hAnsi="Times New Roman" w:eastAsia="楷体_GB2312" w:cs="Calibri"/>
          <w:kern w:val="2"/>
          <w:sz w:val="32"/>
          <w:szCs w:val="32"/>
        </w:rPr>
        <w:t>【第十九条】涉及标准必要专利的经营者集中审查</w:t>
      </w:r>
    </w:p>
    <w:p>
      <w:pPr>
        <w:widowControl/>
        <w:spacing w:line="594" w:lineRule="exact"/>
        <w:ind w:firstLine="640" w:firstLineChars="200"/>
        <w:rPr>
          <w:rFonts w:hint="eastAsia" w:ascii="Times" w:hAnsi="Times" w:eastAsia="仿宋_GB2312" w:cs="宋体"/>
          <w:kern w:val="0"/>
          <w:sz w:val="32"/>
          <w:szCs w:val="32"/>
        </w:rPr>
      </w:pPr>
      <w:r>
        <w:rPr>
          <w:rFonts w:hint="eastAsia" w:ascii="Times" w:hAnsi="Times" w:eastAsia="仿宋_GB2312" w:cs="宋体"/>
          <w:kern w:val="0"/>
          <w:sz w:val="32"/>
          <w:szCs w:val="32"/>
        </w:rPr>
        <w:t>如果涉及标准必要专利的交易是经营者集中的实质性组成部分或者对交易目的的实现具有重要意义，在经营者集中审查过程中，应考虑《反垄断法》规定的因素，同时考虑标准必要专利的特点。</w:t>
      </w:r>
    </w:p>
    <w:p>
      <w:pPr>
        <w:widowControl/>
        <w:spacing w:line="594" w:lineRule="exact"/>
        <w:ind w:firstLine="640" w:firstLineChars="200"/>
        <w:rPr>
          <w:rFonts w:hint="eastAsia" w:ascii="Times" w:hAnsi="Times" w:eastAsia="仿宋_GB2312" w:cs="宋体"/>
          <w:kern w:val="0"/>
          <w:sz w:val="32"/>
          <w:szCs w:val="32"/>
        </w:rPr>
      </w:pPr>
      <w:r>
        <w:rPr>
          <w:rFonts w:hint="eastAsia" w:ascii="Times" w:hAnsi="Times" w:eastAsia="仿宋_GB2312" w:cs="宋体"/>
          <w:kern w:val="0"/>
          <w:sz w:val="32"/>
          <w:szCs w:val="32"/>
        </w:rPr>
        <w:t>涉及标准必要专利的限制性条件包括结构性条件、行为性条件和综合性条件。附加涉及标准必要专利的限制性条件，通常根据个案情况，针对经营者集中具有或</w:t>
      </w:r>
      <w:r>
        <w:rPr>
          <w:rFonts w:hint="eastAsia" w:ascii="Times" w:hAnsi="Times" w:eastAsia="仿宋_GB2312" w:cs="宋体"/>
          <w:kern w:val="0"/>
          <w:sz w:val="32"/>
          <w:szCs w:val="32"/>
          <w:lang w:val="en-US" w:eastAsia="zh-CN"/>
        </w:rPr>
        <w:t>者</w:t>
      </w:r>
      <w:r>
        <w:rPr>
          <w:rFonts w:hint="eastAsia" w:ascii="Times" w:hAnsi="Times" w:eastAsia="仿宋_GB2312" w:cs="宋体"/>
          <w:kern w:val="0"/>
          <w:sz w:val="32"/>
          <w:szCs w:val="32"/>
        </w:rPr>
        <w:t>可能具有的排除、限制竞争效果，对限制性条件建议进行评估后确定。</w:t>
      </w:r>
    </w:p>
    <w:p>
      <w:pPr>
        <w:widowControl/>
        <w:spacing w:line="594" w:lineRule="exact"/>
        <w:jc w:val="center"/>
        <w:rPr>
          <w:rFonts w:ascii="Times" w:hAnsi="Times" w:eastAsia="黑体"/>
          <w:sz w:val="32"/>
          <w:szCs w:val="32"/>
        </w:rPr>
      </w:pPr>
      <w:bookmarkStart w:id="13" w:name="_Toc117591607"/>
    </w:p>
    <w:p>
      <w:pPr>
        <w:widowControl/>
        <w:spacing w:line="594" w:lineRule="exact"/>
        <w:jc w:val="center"/>
        <w:outlineLvl w:val="0"/>
        <w:rPr>
          <w:rFonts w:ascii="Times" w:hAnsi="Times" w:eastAsia="黑体"/>
          <w:sz w:val="32"/>
          <w:szCs w:val="32"/>
        </w:rPr>
      </w:pPr>
      <w:r>
        <w:rPr>
          <w:rFonts w:hint="eastAsia" w:ascii="Times" w:hAnsi="Times" w:eastAsia="黑体"/>
          <w:sz w:val="32"/>
          <w:szCs w:val="32"/>
        </w:rPr>
        <w:t>第五章</w:t>
      </w:r>
      <w:r>
        <w:rPr>
          <w:rFonts w:ascii="Times" w:hAnsi="Times" w:eastAsia="黑体"/>
          <w:sz w:val="32"/>
          <w:szCs w:val="32"/>
        </w:rPr>
        <w:t>  </w:t>
      </w:r>
      <w:r>
        <w:rPr>
          <w:rFonts w:hint="eastAsia" w:ascii="Times" w:hAnsi="Times" w:eastAsia="黑体"/>
          <w:sz w:val="32"/>
          <w:szCs w:val="32"/>
        </w:rPr>
        <w:t>附则</w:t>
      </w:r>
      <w:bookmarkEnd w:id="13"/>
    </w:p>
    <w:p>
      <w:pPr>
        <w:widowControl/>
        <w:spacing w:line="594" w:lineRule="exact"/>
        <w:ind w:firstLine="640" w:firstLineChars="200"/>
        <w:outlineLvl w:val="1"/>
        <w:rPr>
          <w:rFonts w:hint="eastAsia" w:ascii="Times New Roman" w:hAnsi="Times New Roman" w:eastAsia="楷体_GB2312" w:cs="Calibri"/>
          <w:sz w:val="32"/>
          <w:szCs w:val="32"/>
        </w:rPr>
      </w:pPr>
      <w:bookmarkStart w:id="14" w:name="_Toc117591609"/>
      <w:r>
        <w:rPr>
          <w:rFonts w:hint="eastAsia" w:ascii="Times New Roman" w:hAnsi="Times New Roman" w:eastAsia="楷体_GB2312" w:cs="Calibri"/>
          <w:sz w:val="32"/>
          <w:szCs w:val="32"/>
        </w:rPr>
        <w:t>【第二十条】 指南的解释</w:t>
      </w:r>
      <w:bookmarkEnd w:id="14"/>
    </w:p>
    <w:p>
      <w:pPr>
        <w:spacing w:line="594" w:lineRule="exact"/>
        <w:ind w:firstLine="640" w:firstLineChars="200"/>
      </w:pPr>
      <w:bookmarkStart w:id="15" w:name="_Toc117591610"/>
      <w:r>
        <w:rPr>
          <w:rFonts w:hint="eastAsia" w:ascii="Times" w:hAnsi="Times" w:eastAsia="仿宋_GB2312"/>
          <w:sz w:val="32"/>
          <w:szCs w:val="32"/>
        </w:rPr>
        <w:t>本指南由</w:t>
      </w:r>
      <w:r>
        <w:rPr>
          <w:rFonts w:hint="eastAsia" w:ascii="Times" w:hAnsi="Times" w:eastAsia="仿宋_GB2312"/>
          <w:sz w:val="32"/>
          <w:szCs w:val="32"/>
          <w:lang w:val="en-US" w:eastAsia="zh-CN"/>
        </w:rPr>
        <w:t xml:space="preserve">  </w:t>
      </w:r>
      <w:r>
        <w:rPr>
          <w:rFonts w:hint="eastAsia" w:ascii="Times" w:hAnsi="Times" w:eastAsia="仿宋_GB2312"/>
          <w:sz w:val="32"/>
          <w:szCs w:val="32"/>
        </w:rPr>
        <w:t>解释，自发布之日起实施。</w:t>
      </w:r>
      <w:bookmarkEnd w:id="1"/>
      <w:bookmarkEnd w:id="15"/>
    </w:p>
    <w:p>
      <w:pPr>
        <w:snapToGrid w:val="0"/>
        <w:spacing w:line="594" w:lineRule="exact"/>
        <w:jc w:val="center"/>
        <w:outlineLvl w:val="0"/>
        <w:rPr>
          <w:rFonts w:ascii="Times New Roman" w:hAnsi="Times New Roman" w:eastAsia="方正小标宋简体"/>
          <w:sz w:val="44"/>
          <w:szCs w:val="44"/>
        </w:rPr>
      </w:pPr>
    </w:p>
    <w:p>
      <w:pPr>
        <w:spacing w:line="594" w:lineRule="exact"/>
        <w:ind w:firstLine="640" w:firstLineChars="200"/>
        <w:rPr>
          <w:rFonts w:ascii="Times" w:hAnsi="Times" w:eastAsia="仿宋_GB2312"/>
          <w:sz w:val="32"/>
          <w:szCs w:val="32"/>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仿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altName w:val="FreeSerif"/>
    <w:panose1 w:val="02040503050406030204"/>
    <w:charset w:val="00"/>
    <w:family w:val="roman"/>
    <w:pitch w:val="default"/>
    <w:sig w:usb0="00000000" w:usb1="00000000" w:usb2="02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0"/>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w:t>
                          </w:r>
                          <w:r>
                            <w:rPr>
                              <w:rFonts w:ascii="宋体" w:hAnsi="宋体" w:cs="宋体"/>
                              <w:sz w:val="28"/>
                              <w:szCs w:val="28"/>
                            </w:rPr>
                            <w:fldChar w:fldCharType="end"/>
                          </w:r>
                          <w:r>
                            <w:rPr>
                              <w:rFonts w:ascii="宋体" w:hAnsi="宋体" w:cs="宋体"/>
                              <w:sz w:val="28"/>
                              <w:szCs w:val="28"/>
                            </w:rPr>
                            <w:t xml:space="preserve"> —</w:t>
                          </w:r>
                        </w:p>
                      </w:txbxContent>
                    </wps:txbx>
                    <wps:bodyPr vert="horz" wrap="none" lIns="0" tIns="0" rIns="0" bIns="0" anchor="t" anchorCtr="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WAAAAZHJzL1BLAQIUABQAAAAIAIdO4kDOqXm5zwAAAAUBAAAPAAAAAAAAAAEAIAAAADgAAABk&#10;cnMvZG93bnJldi54bWxQSwECFAAUAAAACACHTuJAIPnr38ABAABrAwAADgAAAAAAAAABACAAAAA0&#10;AQAAZHJzL2Uyb0RvYy54bWxQSwUGAAAAAAYABgBZAQAAZgUAAAAA&#10;">
              <v:fill on="f" focussize="0,0"/>
              <v:stroke on="f"/>
              <v:imagedata o:title=""/>
              <o:lock v:ext="edit" aspectratio="f"/>
              <v:textbox inset="0mm,0mm,0mm,0mm" style="mso-fit-shape-to-text:t;">
                <w:txbxContent>
                  <w:p>
                    <w:pPr>
                      <w:pStyle w:val="10"/>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M3MGUyNDRiYzFlNzg5ODQ3OGNkYWYwNTRjOGI0YTQifQ=="/>
  </w:docVars>
  <w:rsids>
    <w:rsidRoot w:val="000E3033"/>
    <w:rsid w:val="00002257"/>
    <w:rsid w:val="0000439B"/>
    <w:rsid w:val="000118C6"/>
    <w:rsid w:val="00011C65"/>
    <w:rsid w:val="00015293"/>
    <w:rsid w:val="0001755C"/>
    <w:rsid w:val="00021A57"/>
    <w:rsid w:val="0002613D"/>
    <w:rsid w:val="00027903"/>
    <w:rsid w:val="0003360D"/>
    <w:rsid w:val="0003659E"/>
    <w:rsid w:val="000401BF"/>
    <w:rsid w:val="00046643"/>
    <w:rsid w:val="00047C68"/>
    <w:rsid w:val="00051010"/>
    <w:rsid w:val="00067744"/>
    <w:rsid w:val="00067B99"/>
    <w:rsid w:val="00070D52"/>
    <w:rsid w:val="00073A82"/>
    <w:rsid w:val="00085AB9"/>
    <w:rsid w:val="00093949"/>
    <w:rsid w:val="00097980"/>
    <w:rsid w:val="000A7A69"/>
    <w:rsid w:val="000B26A0"/>
    <w:rsid w:val="000B2AAD"/>
    <w:rsid w:val="000B36B7"/>
    <w:rsid w:val="000B4467"/>
    <w:rsid w:val="000C1A17"/>
    <w:rsid w:val="000D0440"/>
    <w:rsid w:val="000D13E0"/>
    <w:rsid w:val="000D1EAB"/>
    <w:rsid w:val="000D325F"/>
    <w:rsid w:val="000D5E99"/>
    <w:rsid w:val="000E20D0"/>
    <w:rsid w:val="000E3033"/>
    <w:rsid w:val="000E7D88"/>
    <w:rsid w:val="000F1857"/>
    <w:rsid w:val="000F396C"/>
    <w:rsid w:val="00102DED"/>
    <w:rsid w:val="00104D1B"/>
    <w:rsid w:val="00113F80"/>
    <w:rsid w:val="001167A7"/>
    <w:rsid w:val="00132B7A"/>
    <w:rsid w:val="00152708"/>
    <w:rsid w:val="00153403"/>
    <w:rsid w:val="00155714"/>
    <w:rsid w:val="00164B3F"/>
    <w:rsid w:val="00177E29"/>
    <w:rsid w:val="00182D49"/>
    <w:rsid w:val="00183C90"/>
    <w:rsid w:val="00187607"/>
    <w:rsid w:val="001A26E5"/>
    <w:rsid w:val="001B2C62"/>
    <w:rsid w:val="001B4B43"/>
    <w:rsid w:val="001C1E95"/>
    <w:rsid w:val="001C7351"/>
    <w:rsid w:val="001D1230"/>
    <w:rsid w:val="001D4820"/>
    <w:rsid w:val="001D71A0"/>
    <w:rsid w:val="001D7858"/>
    <w:rsid w:val="001E296C"/>
    <w:rsid w:val="001E68F2"/>
    <w:rsid w:val="001F16D4"/>
    <w:rsid w:val="001F3ADA"/>
    <w:rsid w:val="001F4AB8"/>
    <w:rsid w:val="002025F5"/>
    <w:rsid w:val="002029CF"/>
    <w:rsid w:val="002139BC"/>
    <w:rsid w:val="00213C6D"/>
    <w:rsid w:val="002163E3"/>
    <w:rsid w:val="00217461"/>
    <w:rsid w:val="0022133E"/>
    <w:rsid w:val="00223542"/>
    <w:rsid w:val="002239F6"/>
    <w:rsid w:val="0022776D"/>
    <w:rsid w:val="00241473"/>
    <w:rsid w:val="002453BC"/>
    <w:rsid w:val="002618B3"/>
    <w:rsid w:val="0026664A"/>
    <w:rsid w:val="00267B9A"/>
    <w:rsid w:val="002808C2"/>
    <w:rsid w:val="00280BB6"/>
    <w:rsid w:val="002841F2"/>
    <w:rsid w:val="002850E1"/>
    <w:rsid w:val="00292E21"/>
    <w:rsid w:val="002940A9"/>
    <w:rsid w:val="002A6427"/>
    <w:rsid w:val="002B025B"/>
    <w:rsid w:val="002B0294"/>
    <w:rsid w:val="002B3BE7"/>
    <w:rsid w:val="002C6E7F"/>
    <w:rsid w:val="002D2402"/>
    <w:rsid w:val="002E11C5"/>
    <w:rsid w:val="002E1ECD"/>
    <w:rsid w:val="002E6413"/>
    <w:rsid w:val="002F32F9"/>
    <w:rsid w:val="00303A0B"/>
    <w:rsid w:val="00310295"/>
    <w:rsid w:val="003120A7"/>
    <w:rsid w:val="00314307"/>
    <w:rsid w:val="00317803"/>
    <w:rsid w:val="003209E7"/>
    <w:rsid w:val="00324DC7"/>
    <w:rsid w:val="00327764"/>
    <w:rsid w:val="00331520"/>
    <w:rsid w:val="003369E8"/>
    <w:rsid w:val="00336B9B"/>
    <w:rsid w:val="00343D99"/>
    <w:rsid w:val="00344FC7"/>
    <w:rsid w:val="00361A1C"/>
    <w:rsid w:val="00362213"/>
    <w:rsid w:val="00363F48"/>
    <w:rsid w:val="003766E7"/>
    <w:rsid w:val="00381AF1"/>
    <w:rsid w:val="00382111"/>
    <w:rsid w:val="0038436B"/>
    <w:rsid w:val="00385177"/>
    <w:rsid w:val="0039212C"/>
    <w:rsid w:val="00396E52"/>
    <w:rsid w:val="003A1CD6"/>
    <w:rsid w:val="003B0191"/>
    <w:rsid w:val="003B3430"/>
    <w:rsid w:val="003B6002"/>
    <w:rsid w:val="003B6A46"/>
    <w:rsid w:val="003B769F"/>
    <w:rsid w:val="003C2A0A"/>
    <w:rsid w:val="003C6A61"/>
    <w:rsid w:val="003D0310"/>
    <w:rsid w:val="003D2A15"/>
    <w:rsid w:val="003D4690"/>
    <w:rsid w:val="003D62A6"/>
    <w:rsid w:val="003E256A"/>
    <w:rsid w:val="003E2F84"/>
    <w:rsid w:val="003E372A"/>
    <w:rsid w:val="003E38D2"/>
    <w:rsid w:val="003E7443"/>
    <w:rsid w:val="003F3217"/>
    <w:rsid w:val="003F5923"/>
    <w:rsid w:val="00403C5D"/>
    <w:rsid w:val="004217A6"/>
    <w:rsid w:val="00421B49"/>
    <w:rsid w:val="0042313A"/>
    <w:rsid w:val="0043226C"/>
    <w:rsid w:val="00435415"/>
    <w:rsid w:val="004438A9"/>
    <w:rsid w:val="00445916"/>
    <w:rsid w:val="00453902"/>
    <w:rsid w:val="004566B7"/>
    <w:rsid w:val="00457071"/>
    <w:rsid w:val="00466317"/>
    <w:rsid w:val="0047270A"/>
    <w:rsid w:val="00473C2E"/>
    <w:rsid w:val="00484D0A"/>
    <w:rsid w:val="004868A6"/>
    <w:rsid w:val="00490627"/>
    <w:rsid w:val="00491C2A"/>
    <w:rsid w:val="00491F39"/>
    <w:rsid w:val="004940BB"/>
    <w:rsid w:val="0049430C"/>
    <w:rsid w:val="00495D71"/>
    <w:rsid w:val="004A1730"/>
    <w:rsid w:val="004A2FD8"/>
    <w:rsid w:val="004B40A8"/>
    <w:rsid w:val="004C4C66"/>
    <w:rsid w:val="004C6B79"/>
    <w:rsid w:val="004D0205"/>
    <w:rsid w:val="004D1252"/>
    <w:rsid w:val="004D1422"/>
    <w:rsid w:val="004D53C5"/>
    <w:rsid w:val="004D568E"/>
    <w:rsid w:val="004D6151"/>
    <w:rsid w:val="004F4C72"/>
    <w:rsid w:val="004F6136"/>
    <w:rsid w:val="00505934"/>
    <w:rsid w:val="0051055C"/>
    <w:rsid w:val="005128E2"/>
    <w:rsid w:val="00515BF8"/>
    <w:rsid w:val="005166AA"/>
    <w:rsid w:val="0052256F"/>
    <w:rsid w:val="005238F7"/>
    <w:rsid w:val="005358B7"/>
    <w:rsid w:val="00543F10"/>
    <w:rsid w:val="0054427B"/>
    <w:rsid w:val="00550334"/>
    <w:rsid w:val="005562D3"/>
    <w:rsid w:val="00561896"/>
    <w:rsid w:val="00591440"/>
    <w:rsid w:val="0059206C"/>
    <w:rsid w:val="005949ED"/>
    <w:rsid w:val="005A345E"/>
    <w:rsid w:val="005A63AE"/>
    <w:rsid w:val="005B176D"/>
    <w:rsid w:val="005B75D8"/>
    <w:rsid w:val="005C116A"/>
    <w:rsid w:val="005C2EFB"/>
    <w:rsid w:val="005C31BD"/>
    <w:rsid w:val="005C5CAF"/>
    <w:rsid w:val="005D59B1"/>
    <w:rsid w:val="005D7F69"/>
    <w:rsid w:val="005E5DDA"/>
    <w:rsid w:val="005E6C8B"/>
    <w:rsid w:val="005E79F1"/>
    <w:rsid w:val="005F1D5F"/>
    <w:rsid w:val="005F1FF1"/>
    <w:rsid w:val="005F69C1"/>
    <w:rsid w:val="00600A73"/>
    <w:rsid w:val="00600F13"/>
    <w:rsid w:val="00603A9C"/>
    <w:rsid w:val="00604800"/>
    <w:rsid w:val="00606831"/>
    <w:rsid w:val="00607D83"/>
    <w:rsid w:val="00610074"/>
    <w:rsid w:val="006169D4"/>
    <w:rsid w:val="00621AA5"/>
    <w:rsid w:val="00632CDA"/>
    <w:rsid w:val="00633743"/>
    <w:rsid w:val="006339C1"/>
    <w:rsid w:val="006407DD"/>
    <w:rsid w:val="00640ACB"/>
    <w:rsid w:val="0065121E"/>
    <w:rsid w:val="00661B8B"/>
    <w:rsid w:val="006700E7"/>
    <w:rsid w:val="006721B2"/>
    <w:rsid w:val="006805FC"/>
    <w:rsid w:val="0068106C"/>
    <w:rsid w:val="006824EB"/>
    <w:rsid w:val="00691992"/>
    <w:rsid w:val="00692B70"/>
    <w:rsid w:val="006A6BDE"/>
    <w:rsid w:val="006B1334"/>
    <w:rsid w:val="006B333E"/>
    <w:rsid w:val="006B4563"/>
    <w:rsid w:val="006B4E32"/>
    <w:rsid w:val="006B4E60"/>
    <w:rsid w:val="006C1324"/>
    <w:rsid w:val="006C143B"/>
    <w:rsid w:val="006C734E"/>
    <w:rsid w:val="006D1614"/>
    <w:rsid w:val="006D1841"/>
    <w:rsid w:val="006D6111"/>
    <w:rsid w:val="006D7C35"/>
    <w:rsid w:val="006D7F71"/>
    <w:rsid w:val="006E4640"/>
    <w:rsid w:val="006E4BAB"/>
    <w:rsid w:val="006E7C06"/>
    <w:rsid w:val="006F17D2"/>
    <w:rsid w:val="006F7F22"/>
    <w:rsid w:val="00701699"/>
    <w:rsid w:val="007302A2"/>
    <w:rsid w:val="00733A1C"/>
    <w:rsid w:val="00734926"/>
    <w:rsid w:val="00734E94"/>
    <w:rsid w:val="007409C3"/>
    <w:rsid w:val="00750D3B"/>
    <w:rsid w:val="00761639"/>
    <w:rsid w:val="007666F8"/>
    <w:rsid w:val="00772755"/>
    <w:rsid w:val="00781380"/>
    <w:rsid w:val="00786B00"/>
    <w:rsid w:val="007A044D"/>
    <w:rsid w:val="007A2C3A"/>
    <w:rsid w:val="007A3381"/>
    <w:rsid w:val="007B4981"/>
    <w:rsid w:val="007B7E69"/>
    <w:rsid w:val="007B7F8D"/>
    <w:rsid w:val="007C1D59"/>
    <w:rsid w:val="007C3548"/>
    <w:rsid w:val="007C4C0D"/>
    <w:rsid w:val="007D1DC9"/>
    <w:rsid w:val="007E1A9F"/>
    <w:rsid w:val="007E7518"/>
    <w:rsid w:val="007F2040"/>
    <w:rsid w:val="00803295"/>
    <w:rsid w:val="00811DBD"/>
    <w:rsid w:val="00826CD8"/>
    <w:rsid w:val="00827B08"/>
    <w:rsid w:val="00832188"/>
    <w:rsid w:val="008364D3"/>
    <w:rsid w:val="0084603A"/>
    <w:rsid w:val="00847125"/>
    <w:rsid w:val="008500CF"/>
    <w:rsid w:val="00857566"/>
    <w:rsid w:val="00861B80"/>
    <w:rsid w:val="00865E20"/>
    <w:rsid w:val="008672A8"/>
    <w:rsid w:val="00873399"/>
    <w:rsid w:val="00873E7E"/>
    <w:rsid w:val="00881465"/>
    <w:rsid w:val="00894B30"/>
    <w:rsid w:val="008A0F0D"/>
    <w:rsid w:val="008B04C9"/>
    <w:rsid w:val="008B3A90"/>
    <w:rsid w:val="008B5614"/>
    <w:rsid w:val="008C6D11"/>
    <w:rsid w:val="008E0E9B"/>
    <w:rsid w:val="008E3EB5"/>
    <w:rsid w:val="008E7E76"/>
    <w:rsid w:val="0090639E"/>
    <w:rsid w:val="00915445"/>
    <w:rsid w:val="009237F4"/>
    <w:rsid w:val="009327D2"/>
    <w:rsid w:val="00937A31"/>
    <w:rsid w:val="00944446"/>
    <w:rsid w:val="009456EB"/>
    <w:rsid w:val="00951A88"/>
    <w:rsid w:val="00956AC5"/>
    <w:rsid w:val="00965C37"/>
    <w:rsid w:val="009665AC"/>
    <w:rsid w:val="00967DC5"/>
    <w:rsid w:val="00974487"/>
    <w:rsid w:val="00982A8A"/>
    <w:rsid w:val="009863C2"/>
    <w:rsid w:val="0099518F"/>
    <w:rsid w:val="009A0865"/>
    <w:rsid w:val="009A2218"/>
    <w:rsid w:val="009B1FB6"/>
    <w:rsid w:val="009B24B2"/>
    <w:rsid w:val="009B3565"/>
    <w:rsid w:val="009B45E7"/>
    <w:rsid w:val="009D5410"/>
    <w:rsid w:val="009D674A"/>
    <w:rsid w:val="009D7C89"/>
    <w:rsid w:val="009E1DCE"/>
    <w:rsid w:val="009E7DE5"/>
    <w:rsid w:val="00A01176"/>
    <w:rsid w:val="00A01730"/>
    <w:rsid w:val="00A039E0"/>
    <w:rsid w:val="00A100E7"/>
    <w:rsid w:val="00A15B66"/>
    <w:rsid w:val="00A163E0"/>
    <w:rsid w:val="00A17417"/>
    <w:rsid w:val="00A23E3D"/>
    <w:rsid w:val="00A30620"/>
    <w:rsid w:val="00A30EDA"/>
    <w:rsid w:val="00A33AAC"/>
    <w:rsid w:val="00A405B5"/>
    <w:rsid w:val="00A50314"/>
    <w:rsid w:val="00A505D8"/>
    <w:rsid w:val="00A50ED9"/>
    <w:rsid w:val="00A56B08"/>
    <w:rsid w:val="00A612B5"/>
    <w:rsid w:val="00A62BC8"/>
    <w:rsid w:val="00A65BB3"/>
    <w:rsid w:val="00A67760"/>
    <w:rsid w:val="00A67D6C"/>
    <w:rsid w:val="00A72A3E"/>
    <w:rsid w:val="00A77429"/>
    <w:rsid w:val="00A85349"/>
    <w:rsid w:val="00A855C6"/>
    <w:rsid w:val="00A94789"/>
    <w:rsid w:val="00A95B86"/>
    <w:rsid w:val="00AA6CCB"/>
    <w:rsid w:val="00AC5678"/>
    <w:rsid w:val="00AC6DF4"/>
    <w:rsid w:val="00AD77CE"/>
    <w:rsid w:val="00AE657D"/>
    <w:rsid w:val="00AF5B31"/>
    <w:rsid w:val="00B001ED"/>
    <w:rsid w:val="00B00FA6"/>
    <w:rsid w:val="00B035E0"/>
    <w:rsid w:val="00B052C7"/>
    <w:rsid w:val="00B07C03"/>
    <w:rsid w:val="00B11FC7"/>
    <w:rsid w:val="00B13D92"/>
    <w:rsid w:val="00B16E71"/>
    <w:rsid w:val="00B20EC8"/>
    <w:rsid w:val="00B3174C"/>
    <w:rsid w:val="00B34191"/>
    <w:rsid w:val="00B36B3C"/>
    <w:rsid w:val="00B4429C"/>
    <w:rsid w:val="00B627CC"/>
    <w:rsid w:val="00B6492D"/>
    <w:rsid w:val="00B73844"/>
    <w:rsid w:val="00B91B39"/>
    <w:rsid w:val="00B93CBA"/>
    <w:rsid w:val="00BA4B20"/>
    <w:rsid w:val="00BB1B40"/>
    <w:rsid w:val="00BB27A6"/>
    <w:rsid w:val="00BC0F95"/>
    <w:rsid w:val="00BC101F"/>
    <w:rsid w:val="00BD3031"/>
    <w:rsid w:val="00BD62D4"/>
    <w:rsid w:val="00BF2258"/>
    <w:rsid w:val="00BF56B5"/>
    <w:rsid w:val="00BF6C47"/>
    <w:rsid w:val="00C01655"/>
    <w:rsid w:val="00C02BF7"/>
    <w:rsid w:val="00C02FDE"/>
    <w:rsid w:val="00C04FEE"/>
    <w:rsid w:val="00C13E3F"/>
    <w:rsid w:val="00C14060"/>
    <w:rsid w:val="00C3324A"/>
    <w:rsid w:val="00C36D99"/>
    <w:rsid w:val="00C40D6E"/>
    <w:rsid w:val="00C41EB7"/>
    <w:rsid w:val="00C61A87"/>
    <w:rsid w:val="00C62C46"/>
    <w:rsid w:val="00C72B9C"/>
    <w:rsid w:val="00C76250"/>
    <w:rsid w:val="00C8387B"/>
    <w:rsid w:val="00C83929"/>
    <w:rsid w:val="00C84FC8"/>
    <w:rsid w:val="00C9396C"/>
    <w:rsid w:val="00C94A7B"/>
    <w:rsid w:val="00C96439"/>
    <w:rsid w:val="00CA6E94"/>
    <w:rsid w:val="00CB767A"/>
    <w:rsid w:val="00CC2484"/>
    <w:rsid w:val="00CC3E37"/>
    <w:rsid w:val="00CE533D"/>
    <w:rsid w:val="00CE5832"/>
    <w:rsid w:val="00CF4246"/>
    <w:rsid w:val="00D00C7E"/>
    <w:rsid w:val="00D031B0"/>
    <w:rsid w:val="00D05D56"/>
    <w:rsid w:val="00D108D9"/>
    <w:rsid w:val="00D11C3D"/>
    <w:rsid w:val="00D15248"/>
    <w:rsid w:val="00D170A7"/>
    <w:rsid w:val="00D2053A"/>
    <w:rsid w:val="00D219F8"/>
    <w:rsid w:val="00D23441"/>
    <w:rsid w:val="00D309F3"/>
    <w:rsid w:val="00D43DED"/>
    <w:rsid w:val="00D45B49"/>
    <w:rsid w:val="00D47E7A"/>
    <w:rsid w:val="00D525FC"/>
    <w:rsid w:val="00D54CDE"/>
    <w:rsid w:val="00D64C23"/>
    <w:rsid w:val="00D670B4"/>
    <w:rsid w:val="00D7193D"/>
    <w:rsid w:val="00D73578"/>
    <w:rsid w:val="00D74310"/>
    <w:rsid w:val="00D80FD8"/>
    <w:rsid w:val="00D863D1"/>
    <w:rsid w:val="00D86737"/>
    <w:rsid w:val="00D941E8"/>
    <w:rsid w:val="00DA4113"/>
    <w:rsid w:val="00DA5913"/>
    <w:rsid w:val="00DA7397"/>
    <w:rsid w:val="00DB01DB"/>
    <w:rsid w:val="00DB357D"/>
    <w:rsid w:val="00DB3625"/>
    <w:rsid w:val="00DC1DA9"/>
    <w:rsid w:val="00DD69D4"/>
    <w:rsid w:val="00DE07A8"/>
    <w:rsid w:val="00DE4D44"/>
    <w:rsid w:val="00DF38C3"/>
    <w:rsid w:val="00DF7A14"/>
    <w:rsid w:val="00E0109B"/>
    <w:rsid w:val="00E04F88"/>
    <w:rsid w:val="00E0514F"/>
    <w:rsid w:val="00E10F7C"/>
    <w:rsid w:val="00E11B87"/>
    <w:rsid w:val="00E126F6"/>
    <w:rsid w:val="00E13052"/>
    <w:rsid w:val="00E2207E"/>
    <w:rsid w:val="00E235AA"/>
    <w:rsid w:val="00E273BC"/>
    <w:rsid w:val="00E35580"/>
    <w:rsid w:val="00E43BF4"/>
    <w:rsid w:val="00E50E67"/>
    <w:rsid w:val="00E526E4"/>
    <w:rsid w:val="00E57579"/>
    <w:rsid w:val="00E60C4B"/>
    <w:rsid w:val="00E6390B"/>
    <w:rsid w:val="00E70ED1"/>
    <w:rsid w:val="00E764C0"/>
    <w:rsid w:val="00E932FE"/>
    <w:rsid w:val="00E93474"/>
    <w:rsid w:val="00E9525E"/>
    <w:rsid w:val="00E963E3"/>
    <w:rsid w:val="00E96F8C"/>
    <w:rsid w:val="00EA35B0"/>
    <w:rsid w:val="00EB4036"/>
    <w:rsid w:val="00ED19C2"/>
    <w:rsid w:val="00ED561E"/>
    <w:rsid w:val="00ED5B5B"/>
    <w:rsid w:val="00EE11B4"/>
    <w:rsid w:val="00EE53D6"/>
    <w:rsid w:val="00EF4F58"/>
    <w:rsid w:val="00F00210"/>
    <w:rsid w:val="00F06236"/>
    <w:rsid w:val="00F2384D"/>
    <w:rsid w:val="00F24EF8"/>
    <w:rsid w:val="00F254B6"/>
    <w:rsid w:val="00F370B8"/>
    <w:rsid w:val="00F426D9"/>
    <w:rsid w:val="00F45D83"/>
    <w:rsid w:val="00F467A7"/>
    <w:rsid w:val="00F611DE"/>
    <w:rsid w:val="00F61E24"/>
    <w:rsid w:val="00F748D9"/>
    <w:rsid w:val="00F8449C"/>
    <w:rsid w:val="00F84D86"/>
    <w:rsid w:val="00F85519"/>
    <w:rsid w:val="00FA26AE"/>
    <w:rsid w:val="00FA458E"/>
    <w:rsid w:val="00FA5738"/>
    <w:rsid w:val="00FC3B74"/>
    <w:rsid w:val="00FC524C"/>
    <w:rsid w:val="00FC55E8"/>
    <w:rsid w:val="00FC7C49"/>
    <w:rsid w:val="00FC7E7F"/>
    <w:rsid w:val="00FD0FE8"/>
    <w:rsid w:val="00FD2E4E"/>
    <w:rsid w:val="00FD5297"/>
    <w:rsid w:val="00FD6C9B"/>
    <w:rsid w:val="00FD7148"/>
    <w:rsid w:val="00FF478F"/>
    <w:rsid w:val="00FF6F6E"/>
    <w:rsid w:val="0159126E"/>
    <w:rsid w:val="018511D1"/>
    <w:rsid w:val="02901F1A"/>
    <w:rsid w:val="029762F6"/>
    <w:rsid w:val="02C848FD"/>
    <w:rsid w:val="02DF57A3"/>
    <w:rsid w:val="02F0175E"/>
    <w:rsid w:val="030B6598"/>
    <w:rsid w:val="03276613"/>
    <w:rsid w:val="032819CF"/>
    <w:rsid w:val="03327FC8"/>
    <w:rsid w:val="03356E7D"/>
    <w:rsid w:val="036147F6"/>
    <w:rsid w:val="03E70DB3"/>
    <w:rsid w:val="040E27E3"/>
    <w:rsid w:val="04185410"/>
    <w:rsid w:val="04BE5FB8"/>
    <w:rsid w:val="04FA4466"/>
    <w:rsid w:val="054A15F9"/>
    <w:rsid w:val="05832D5D"/>
    <w:rsid w:val="06856661"/>
    <w:rsid w:val="06901A47"/>
    <w:rsid w:val="069B7C33"/>
    <w:rsid w:val="069D1BFD"/>
    <w:rsid w:val="06F43A2B"/>
    <w:rsid w:val="073360BD"/>
    <w:rsid w:val="07465DF0"/>
    <w:rsid w:val="0757058A"/>
    <w:rsid w:val="07A62D33"/>
    <w:rsid w:val="07B94814"/>
    <w:rsid w:val="07D258D6"/>
    <w:rsid w:val="08342481"/>
    <w:rsid w:val="083434E0"/>
    <w:rsid w:val="08A70B11"/>
    <w:rsid w:val="08AA1C85"/>
    <w:rsid w:val="08F234BD"/>
    <w:rsid w:val="09153CCC"/>
    <w:rsid w:val="095A5B83"/>
    <w:rsid w:val="09630EDC"/>
    <w:rsid w:val="098D7D07"/>
    <w:rsid w:val="09B83C79"/>
    <w:rsid w:val="09DB141A"/>
    <w:rsid w:val="0A312D88"/>
    <w:rsid w:val="0A6749FB"/>
    <w:rsid w:val="0AC260D6"/>
    <w:rsid w:val="0AC5646A"/>
    <w:rsid w:val="0ADA534B"/>
    <w:rsid w:val="0AF142C5"/>
    <w:rsid w:val="0B043AD4"/>
    <w:rsid w:val="0B0C1092"/>
    <w:rsid w:val="0B121B60"/>
    <w:rsid w:val="0B6366A0"/>
    <w:rsid w:val="0B9023E3"/>
    <w:rsid w:val="0B9E269F"/>
    <w:rsid w:val="0BA10F78"/>
    <w:rsid w:val="0BE45BD8"/>
    <w:rsid w:val="0C3C2D82"/>
    <w:rsid w:val="0C491D7D"/>
    <w:rsid w:val="0C4D4520"/>
    <w:rsid w:val="0C6B1986"/>
    <w:rsid w:val="0CD86320"/>
    <w:rsid w:val="0D060F33"/>
    <w:rsid w:val="0D192F12"/>
    <w:rsid w:val="0D9F44AC"/>
    <w:rsid w:val="0DA7210E"/>
    <w:rsid w:val="0E1E6F4A"/>
    <w:rsid w:val="0E6E3645"/>
    <w:rsid w:val="0E884477"/>
    <w:rsid w:val="0E8D07A9"/>
    <w:rsid w:val="0F135AB3"/>
    <w:rsid w:val="0F2A424A"/>
    <w:rsid w:val="0F362BEE"/>
    <w:rsid w:val="0F6B6D3C"/>
    <w:rsid w:val="0F89548E"/>
    <w:rsid w:val="0F967F02"/>
    <w:rsid w:val="0FE663C2"/>
    <w:rsid w:val="105477D0"/>
    <w:rsid w:val="11421D1E"/>
    <w:rsid w:val="11B150A8"/>
    <w:rsid w:val="11CC15E8"/>
    <w:rsid w:val="12477BAA"/>
    <w:rsid w:val="124D097B"/>
    <w:rsid w:val="12FF0CA7"/>
    <w:rsid w:val="13385187"/>
    <w:rsid w:val="133C0773"/>
    <w:rsid w:val="13491142"/>
    <w:rsid w:val="13CB5FFB"/>
    <w:rsid w:val="141B294B"/>
    <w:rsid w:val="15007F26"/>
    <w:rsid w:val="15B5190F"/>
    <w:rsid w:val="16300397"/>
    <w:rsid w:val="163C6D3C"/>
    <w:rsid w:val="16AA639C"/>
    <w:rsid w:val="16E80C72"/>
    <w:rsid w:val="1706734A"/>
    <w:rsid w:val="17852965"/>
    <w:rsid w:val="17920AE7"/>
    <w:rsid w:val="182B350C"/>
    <w:rsid w:val="18822A00"/>
    <w:rsid w:val="18950986"/>
    <w:rsid w:val="18E436BB"/>
    <w:rsid w:val="190569DB"/>
    <w:rsid w:val="19134F44"/>
    <w:rsid w:val="19792055"/>
    <w:rsid w:val="19C3481B"/>
    <w:rsid w:val="19C92FDD"/>
    <w:rsid w:val="1B222279"/>
    <w:rsid w:val="1B2B55D1"/>
    <w:rsid w:val="1B3069FB"/>
    <w:rsid w:val="1B6B1290"/>
    <w:rsid w:val="1B6D2B21"/>
    <w:rsid w:val="1B94140F"/>
    <w:rsid w:val="1BEA548C"/>
    <w:rsid w:val="1C0E34D6"/>
    <w:rsid w:val="1C7F7983"/>
    <w:rsid w:val="1C8B457A"/>
    <w:rsid w:val="1C8E3119"/>
    <w:rsid w:val="1D1E3640"/>
    <w:rsid w:val="1D76522A"/>
    <w:rsid w:val="1D903E12"/>
    <w:rsid w:val="1DD8524D"/>
    <w:rsid w:val="1E214A6A"/>
    <w:rsid w:val="1E4A3FC0"/>
    <w:rsid w:val="1ED07443"/>
    <w:rsid w:val="1F026649"/>
    <w:rsid w:val="1F4B6242"/>
    <w:rsid w:val="1F505606"/>
    <w:rsid w:val="1F7E2174"/>
    <w:rsid w:val="1F847664"/>
    <w:rsid w:val="1F9C4CF0"/>
    <w:rsid w:val="1FB73684"/>
    <w:rsid w:val="1FFE175E"/>
    <w:rsid w:val="200C65DB"/>
    <w:rsid w:val="20144886"/>
    <w:rsid w:val="201B0410"/>
    <w:rsid w:val="205B1129"/>
    <w:rsid w:val="20A91472"/>
    <w:rsid w:val="20BD6CCC"/>
    <w:rsid w:val="20BE5A29"/>
    <w:rsid w:val="20C0056A"/>
    <w:rsid w:val="20C64363"/>
    <w:rsid w:val="20D65FDF"/>
    <w:rsid w:val="21466CC1"/>
    <w:rsid w:val="21771570"/>
    <w:rsid w:val="218B4821"/>
    <w:rsid w:val="21BA76AF"/>
    <w:rsid w:val="21CD2F3E"/>
    <w:rsid w:val="21F229A5"/>
    <w:rsid w:val="22721D38"/>
    <w:rsid w:val="22B97967"/>
    <w:rsid w:val="22E36792"/>
    <w:rsid w:val="233D2346"/>
    <w:rsid w:val="23825FAA"/>
    <w:rsid w:val="23C12F77"/>
    <w:rsid w:val="243E45C7"/>
    <w:rsid w:val="24575689"/>
    <w:rsid w:val="249A10B9"/>
    <w:rsid w:val="24B71C84"/>
    <w:rsid w:val="24DD43D4"/>
    <w:rsid w:val="24E1360E"/>
    <w:rsid w:val="24E45B90"/>
    <w:rsid w:val="255F47F5"/>
    <w:rsid w:val="260D0B0E"/>
    <w:rsid w:val="26207847"/>
    <w:rsid w:val="26984C67"/>
    <w:rsid w:val="26BF5B25"/>
    <w:rsid w:val="26DE5BEE"/>
    <w:rsid w:val="270D1F96"/>
    <w:rsid w:val="270D4377"/>
    <w:rsid w:val="272109BB"/>
    <w:rsid w:val="27280C17"/>
    <w:rsid w:val="27293BAC"/>
    <w:rsid w:val="279740AF"/>
    <w:rsid w:val="27BA21B7"/>
    <w:rsid w:val="27F025A3"/>
    <w:rsid w:val="280A524E"/>
    <w:rsid w:val="280E06A1"/>
    <w:rsid w:val="281713B7"/>
    <w:rsid w:val="2825407B"/>
    <w:rsid w:val="282835C4"/>
    <w:rsid w:val="28553C8E"/>
    <w:rsid w:val="285A59B3"/>
    <w:rsid w:val="28B97EA6"/>
    <w:rsid w:val="28BE1833"/>
    <w:rsid w:val="28DE2122"/>
    <w:rsid w:val="29077683"/>
    <w:rsid w:val="29AA0009"/>
    <w:rsid w:val="29BF1D06"/>
    <w:rsid w:val="2A181417"/>
    <w:rsid w:val="2A4E3775"/>
    <w:rsid w:val="2ABE034B"/>
    <w:rsid w:val="2AED63FF"/>
    <w:rsid w:val="2B726905"/>
    <w:rsid w:val="2B774C41"/>
    <w:rsid w:val="2B8E7198"/>
    <w:rsid w:val="2BB533C1"/>
    <w:rsid w:val="2BE92644"/>
    <w:rsid w:val="2BFB41A7"/>
    <w:rsid w:val="2C2927BA"/>
    <w:rsid w:val="2C595610"/>
    <w:rsid w:val="2CA90A4C"/>
    <w:rsid w:val="2CE850D0"/>
    <w:rsid w:val="2CFE48F4"/>
    <w:rsid w:val="2D3E1194"/>
    <w:rsid w:val="2D8D5C78"/>
    <w:rsid w:val="2D8F7C42"/>
    <w:rsid w:val="2DB72CF5"/>
    <w:rsid w:val="2DBB4593"/>
    <w:rsid w:val="2DCA0C7A"/>
    <w:rsid w:val="2E5642BC"/>
    <w:rsid w:val="2E6F4259"/>
    <w:rsid w:val="2EAF07FF"/>
    <w:rsid w:val="2EBC6B3B"/>
    <w:rsid w:val="2ED973C6"/>
    <w:rsid w:val="2EEA0029"/>
    <w:rsid w:val="2F566C69"/>
    <w:rsid w:val="2F745341"/>
    <w:rsid w:val="2F8B61E7"/>
    <w:rsid w:val="2F9D571E"/>
    <w:rsid w:val="2FC9111F"/>
    <w:rsid w:val="2FE361E1"/>
    <w:rsid w:val="30275F10"/>
    <w:rsid w:val="302A1EA4"/>
    <w:rsid w:val="30751371"/>
    <w:rsid w:val="309335A5"/>
    <w:rsid w:val="309F1F4A"/>
    <w:rsid w:val="30BD4AC6"/>
    <w:rsid w:val="30E3452C"/>
    <w:rsid w:val="310426F5"/>
    <w:rsid w:val="3151170C"/>
    <w:rsid w:val="31AA6DF8"/>
    <w:rsid w:val="31C42381"/>
    <w:rsid w:val="31CC3212"/>
    <w:rsid w:val="31DB5204"/>
    <w:rsid w:val="320C0E5F"/>
    <w:rsid w:val="320D7387"/>
    <w:rsid w:val="3222262E"/>
    <w:rsid w:val="322C62CE"/>
    <w:rsid w:val="32326DEE"/>
    <w:rsid w:val="32647267"/>
    <w:rsid w:val="32690A61"/>
    <w:rsid w:val="32737B32"/>
    <w:rsid w:val="32A8137E"/>
    <w:rsid w:val="32A970B0"/>
    <w:rsid w:val="32FA790B"/>
    <w:rsid w:val="33630896"/>
    <w:rsid w:val="337376BE"/>
    <w:rsid w:val="337E0CCA"/>
    <w:rsid w:val="339A10EE"/>
    <w:rsid w:val="33A51F6D"/>
    <w:rsid w:val="33B45D0C"/>
    <w:rsid w:val="33CD2BD5"/>
    <w:rsid w:val="33D22636"/>
    <w:rsid w:val="33E47794"/>
    <w:rsid w:val="33E81E5A"/>
    <w:rsid w:val="344F012B"/>
    <w:rsid w:val="346F257B"/>
    <w:rsid w:val="34706DE3"/>
    <w:rsid w:val="348778C5"/>
    <w:rsid w:val="34A42225"/>
    <w:rsid w:val="34A75871"/>
    <w:rsid w:val="34B23465"/>
    <w:rsid w:val="34B41D3C"/>
    <w:rsid w:val="34B72EFC"/>
    <w:rsid w:val="34FC3E0F"/>
    <w:rsid w:val="35101668"/>
    <w:rsid w:val="359027A9"/>
    <w:rsid w:val="35905195"/>
    <w:rsid w:val="35956011"/>
    <w:rsid w:val="35C04F5D"/>
    <w:rsid w:val="362D624A"/>
    <w:rsid w:val="36BD8833"/>
    <w:rsid w:val="36FBD8E7"/>
    <w:rsid w:val="37021484"/>
    <w:rsid w:val="37182DDE"/>
    <w:rsid w:val="376B702A"/>
    <w:rsid w:val="37B3277F"/>
    <w:rsid w:val="37E45033"/>
    <w:rsid w:val="37E868CC"/>
    <w:rsid w:val="381274A5"/>
    <w:rsid w:val="38237904"/>
    <w:rsid w:val="38431D54"/>
    <w:rsid w:val="386C3059"/>
    <w:rsid w:val="38A50319"/>
    <w:rsid w:val="38A56D4B"/>
    <w:rsid w:val="38B44A00"/>
    <w:rsid w:val="397A3C97"/>
    <w:rsid w:val="39C12F31"/>
    <w:rsid w:val="39C742BF"/>
    <w:rsid w:val="3A1C460B"/>
    <w:rsid w:val="3A3E4582"/>
    <w:rsid w:val="3A6B37EA"/>
    <w:rsid w:val="3A9C74FA"/>
    <w:rsid w:val="3AC3717D"/>
    <w:rsid w:val="3AC821E8"/>
    <w:rsid w:val="3ACB1D79"/>
    <w:rsid w:val="3B057795"/>
    <w:rsid w:val="3B337E5E"/>
    <w:rsid w:val="3B4F5F79"/>
    <w:rsid w:val="3B52627A"/>
    <w:rsid w:val="3BD7738D"/>
    <w:rsid w:val="3BFFF306"/>
    <w:rsid w:val="3C0D06AF"/>
    <w:rsid w:val="3C522566"/>
    <w:rsid w:val="3CA24923"/>
    <w:rsid w:val="3CD5176B"/>
    <w:rsid w:val="3D3D4FC4"/>
    <w:rsid w:val="3D4B4E09"/>
    <w:rsid w:val="3D536596"/>
    <w:rsid w:val="3D6C7658"/>
    <w:rsid w:val="3D98669F"/>
    <w:rsid w:val="3E295549"/>
    <w:rsid w:val="3E6D18D9"/>
    <w:rsid w:val="3E8310FD"/>
    <w:rsid w:val="3EAB0813"/>
    <w:rsid w:val="3EF5E652"/>
    <w:rsid w:val="3EFB5050"/>
    <w:rsid w:val="3F067638"/>
    <w:rsid w:val="3F43088C"/>
    <w:rsid w:val="3F770A3D"/>
    <w:rsid w:val="3F9FE039"/>
    <w:rsid w:val="3FA94B93"/>
    <w:rsid w:val="40754A75"/>
    <w:rsid w:val="40921BCC"/>
    <w:rsid w:val="40D84122"/>
    <w:rsid w:val="40E97440"/>
    <w:rsid w:val="41DE664A"/>
    <w:rsid w:val="41F36599"/>
    <w:rsid w:val="42552DB0"/>
    <w:rsid w:val="428C60A6"/>
    <w:rsid w:val="42905B96"/>
    <w:rsid w:val="42A1220B"/>
    <w:rsid w:val="43000F6E"/>
    <w:rsid w:val="43194AB4"/>
    <w:rsid w:val="43B835F7"/>
    <w:rsid w:val="43BB0251"/>
    <w:rsid w:val="43CD6976"/>
    <w:rsid w:val="43D618C9"/>
    <w:rsid w:val="43DE0B83"/>
    <w:rsid w:val="440305EA"/>
    <w:rsid w:val="440C56F0"/>
    <w:rsid w:val="443B7D84"/>
    <w:rsid w:val="44BA514C"/>
    <w:rsid w:val="45261242"/>
    <w:rsid w:val="45592BB7"/>
    <w:rsid w:val="455D1318"/>
    <w:rsid w:val="456338E5"/>
    <w:rsid w:val="456A6B72"/>
    <w:rsid w:val="45B93230"/>
    <w:rsid w:val="45C27DEC"/>
    <w:rsid w:val="462907DC"/>
    <w:rsid w:val="464253F9"/>
    <w:rsid w:val="46761547"/>
    <w:rsid w:val="46F5246C"/>
    <w:rsid w:val="471072A6"/>
    <w:rsid w:val="47404A38"/>
    <w:rsid w:val="47543636"/>
    <w:rsid w:val="47743CD8"/>
    <w:rsid w:val="47897BA4"/>
    <w:rsid w:val="47AF6ABF"/>
    <w:rsid w:val="47B2698D"/>
    <w:rsid w:val="47B70069"/>
    <w:rsid w:val="47E726FC"/>
    <w:rsid w:val="48952158"/>
    <w:rsid w:val="489B3AA8"/>
    <w:rsid w:val="48AF5B2B"/>
    <w:rsid w:val="48ED52D6"/>
    <w:rsid w:val="492E7EB7"/>
    <w:rsid w:val="49380D36"/>
    <w:rsid w:val="49425710"/>
    <w:rsid w:val="495F2991"/>
    <w:rsid w:val="497A6F54"/>
    <w:rsid w:val="497E7897"/>
    <w:rsid w:val="498F2D66"/>
    <w:rsid w:val="49D00F6E"/>
    <w:rsid w:val="49D77A53"/>
    <w:rsid w:val="4A2A68D0"/>
    <w:rsid w:val="4A3A658C"/>
    <w:rsid w:val="4A4E5684"/>
    <w:rsid w:val="4A547DF1"/>
    <w:rsid w:val="4A786951"/>
    <w:rsid w:val="4A9A7597"/>
    <w:rsid w:val="4A9B77CE"/>
    <w:rsid w:val="4ABB1C1E"/>
    <w:rsid w:val="4B2B2900"/>
    <w:rsid w:val="4B870C70"/>
    <w:rsid w:val="4B9F32EE"/>
    <w:rsid w:val="4C177328"/>
    <w:rsid w:val="4C5A0CB6"/>
    <w:rsid w:val="4C705F3A"/>
    <w:rsid w:val="4C8D691F"/>
    <w:rsid w:val="4CAE1A3B"/>
    <w:rsid w:val="4CD60F91"/>
    <w:rsid w:val="4CDB2104"/>
    <w:rsid w:val="4D4E6D7A"/>
    <w:rsid w:val="4D5D6FBD"/>
    <w:rsid w:val="4D6916BD"/>
    <w:rsid w:val="4D783C1E"/>
    <w:rsid w:val="4DCE3A17"/>
    <w:rsid w:val="4E3E6DEE"/>
    <w:rsid w:val="4E4771B4"/>
    <w:rsid w:val="4E50267E"/>
    <w:rsid w:val="4E815972"/>
    <w:rsid w:val="4E9F3E83"/>
    <w:rsid w:val="4EBF9B4B"/>
    <w:rsid w:val="4F155DA1"/>
    <w:rsid w:val="4F6463E1"/>
    <w:rsid w:val="4F7071B9"/>
    <w:rsid w:val="4F7F77E6"/>
    <w:rsid w:val="4F9C201E"/>
    <w:rsid w:val="4FB82BD0"/>
    <w:rsid w:val="4FDC278C"/>
    <w:rsid w:val="4FEA5107"/>
    <w:rsid w:val="502913D8"/>
    <w:rsid w:val="508D7BB9"/>
    <w:rsid w:val="508F1B83"/>
    <w:rsid w:val="50BF40CD"/>
    <w:rsid w:val="51307D57"/>
    <w:rsid w:val="51C969CF"/>
    <w:rsid w:val="52426781"/>
    <w:rsid w:val="52444AAB"/>
    <w:rsid w:val="529E60AD"/>
    <w:rsid w:val="52BF099D"/>
    <w:rsid w:val="52F0469B"/>
    <w:rsid w:val="53586552"/>
    <w:rsid w:val="53590226"/>
    <w:rsid w:val="539D0113"/>
    <w:rsid w:val="54554E92"/>
    <w:rsid w:val="54645CE5"/>
    <w:rsid w:val="54E4637D"/>
    <w:rsid w:val="54F63F7F"/>
    <w:rsid w:val="55445618"/>
    <w:rsid w:val="554D73BE"/>
    <w:rsid w:val="5560764A"/>
    <w:rsid w:val="56033CAD"/>
    <w:rsid w:val="561D19DF"/>
    <w:rsid w:val="563C00B7"/>
    <w:rsid w:val="569A3030"/>
    <w:rsid w:val="56D7F3FF"/>
    <w:rsid w:val="57825AE5"/>
    <w:rsid w:val="57C04DDC"/>
    <w:rsid w:val="57C84586"/>
    <w:rsid w:val="58002424"/>
    <w:rsid w:val="585316E8"/>
    <w:rsid w:val="58624406"/>
    <w:rsid w:val="58916ACC"/>
    <w:rsid w:val="58BA0C57"/>
    <w:rsid w:val="58D81BED"/>
    <w:rsid w:val="58F46A27"/>
    <w:rsid w:val="59100296"/>
    <w:rsid w:val="59867CF5"/>
    <w:rsid w:val="59B166C6"/>
    <w:rsid w:val="59B45970"/>
    <w:rsid w:val="59B47F65"/>
    <w:rsid w:val="59B60181"/>
    <w:rsid w:val="59F44805"/>
    <w:rsid w:val="5A307D36"/>
    <w:rsid w:val="5A7D0C9E"/>
    <w:rsid w:val="5AB32912"/>
    <w:rsid w:val="5ADD173D"/>
    <w:rsid w:val="5B4B4828"/>
    <w:rsid w:val="5B7200D7"/>
    <w:rsid w:val="5B9938B6"/>
    <w:rsid w:val="5BF63221"/>
    <w:rsid w:val="5C0828DD"/>
    <w:rsid w:val="5C2C297C"/>
    <w:rsid w:val="5C8005D2"/>
    <w:rsid w:val="5C9A18D7"/>
    <w:rsid w:val="5CB87D6C"/>
    <w:rsid w:val="5CEB6393"/>
    <w:rsid w:val="5CF5495D"/>
    <w:rsid w:val="5D4B2D64"/>
    <w:rsid w:val="5D7A3273"/>
    <w:rsid w:val="5D973E25"/>
    <w:rsid w:val="5DAB26BC"/>
    <w:rsid w:val="5DCC1D47"/>
    <w:rsid w:val="5DCF7A63"/>
    <w:rsid w:val="5E211941"/>
    <w:rsid w:val="5E681E04"/>
    <w:rsid w:val="5E700844"/>
    <w:rsid w:val="5E9792AF"/>
    <w:rsid w:val="5ECE1AC8"/>
    <w:rsid w:val="5EE27322"/>
    <w:rsid w:val="5EF66FDC"/>
    <w:rsid w:val="5F025C16"/>
    <w:rsid w:val="5F41229A"/>
    <w:rsid w:val="5F5C1091"/>
    <w:rsid w:val="5F7A39FE"/>
    <w:rsid w:val="5FA3133F"/>
    <w:rsid w:val="5FC1162D"/>
    <w:rsid w:val="5FD01870"/>
    <w:rsid w:val="5FDE441C"/>
    <w:rsid w:val="5FEC43ED"/>
    <w:rsid w:val="5FF41222"/>
    <w:rsid w:val="5FFD6B5E"/>
    <w:rsid w:val="60125EE4"/>
    <w:rsid w:val="601E69D3"/>
    <w:rsid w:val="6045400C"/>
    <w:rsid w:val="60602BF4"/>
    <w:rsid w:val="60AE2677"/>
    <w:rsid w:val="60F375C4"/>
    <w:rsid w:val="61371BA7"/>
    <w:rsid w:val="61A84853"/>
    <w:rsid w:val="61AB575C"/>
    <w:rsid w:val="61AF1DF2"/>
    <w:rsid w:val="61B551C2"/>
    <w:rsid w:val="61D75138"/>
    <w:rsid w:val="6258250A"/>
    <w:rsid w:val="625C73EB"/>
    <w:rsid w:val="62AE5EBC"/>
    <w:rsid w:val="62E73159"/>
    <w:rsid w:val="62FB4E56"/>
    <w:rsid w:val="63534C92"/>
    <w:rsid w:val="63624ED5"/>
    <w:rsid w:val="64300B2F"/>
    <w:rsid w:val="64596999"/>
    <w:rsid w:val="64C27A7D"/>
    <w:rsid w:val="65376CA6"/>
    <w:rsid w:val="653D3504"/>
    <w:rsid w:val="657F0D27"/>
    <w:rsid w:val="65FD2C93"/>
    <w:rsid w:val="660A11B5"/>
    <w:rsid w:val="660F35DB"/>
    <w:rsid w:val="662326FA"/>
    <w:rsid w:val="6635741D"/>
    <w:rsid w:val="664E7BA5"/>
    <w:rsid w:val="66935EA2"/>
    <w:rsid w:val="66A001EE"/>
    <w:rsid w:val="66A650D9"/>
    <w:rsid w:val="66CD4D5B"/>
    <w:rsid w:val="66FE8D06"/>
    <w:rsid w:val="671C3DDE"/>
    <w:rsid w:val="67717495"/>
    <w:rsid w:val="67A41618"/>
    <w:rsid w:val="67BB62FF"/>
    <w:rsid w:val="67BC60D5"/>
    <w:rsid w:val="67FF2D4D"/>
    <w:rsid w:val="683E4E52"/>
    <w:rsid w:val="68F70735"/>
    <w:rsid w:val="69140A20"/>
    <w:rsid w:val="694035C3"/>
    <w:rsid w:val="695C07E6"/>
    <w:rsid w:val="69676DA1"/>
    <w:rsid w:val="6A294057"/>
    <w:rsid w:val="6A3423F9"/>
    <w:rsid w:val="6A3D7B02"/>
    <w:rsid w:val="6A4B23A0"/>
    <w:rsid w:val="6A764D74"/>
    <w:rsid w:val="6A91501C"/>
    <w:rsid w:val="6ABF224C"/>
    <w:rsid w:val="6B0F76F1"/>
    <w:rsid w:val="6B2667E8"/>
    <w:rsid w:val="6B4D1FC7"/>
    <w:rsid w:val="6B6C0098"/>
    <w:rsid w:val="6B9D2F4E"/>
    <w:rsid w:val="6BD12BF8"/>
    <w:rsid w:val="6BD8A027"/>
    <w:rsid w:val="6C180827"/>
    <w:rsid w:val="6C465394"/>
    <w:rsid w:val="6C4909E0"/>
    <w:rsid w:val="6C632198"/>
    <w:rsid w:val="6C74085F"/>
    <w:rsid w:val="6D0B3EE8"/>
    <w:rsid w:val="6D205BE5"/>
    <w:rsid w:val="6D396CA7"/>
    <w:rsid w:val="6D4469CD"/>
    <w:rsid w:val="6E105C5A"/>
    <w:rsid w:val="6E2C31AA"/>
    <w:rsid w:val="6EB14F59"/>
    <w:rsid w:val="6EF30439"/>
    <w:rsid w:val="6EFAAC42"/>
    <w:rsid w:val="6F05289A"/>
    <w:rsid w:val="6F1A48B6"/>
    <w:rsid w:val="6F973F7E"/>
    <w:rsid w:val="6F9D4CC6"/>
    <w:rsid w:val="6FBEA84F"/>
    <w:rsid w:val="6FBF76B1"/>
    <w:rsid w:val="6FC710FB"/>
    <w:rsid w:val="6FDC1B6B"/>
    <w:rsid w:val="6FF66221"/>
    <w:rsid w:val="6FF869A5"/>
    <w:rsid w:val="707969B6"/>
    <w:rsid w:val="70CD594D"/>
    <w:rsid w:val="7101188A"/>
    <w:rsid w:val="71290899"/>
    <w:rsid w:val="713919D5"/>
    <w:rsid w:val="713A7708"/>
    <w:rsid w:val="71494FDF"/>
    <w:rsid w:val="71AF5789"/>
    <w:rsid w:val="71E620FF"/>
    <w:rsid w:val="71EA2756"/>
    <w:rsid w:val="7203677B"/>
    <w:rsid w:val="722F0678"/>
    <w:rsid w:val="724A7260"/>
    <w:rsid w:val="725E5358"/>
    <w:rsid w:val="731F249B"/>
    <w:rsid w:val="73760918"/>
    <w:rsid w:val="73DDF8CF"/>
    <w:rsid w:val="73E90294"/>
    <w:rsid w:val="74DF0134"/>
    <w:rsid w:val="74E53270"/>
    <w:rsid w:val="7507768A"/>
    <w:rsid w:val="75701E35"/>
    <w:rsid w:val="757D1819"/>
    <w:rsid w:val="75A31161"/>
    <w:rsid w:val="75D27C98"/>
    <w:rsid w:val="75E8722A"/>
    <w:rsid w:val="75F04A42"/>
    <w:rsid w:val="7608669F"/>
    <w:rsid w:val="762F6E99"/>
    <w:rsid w:val="763B3A90"/>
    <w:rsid w:val="764566BC"/>
    <w:rsid w:val="76992564"/>
    <w:rsid w:val="76DB492B"/>
    <w:rsid w:val="76EA2DC0"/>
    <w:rsid w:val="77163BB5"/>
    <w:rsid w:val="773B4CE6"/>
    <w:rsid w:val="77444BC6"/>
    <w:rsid w:val="77617526"/>
    <w:rsid w:val="776C7C79"/>
    <w:rsid w:val="77853FA0"/>
    <w:rsid w:val="77A960AD"/>
    <w:rsid w:val="77B16F60"/>
    <w:rsid w:val="77B54C2F"/>
    <w:rsid w:val="77F3865E"/>
    <w:rsid w:val="78A351D5"/>
    <w:rsid w:val="78B638A1"/>
    <w:rsid w:val="78EA354B"/>
    <w:rsid w:val="78EF46BD"/>
    <w:rsid w:val="78FB5758"/>
    <w:rsid w:val="792E07F2"/>
    <w:rsid w:val="79365A9B"/>
    <w:rsid w:val="79445EB6"/>
    <w:rsid w:val="794D48D7"/>
    <w:rsid w:val="799FDF09"/>
    <w:rsid w:val="79E955B1"/>
    <w:rsid w:val="7A035478"/>
    <w:rsid w:val="7A9279F6"/>
    <w:rsid w:val="7AAB59BB"/>
    <w:rsid w:val="7AADEB13"/>
    <w:rsid w:val="7ABD6AC1"/>
    <w:rsid w:val="7AC758F2"/>
    <w:rsid w:val="7ACC3250"/>
    <w:rsid w:val="7AD77D6A"/>
    <w:rsid w:val="7B252618"/>
    <w:rsid w:val="7B3376EA"/>
    <w:rsid w:val="7B3F1D80"/>
    <w:rsid w:val="7B3F7CAB"/>
    <w:rsid w:val="7B4707E1"/>
    <w:rsid w:val="7B7315D6"/>
    <w:rsid w:val="7B877092"/>
    <w:rsid w:val="7B9F0E56"/>
    <w:rsid w:val="7BC00F49"/>
    <w:rsid w:val="7BC02341"/>
    <w:rsid w:val="7BC30F39"/>
    <w:rsid w:val="7BD209F2"/>
    <w:rsid w:val="7BDB23B6"/>
    <w:rsid w:val="7BE97AEA"/>
    <w:rsid w:val="7BEFABCF"/>
    <w:rsid w:val="7BFDA58A"/>
    <w:rsid w:val="7BFE444E"/>
    <w:rsid w:val="7C1728A9"/>
    <w:rsid w:val="7C29438A"/>
    <w:rsid w:val="7C2B0102"/>
    <w:rsid w:val="7C6DBDB3"/>
    <w:rsid w:val="7C8F68E3"/>
    <w:rsid w:val="7C9939A2"/>
    <w:rsid w:val="7CC63527"/>
    <w:rsid w:val="7CED360A"/>
    <w:rsid w:val="7CF074DC"/>
    <w:rsid w:val="7CF16C56"/>
    <w:rsid w:val="7D6B2EAC"/>
    <w:rsid w:val="7D7E7737"/>
    <w:rsid w:val="7D960C66"/>
    <w:rsid w:val="7DB116D4"/>
    <w:rsid w:val="7DC228AE"/>
    <w:rsid w:val="7DF78086"/>
    <w:rsid w:val="7DFD3328"/>
    <w:rsid w:val="7DFF753E"/>
    <w:rsid w:val="7E2748F9"/>
    <w:rsid w:val="7E33504C"/>
    <w:rsid w:val="7E682F48"/>
    <w:rsid w:val="7E97382D"/>
    <w:rsid w:val="7F0569E9"/>
    <w:rsid w:val="7F1C6CB1"/>
    <w:rsid w:val="7F2A16C4"/>
    <w:rsid w:val="7F392F8A"/>
    <w:rsid w:val="7F3ACE33"/>
    <w:rsid w:val="7F3D43D5"/>
    <w:rsid w:val="7F46E012"/>
    <w:rsid w:val="7F7C7E08"/>
    <w:rsid w:val="7F9E1B7E"/>
    <w:rsid w:val="7FDBDFEA"/>
    <w:rsid w:val="7FF1407D"/>
    <w:rsid w:val="7FFC31F7"/>
    <w:rsid w:val="877EC32C"/>
    <w:rsid w:val="8EC68D87"/>
    <w:rsid w:val="956D3F48"/>
    <w:rsid w:val="97EE0006"/>
    <w:rsid w:val="9DFBD5C8"/>
    <w:rsid w:val="ABEC3DB1"/>
    <w:rsid w:val="AFEFFCF4"/>
    <w:rsid w:val="AFFC3F9E"/>
    <w:rsid w:val="B73F3137"/>
    <w:rsid w:val="BEEF277C"/>
    <w:rsid w:val="BFD7CA4D"/>
    <w:rsid w:val="C7FE635F"/>
    <w:rsid w:val="CDF7010B"/>
    <w:rsid w:val="CF7F103D"/>
    <w:rsid w:val="D29F4816"/>
    <w:rsid w:val="D3BE6E7D"/>
    <w:rsid w:val="DCD731D2"/>
    <w:rsid w:val="DCFB16C8"/>
    <w:rsid w:val="DEFD12FD"/>
    <w:rsid w:val="DF7FC93F"/>
    <w:rsid w:val="DFC6C58E"/>
    <w:rsid w:val="DFD7120C"/>
    <w:rsid w:val="E1867EEE"/>
    <w:rsid w:val="EDED542E"/>
    <w:rsid w:val="EF2BFD78"/>
    <w:rsid w:val="EFE6F3B5"/>
    <w:rsid w:val="EFFE4CEB"/>
    <w:rsid w:val="EFFFC865"/>
    <w:rsid w:val="F3FF62A2"/>
    <w:rsid w:val="F4FBD1A9"/>
    <w:rsid w:val="F6FF1C2F"/>
    <w:rsid w:val="F71EFB13"/>
    <w:rsid w:val="F7317DF5"/>
    <w:rsid w:val="F77AE235"/>
    <w:rsid w:val="F7FBFF8B"/>
    <w:rsid w:val="F7FC7D4E"/>
    <w:rsid w:val="F9FDC2B6"/>
    <w:rsid w:val="FDCB9AEB"/>
    <w:rsid w:val="FF3B6618"/>
    <w:rsid w:val="FF5F49DA"/>
    <w:rsid w:val="FF6AAA37"/>
    <w:rsid w:val="FF7B93CF"/>
    <w:rsid w:val="FF7F8586"/>
    <w:rsid w:val="FFA98A42"/>
    <w:rsid w:val="FFEAB66D"/>
    <w:rsid w:val="FFFC9D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99"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33"/>
    <w:qFormat/>
    <w:uiPriority w:val="0"/>
    <w:pPr>
      <w:keepNext/>
      <w:keepLines/>
      <w:spacing w:before="340" w:after="330" w:line="578" w:lineRule="auto"/>
      <w:outlineLvl w:val="0"/>
    </w:pPr>
    <w:rPr>
      <w:b/>
      <w:bCs/>
      <w:kern w:val="44"/>
      <w:sz w:val="44"/>
      <w:szCs w:val="44"/>
    </w:rPr>
  </w:style>
  <w:style w:type="paragraph" w:styleId="5">
    <w:name w:val="heading 3"/>
    <w:basedOn w:val="1"/>
    <w:next w:val="1"/>
    <w:unhideWhenUsed/>
    <w:qFormat/>
    <w:uiPriority w:val="9"/>
    <w:pPr>
      <w:keepNext/>
      <w:keepLines/>
      <w:spacing w:before="260" w:after="260" w:line="416" w:lineRule="auto"/>
      <w:outlineLvl w:val="2"/>
    </w:pPr>
    <w:rPr>
      <w:b/>
      <w:bCs/>
      <w:szCs w:val="32"/>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rPr>
      <w:rFonts w:eastAsia="方正仿宋简体"/>
      <w:sz w:val="32"/>
      <w:szCs w:val="32"/>
    </w:rPr>
  </w:style>
  <w:style w:type="paragraph" w:styleId="3">
    <w:name w:val="Body Text Indent"/>
    <w:basedOn w:val="1"/>
    <w:qFormat/>
    <w:uiPriority w:val="0"/>
    <w:pPr>
      <w:spacing w:after="120"/>
      <w:ind w:left="420" w:leftChars="200"/>
    </w:pPr>
    <w:rPr>
      <w:kern w:val="0"/>
      <w:sz w:val="20"/>
    </w:rPr>
  </w:style>
  <w:style w:type="paragraph" w:styleId="6">
    <w:name w:val="annotation text"/>
    <w:basedOn w:val="1"/>
    <w:link w:val="27"/>
    <w:qFormat/>
    <w:uiPriority w:val="0"/>
    <w:pPr>
      <w:jc w:val="left"/>
    </w:pPr>
  </w:style>
  <w:style w:type="paragraph" w:styleId="7">
    <w:name w:val="Body Text"/>
    <w:basedOn w:val="1"/>
    <w:link w:val="38"/>
    <w:qFormat/>
    <w:uiPriority w:val="0"/>
    <w:pPr>
      <w:spacing w:after="120"/>
    </w:pPr>
  </w:style>
  <w:style w:type="paragraph" w:styleId="8">
    <w:name w:val="Plain Text"/>
    <w:basedOn w:val="1"/>
    <w:qFormat/>
    <w:uiPriority w:val="99"/>
    <w:rPr>
      <w:rFonts w:ascii="宋体" w:hAnsi="Courier New" w:cs="宋体"/>
      <w:szCs w:val="21"/>
    </w:rPr>
  </w:style>
  <w:style w:type="paragraph" w:styleId="9">
    <w:name w:val="Balloon Text"/>
    <w:basedOn w:val="1"/>
    <w:link w:val="36"/>
    <w:qFormat/>
    <w:uiPriority w:val="0"/>
    <w:rPr>
      <w:sz w:val="18"/>
      <w:szCs w:val="18"/>
    </w:rPr>
  </w:style>
  <w:style w:type="paragraph" w:styleId="10">
    <w:name w:val="footer"/>
    <w:basedOn w:val="1"/>
    <w:link w:val="31"/>
    <w:qFormat/>
    <w:uiPriority w:val="99"/>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qFormat/>
    <w:uiPriority w:val="39"/>
  </w:style>
  <w:style w:type="paragraph" w:styleId="13">
    <w:name w:val="footnote text"/>
    <w:basedOn w:val="1"/>
    <w:link w:val="29"/>
    <w:qFormat/>
    <w:uiPriority w:val="99"/>
    <w:pPr>
      <w:snapToGrid w:val="0"/>
      <w:jc w:val="left"/>
    </w:pPr>
    <w:rPr>
      <w:sz w:val="18"/>
      <w:szCs w:val="18"/>
    </w:rPr>
  </w:style>
  <w:style w:type="paragraph" w:styleId="14">
    <w:name w:val="toc 2"/>
    <w:basedOn w:val="1"/>
    <w:next w:val="1"/>
    <w:qFormat/>
    <w:uiPriority w:val="39"/>
    <w:pPr>
      <w:ind w:left="420" w:leftChars="200"/>
    </w:pPr>
  </w:style>
  <w:style w:type="paragraph" w:styleId="1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6">
    <w:name w:val="Normal (Web)"/>
    <w:basedOn w:val="1"/>
    <w:qFormat/>
    <w:uiPriority w:val="0"/>
    <w:pPr>
      <w:spacing w:beforeAutospacing="1" w:afterAutospacing="1"/>
      <w:jc w:val="left"/>
    </w:pPr>
    <w:rPr>
      <w:kern w:val="0"/>
      <w:sz w:val="24"/>
    </w:rPr>
  </w:style>
  <w:style w:type="paragraph" w:styleId="17">
    <w:name w:val="annotation subject"/>
    <w:basedOn w:val="6"/>
    <w:next w:val="6"/>
    <w:link w:val="28"/>
    <w:qFormat/>
    <w:uiPriority w:val="0"/>
    <w:rPr>
      <w:b/>
      <w:bCs/>
    </w:rPr>
  </w:style>
  <w:style w:type="character" w:styleId="20">
    <w:name w:val="Strong"/>
    <w:basedOn w:val="19"/>
    <w:qFormat/>
    <w:uiPriority w:val="0"/>
    <w:rPr>
      <w:b/>
    </w:rPr>
  </w:style>
  <w:style w:type="character" w:styleId="21">
    <w:name w:val="FollowedHyperlink"/>
    <w:basedOn w:val="19"/>
    <w:qFormat/>
    <w:uiPriority w:val="0"/>
    <w:rPr>
      <w:color w:val="005C81"/>
      <w:u w:val="none"/>
    </w:rPr>
  </w:style>
  <w:style w:type="character" w:styleId="22">
    <w:name w:val="Emphasis"/>
    <w:basedOn w:val="19"/>
    <w:qFormat/>
    <w:uiPriority w:val="0"/>
  </w:style>
  <w:style w:type="character" w:styleId="23">
    <w:name w:val="Hyperlink"/>
    <w:basedOn w:val="19"/>
    <w:unhideWhenUsed/>
    <w:qFormat/>
    <w:uiPriority w:val="99"/>
    <w:rPr>
      <w:color w:val="0000FF" w:themeColor="hyperlink"/>
      <w:u w:val="single"/>
      <w14:textFill>
        <w14:solidFill>
          <w14:schemeClr w14:val="hlink"/>
        </w14:solidFill>
      </w14:textFill>
    </w:rPr>
  </w:style>
  <w:style w:type="character" w:styleId="24">
    <w:name w:val="annotation reference"/>
    <w:basedOn w:val="19"/>
    <w:qFormat/>
    <w:uiPriority w:val="99"/>
    <w:rPr>
      <w:sz w:val="21"/>
      <w:szCs w:val="21"/>
    </w:rPr>
  </w:style>
  <w:style w:type="character" w:styleId="25">
    <w:name w:val="footnote reference"/>
    <w:basedOn w:val="19"/>
    <w:qFormat/>
    <w:uiPriority w:val="99"/>
    <w:rPr>
      <w:vertAlign w:val="superscript"/>
    </w:rPr>
  </w:style>
  <w:style w:type="paragraph" w:customStyle="1" w:styleId="26">
    <w:name w:val="样式1"/>
    <w:basedOn w:val="1"/>
    <w:qFormat/>
    <w:uiPriority w:val="0"/>
    <w:pPr>
      <w:ind w:firstLine="602"/>
    </w:pPr>
    <w:rPr>
      <w:rFonts w:ascii="仿宋" w:hAnsi="仿宋" w:eastAsia="仿宋"/>
      <w:sz w:val="30"/>
      <w:szCs w:val="30"/>
    </w:rPr>
  </w:style>
  <w:style w:type="character" w:customStyle="1" w:styleId="27">
    <w:name w:val="批注文字 字符"/>
    <w:basedOn w:val="19"/>
    <w:link w:val="6"/>
    <w:qFormat/>
    <w:uiPriority w:val="0"/>
    <w:rPr>
      <w:kern w:val="2"/>
      <w:sz w:val="21"/>
      <w:szCs w:val="24"/>
    </w:rPr>
  </w:style>
  <w:style w:type="character" w:customStyle="1" w:styleId="28">
    <w:name w:val="批注主题 字符"/>
    <w:basedOn w:val="27"/>
    <w:link w:val="17"/>
    <w:qFormat/>
    <w:uiPriority w:val="0"/>
    <w:rPr>
      <w:b/>
      <w:bCs/>
      <w:kern w:val="2"/>
      <w:sz w:val="21"/>
      <w:szCs w:val="24"/>
    </w:rPr>
  </w:style>
  <w:style w:type="character" w:customStyle="1" w:styleId="29">
    <w:name w:val="脚注文本 字符"/>
    <w:basedOn w:val="19"/>
    <w:link w:val="13"/>
    <w:qFormat/>
    <w:uiPriority w:val="99"/>
    <w:rPr>
      <w:kern w:val="2"/>
      <w:sz w:val="18"/>
      <w:szCs w:val="18"/>
    </w:rPr>
  </w:style>
  <w:style w:type="paragraph" w:styleId="30">
    <w:name w:val="List Paragraph"/>
    <w:basedOn w:val="1"/>
    <w:qFormat/>
    <w:uiPriority w:val="99"/>
    <w:pPr>
      <w:ind w:firstLine="420" w:firstLineChars="200"/>
    </w:pPr>
  </w:style>
  <w:style w:type="character" w:customStyle="1" w:styleId="31">
    <w:name w:val="页脚 字符"/>
    <w:basedOn w:val="19"/>
    <w:link w:val="10"/>
    <w:qFormat/>
    <w:uiPriority w:val="99"/>
    <w:rPr>
      <w:kern w:val="2"/>
      <w:sz w:val="18"/>
      <w:szCs w:val="24"/>
    </w:rPr>
  </w:style>
  <w:style w:type="paragraph" w:customStyle="1" w:styleId="32">
    <w:name w:val="修订1"/>
    <w:hidden/>
    <w:semiHidden/>
    <w:qFormat/>
    <w:uiPriority w:val="99"/>
    <w:rPr>
      <w:rFonts w:ascii="Calibri" w:hAnsi="Calibri" w:eastAsia="宋体" w:cs="Times New Roman"/>
      <w:kern w:val="2"/>
      <w:sz w:val="21"/>
      <w:szCs w:val="24"/>
      <w:lang w:val="en-US" w:eastAsia="zh-CN" w:bidi="ar-SA"/>
    </w:rPr>
  </w:style>
  <w:style w:type="character" w:customStyle="1" w:styleId="33">
    <w:name w:val="标题 1 字符"/>
    <w:basedOn w:val="19"/>
    <w:link w:val="4"/>
    <w:qFormat/>
    <w:uiPriority w:val="0"/>
    <w:rPr>
      <w:b/>
      <w:bCs/>
      <w:kern w:val="44"/>
      <w:sz w:val="44"/>
      <w:szCs w:val="44"/>
    </w:rPr>
  </w:style>
  <w:style w:type="paragraph" w:customStyle="1" w:styleId="34">
    <w:name w:val="TOC 标题1"/>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35">
    <w:name w:val="修订2"/>
    <w:hidden/>
    <w:semiHidden/>
    <w:qFormat/>
    <w:uiPriority w:val="99"/>
    <w:rPr>
      <w:rFonts w:ascii="Calibri" w:hAnsi="Calibri" w:eastAsia="宋体" w:cs="Times New Roman"/>
      <w:kern w:val="2"/>
      <w:sz w:val="21"/>
      <w:szCs w:val="24"/>
      <w:lang w:val="en-US" w:eastAsia="zh-CN" w:bidi="ar-SA"/>
    </w:rPr>
  </w:style>
  <w:style w:type="character" w:customStyle="1" w:styleId="36">
    <w:name w:val="批注框文本 字符"/>
    <w:basedOn w:val="19"/>
    <w:link w:val="9"/>
    <w:qFormat/>
    <w:uiPriority w:val="0"/>
    <w:rPr>
      <w:kern w:val="2"/>
      <w:sz w:val="18"/>
      <w:szCs w:val="18"/>
    </w:rPr>
  </w:style>
  <w:style w:type="paragraph" w:customStyle="1" w:styleId="37">
    <w:name w:val="修订3"/>
    <w:hidden/>
    <w:semiHidden/>
    <w:qFormat/>
    <w:uiPriority w:val="99"/>
    <w:rPr>
      <w:rFonts w:ascii="Calibri" w:hAnsi="Calibri" w:eastAsia="宋体" w:cs="Times New Roman"/>
      <w:kern w:val="2"/>
      <w:sz w:val="21"/>
      <w:szCs w:val="24"/>
      <w:lang w:val="en-US" w:eastAsia="zh-CN" w:bidi="ar-SA"/>
    </w:rPr>
  </w:style>
  <w:style w:type="character" w:customStyle="1" w:styleId="38">
    <w:name w:val="正文文本 字符"/>
    <w:basedOn w:val="19"/>
    <w:link w:val="7"/>
    <w:qFormat/>
    <w:uiPriority w:val="0"/>
    <w:rPr>
      <w:rFonts w:ascii="Calibri" w:hAnsi="Calibri"/>
      <w:kern w:val="2"/>
      <w:sz w:val="21"/>
      <w:szCs w:val="24"/>
    </w:rPr>
  </w:style>
  <w:style w:type="paragraph" w:customStyle="1" w:styleId="39">
    <w:name w:val="正文1"/>
    <w:qFormat/>
    <w:uiPriority w:val="0"/>
    <w:pPr>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14</Pages>
  <Words>6145</Words>
  <Characters>6148</Characters>
  <Lines>48</Lines>
  <Paragraphs>13</Paragraphs>
  <TotalTime>1</TotalTime>
  <ScaleCrop>false</ScaleCrop>
  <LinksUpToDate>false</LinksUpToDate>
  <CharactersWithSpaces>6171</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2023-03-10T17:31:00Z</dcterms:created>
  <dc:creator>Administrator</dc:creator>
  <cp:lastModifiedBy>oa</cp:lastModifiedBy>
  <cp:lastPrinted>2023-06-30T17:46:00Z</cp:lastPrinted>
  <dcterms:modified xsi:type="dcterms:W3CDTF">2023-06-30T12:01:52Z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5A5C2043AC604D29BAA7716048E24AAC_13</vt:lpwstr>
  </property>
</Properties>
</file>