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b/>
          <w:szCs w:val="21"/>
        </w:rPr>
      </w:pPr>
      <w:bookmarkStart w:id="1" w:name="_GoBack"/>
      <w:bookmarkEnd w:id="1"/>
    </w:p>
    <w:p>
      <w:pPr>
        <w:spacing w:line="440" w:lineRule="exact"/>
        <w:jc w:val="center"/>
        <w:rPr>
          <w:rFonts w:ascii="黑体" w:hAnsi="Times New Roman" w:eastAsia="黑体"/>
          <w:sz w:val="36"/>
          <w:szCs w:val="36"/>
        </w:rPr>
      </w:pPr>
      <w:r>
        <w:rPr>
          <w:rFonts w:hint="eastAsia" w:ascii="黑体" w:hAnsi="Times New Roman" w:eastAsia="黑体"/>
          <w:sz w:val="36"/>
          <w:szCs w:val="36"/>
        </w:rPr>
        <w:t>经营者集中简易案件公示表</w:t>
      </w:r>
    </w:p>
    <w:p>
      <w:pPr>
        <w:spacing w:line="440" w:lineRule="exact"/>
        <w:rPr>
          <w:rFonts w:ascii="黑体" w:hAnsi="Times New Roman" w:eastAsia="黑体"/>
          <w:sz w:val="28"/>
          <w:szCs w:val="28"/>
        </w:rPr>
      </w:pPr>
    </w:p>
    <w:p>
      <w:pPr>
        <w:spacing w:line="440" w:lineRule="exact"/>
        <w:ind w:firstLine="845" w:firstLineChars="302"/>
        <w:rPr>
          <w:rFonts w:ascii="仿宋_GB2312" w:hAnsi="Times New Roman" w:eastAsia="仿宋_GB2312"/>
          <w:sz w:val="28"/>
          <w:szCs w:val="28"/>
        </w:rPr>
      </w:pPr>
    </w:p>
    <w:tbl>
      <w:tblPr>
        <w:tblStyle w:val="9"/>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014"/>
        <w:gridCol w:w="4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shd w:val="clear" w:color="auto" w:fill="D9D9D9"/>
            <w:vAlign w:val="center"/>
          </w:tcPr>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案件名称</w:t>
            </w:r>
          </w:p>
        </w:tc>
        <w:tc>
          <w:tcPr>
            <w:tcW w:w="6949" w:type="dxa"/>
            <w:gridSpan w:val="2"/>
          </w:tcPr>
          <w:p>
            <w:pPr>
              <w:tabs>
                <w:tab w:val="left" w:pos="1800"/>
              </w:tabs>
              <w:spacing w:line="360" w:lineRule="auto"/>
              <w:rPr>
                <w:rFonts w:ascii="宋体" w:hAnsi="宋体" w:cs="宋体"/>
                <w:color w:val="333333"/>
                <w:kern w:val="0"/>
                <w:sz w:val="24"/>
                <w:szCs w:val="24"/>
              </w:rPr>
            </w:pPr>
            <w:r>
              <w:rPr>
                <w:rFonts w:hint="eastAsia" w:ascii="宋体" w:hAnsi="宋体" w:cs="宋体"/>
                <w:color w:val="333333"/>
                <w:kern w:val="0"/>
                <w:sz w:val="24"/>
                <w:szCs w:val="24"/>
              </w:rPr>
              <w:t>重庆忠县燃气有限责任公司与重庆市通瑞农业发展有限公司等经营者新设合营企业案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trPr>
        <w:tc>
          <w:tcPr>
            <w:tcW w:w="1809" w:type="dxa"/>
            <w:shd w:val="clear" w:color="auto" w:fill="D9D9D9"/>
            <w:vAlign w:val="center"/>
          </w:tcPr>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交易概况</w:t>
            </w:r>
          </w:p>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（限200字内）</w:t>
            </w: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重庆忠县燃气有限责任公司（“忠县燃气”）与重庆市通瑞农业发展有限公司（“通瑞农业”）、重庆市通达投资有限公司（“通达投资”）签署合资合作协议，拟新设一家合营企业。</w:t>
            </w:r>
            <w:bookmarkStart w:id="0" w:name="_Hlk109979392"/>
            <w:r>
              <w:rPr>
                <w:rFonts w:hint="eastAsia" w:ascii="宋体" w:hAnsi="宋体" w:cs="宋体"/>
                <w:color w:val="333333"/>
                <w:kern w:val="0"/>
                <w:sz w:val="24"/>
                <w:szCs w:val="24"/>
              </w:rPr>
              <w:t>交易后，忠县燃气、通瑞农业和通达投资分别持有合营企业</w:t>
            </w:r>
            <w:r>
              <w:rPr>
                <w:rFonts w:ascii="宋体" w:hAnsi="宋体" w:cs="宋体"/>
                <w:color w:val="333333"/>
                <w:kern w:val="0"/>
                <w:sz w:val="24"/>
                <w:szCs w:val="24"/>
              </w:rPr>
              <w:t>51%</w:t>
            </w:r>
            <w:r>
              <w:rPr>
                <w:rFonts w:hint="eastAsia" w:ascii="宋体" w:hAnsi="宋体" w:cs="宋体"/>
                <w:color w:val="333333"/>
                <w:kern w:val="0"/>
                <w:sz w:val="24"/>
                <w:szCs w:val="24"/>
              </w:rPr>
              <w:t>、2</w:t>
            </w:r>
            <w:r>
              <w:rPr>
                <w:rFonts w:ascii="宋体" w:hAnsi="宋体" w:cs="宋体"/>
                <w:color w:val="333333"/>
                <w:kern w:val="0"/>
                <w:sz w:val="24"/>
                <w:szCs w:val="24"/>
              </w:rPr>
              <w:t>9</w:t>
            </w:r>
            <w:r>
              <w:rPr>
                <w:rFonts w:hint="eastAsia" w:ascii="宋体" w:hAnsi="宋体" w:cs="宋体"/>
                <w:color w:val="333333"/>
                <w:kern w:val="0"/>
                <w:sz w:val="24"/>
                <w:szCs w:val="24"/>
              </w:rPr>
              <w:t>%和2</w:t>
            </w:r>
            <w:r>
              <w:rPr>
                <w:rFonts w:ascii="宋体" w:hAnsi="宋体" w:cs="宋体"/>
                <w:color w:val="333333"/>
                <w:kern w:val="0"/>
                <w:sz w:val="24"/>
                <w:szCs w:val="24"/>
              </w:rPr>
              <w:t>0%</w:t>
            </w:r>
            <w:r>
              <w:rPr>
                <w:rFonts w:hint="eastAsia" w:ascii="宋体" w:hAnsi="宋体" w:cs="宋体"/>
                <w:color w:val="333333"/>
                <w:kern w:val="0"/>
                <w:sz w:val="24"/>
                <w:szCs w:val="24"/>
              </w:rPr>
              <w:t>的股权，忠县燃气、通瑞农业和通达投资共同控制合营企业。</w:t>
            </w:r>
            <w:bookmarkEnd w:id="0"/>
            <w:r>
              <w:rPr>
                <w:rFonts w:hint="eastAsia" w:ascii="宋体" w:hAnsi="宋体" w:cs="宋体"/>
                <w:color w:val="333333"/>
                <w:kern w:val="0"/>
                <w:sz w:val="24"/>
                <w:szCs w:val="24"/>
              </w:rPr>
              <w:t>合营企业主要从事天然气批发业务。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参与集中的</w:t>
            </w:r>
          </w:p>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经营者简介</w:t>
            </w:r>
          </w:p>
        </w:tc>
        <w:tc>
          <w:tcPr>
            <w:tcW w:w="2014"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1、重庆忠县燃气有限责任公司（“忠县燃气”）</w:t>
            </w:r>
          </w:p>
        </w:tc>
        <w:tc>
          <w:tcPr>
            <w:tcW w:w="4935"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忠县燃气于</w:t>
            </w:r>
            <w:r>
              <w:rPr>
                <w:rFonts w:ascii="宋体" w:hAnsi="宋体" w:cs="宋体"/>
                <w:color w:val="333333"/>
                <w:kern w:val="0"/>
                <w:sz w:val="24"/>
                <w:szCs w:val="24"/>
              </w:rPr>
              <w:t>2008</w:t>
            </w:r>
            <w:r>
              <w:rPr>
                <w:rFonts w:hint="eastAsia" w:ascii="宋体" w:hAnsi="宋体" w:cs="宋体"/>
                <w:color w:val="333333"/>
                <w:kern w:val="0"/>
                <w:sz w:val="24"/>
                <w:szCs w:val="24"/>
              </w:rPr>
              <w:t>年</w:t>
            </w:r>
            <w:r>
              <w:rPr>
                <w:rFonts w:ascii="宋体" w:hAnsi="宋体" w:cs="宋体"/>
                <w:color w:val="333333"/>
                <w:kern w:val="0"/>
                <w:sz w:val="24"/>
                <w:szCs w:val="24"/>
              </w:rPr>
              <w:t>7</w:t>
            </w:r>
            <w:r>
              <w:rPr>
                <w:rFonts w:hint="eastAsia" w:ascii="宋体" w:hAnsi="宋体" w:cs="宋体"/>
                <w:color w:val="333333"/>
                <w:kern w:val="0"/>
                <w:sz w:val="24"/>
                <w:szCs w:val="24"/>
              </w:rPr>
              <w:t>月</w:t>
            </w:r>
            <w:r>
              <w:rPr>
                <w:rFonts w:ascii="宋体" w:hAnsi="宋体" w:cs="宋体"/>
                <w:color w:val="333333"/>
                <w:kern w:val="0"/>
                <w:sz w:val="24"/>
                <w:szCs w:val="24"/>
              </w:rPr>
              <w:t>22</w:t>
            </w:r>
            <w:r>
              <w:rPr>
                <w:rFonts w:hint="eastAsia" w:ascii="宋体" w:hAnsi="宋体" w:cs="宋体"/>
                <w:color w:val="333333"/>
                <w:kern w:val="0"/>
                <w:sz w:val="24"/>
                <w:szCs w:val="24"/>
              </w:rPr>
              <w:t>日成立于重庆市，主要业务</w:t>
            </w:r>
            <w:r>
              <w:rPr>
                <w:rFonts w:hint="eastAsia" w:ascii="宋体" w:hAnsi="宋体" w:cs="宋体"/>
                <w:color w:val="333333"/>
                <w:kern w:val="0"/>
                <w:sz w:val="24"/>
                <w:szCs w:val="24"/>
                <w:lang w:eastAsia="zh-CN"/>
              </w:rPr>
              <w:t>是</w:t>
            </w:r>
            <w:r>
              <w:rPr>
                <w:rFonts w:hint="eastAsia" w:ascii="宋体" w:hAnsi="宋体" w:cs="宋体"/>
                <w:color w:val="333333"/>
                <w:kern w:val="0"/>
                <w:sz w:val="24"/>
                <w:szCs w:val="24"/>
              </w:rPr>
              <w:t>城市天然气</w:t>
            </w:r>
            <w:r>
              <w:rPr>
                <w:rFonts w:hint="eastAsia" w:ascii="宋体" w:hAnsi="宋体" w:cs="宋体"/>
                <w:color w:val="333333"/>
                <w:kern w:val="0"/>
                <w:sz w:val="24"/>
                <w:szCs w:val="24"/>
                <w:lang w:eastAsia="zh-CN"/>
              </w:rPr>
              <w:t>分销</w:t>
            </w:r>
            <w:r>
              <w:rPr>
                <w:rFonts w:hint="eastAsia" w:ascii="宋体" w:hAnsi="宋体" w:cs="宋体"/>
                <w:color w:val="333333"/>
                <w:kern w:val="0"/>
                <w:sz w:val="24"/>
                <w:szCs w:val="24"/>
              </w:rPr>
              <w:t>、天然气安装、综合服务。</w:t>
            </w:r>
          </w:p>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忠县燃气的最终控制人为华润燃气控股有限公司，主要业务</w:t>
            </w:r>
            <w:r>
              <w:rPr>
                <w:rFonts w:hint="eastAsia" w:ascii="宋体" w:hAnsi="宋体" w:cs="宋体"/>
                <w:color w:val="333333"/>
                <w:kern w:val="0"/>
                <w:sz w:val="24"/>
                <w:szCs w:val="24"/>
                <w:lang w:eastAsia="zh-CN"/>
              </w:rPr>
              <w:t>是</w:t>
            </w:r>
            <w:r>
              <w:rPr>
                <w:rFonts w:hint="eastAsia" w:ascii="宋体" w:hAnsi="宋体" w:cs="宋体"/>
                <w:color w:val="333333"/>
                <w:kern w:val="0"/>
                <w:sz w:val="24"/>
                <w:szCs w:val="24"/>
              </w:rPr>
              <w:t>城市天然气</w:t>
            </w:r>
            <w:r>
              <w:rPr>
                <w:rFonts w:hint="eastAsia" w:ascii="宋体" w:hAnsi="宋体" w:cs="宋体"/>
                <w:color w:val="333333"/>
                <w:kern w:val="0"/>
                <w:sz w:val="24"/>
                <w:szCs w:val="24"/>
                <w:lang w:eastAsia="zh-CN"/>
              </w:rPr>
              <w:t>分销</w:t>
            </w:r>
            <w:r>
              <w:rPr>
                <w:rFonts w:hint="eastAsia" w:ascii="宋体" w:hAnsi="宋体" w:cs="宋体"/>
                <w:color w:val="333333"/>
                <w:kern w:val="0"/>
                <w:sz w:val="24"/>
                <w:szCs w:val="24"/>
              </w:rPr>
              <w:t>业务，包括城市管道天然气分销及天然气加气站业务及燃气器具销售</w:t>
            </w:r>
            <w:r>
              <w:rPr>
                <w:rFonts w:ascii="宋体" w:hAnsi="宋体" w:cs="宋体"/>
                <w:color w:val="333333"/>
                <w:kern w:val="0"/>
                <w:sz w:val="24"/>
                <w:szCs w:val="24"/>
              </w:rPr>
              <w:t>等</w:t>
            </w:r>
            <w:r>
              <w:rPr>
                <w:rFonts w:hint="eastAsia" w:ascii="宋体" w:hAnsi="宋体" w:cs="宋体"/>
                <w:color w:val="333333"/>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2014"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2、重庆市通瑞农业发展有限公司（“通瑞农业”）</w:t>
            </w:r>
          </w:p>
        </w:tc>
        <w:tc>
          <w:tcPr>
            <w:tcW w:w="4935"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通瑞农业于</w:t>
            </w:r>
            <w:r>
              <w:rPr>
                <w:rFonts w:ascii="宋体" w:hAnsi="宋体" w:cs="宋体"/>
                <w:color w:val="333333"/>
                <w:kern w:val="0"/>
                <w:sz w:val="24"/>
                <w:szCs w:val="24"/>
              </w:rPr>
              <w:t>2007</w:t>
            </w:r>
            <w:r>
              <w:rPr>
                <w:rFonts w:hint="eastAsia" w:ascii="宋体" w:hAnsi="宋体" w:cs="宋体"/>
                <w:color w:val="333333"/>
                <w:kern w:val="0"/>
                <w:sz w:val="24"/>
                <w:szCs w:val="24"/>
              </w:rPr>
              <w:t>年</w:t>
            </w:r>
            <w:r>
              <w:rPr>
                <w:rFonts w:ascii="宋体" w:hAnsi="宋体" w:cs="宋体"/>
                <w:color w:val="333333"/>
                <w:kern w:val="0"/>
                <w:sz w:val="24"/>
                <w:szCs w:val="24"/>
              </w:rPr>
              <w:t>6</w:t>
            </w:r>
            <w:r>
              <w:rPr>
                <w:rFonts w:hint="eastAsia" w:ascii="宋体" w:hAnsi="宋体" w:cs="宋体"/>
                <w:color w:val="333333"/>
                <w:kern w:val="0"/>
                <w:sz w:val="24"/>
                <w:szCs w:val="24"/>
              </w:rPr>
              <w:t>月</w:t>
            </w:r>
            <w:r>
              <w:rPr>
                <w:rFonts w:ascii="宋体" w:hAnsi="宋体" w:cs="宋体"/>
                <w:color w:val="333333"/>
                <w:kern w:val="0"/>
                <w:sz w:val="24"/>
                <w:szCs w:val="24"/>
              </w:rPr>
              <w:t>6</w:t>
            </w:r>
            <w:r>
              <w:rPr>
                <w:rFonts w:hint="eastAsia" w:ascii="宋体" w:hAnsi="宋体" w:cs="宋体"/>
                <w:color w:val="333333"/>
                <w:kern w:val="0"/>
                <w:sz w:val="24"/>
                <w:szCs w:val="24"/>
              </w:rPr>
              <w:t>日成立于重庆市，主要业务为从事工业园区土地储备、城市基础设施建设、土地整治。通瑞农业是忠县国有资产事务管理中心的下属企业。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2014"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3、重庆市通达投资有限公司（“通达投资”）</w:t>
            </w:r>
          </w:p>
        </w:tc>
        <w:tc>
          <w:tcPr>
            <w:tcW w:w="4935" w:type="dxa"/>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通达投资于</w:t>
            </w:r>
            <w:r>
              <w:rPr>
                <w:rFonts w:ascii="宋体" w:hAnsi="宋体" w:cs="宋体"/>
                <w:color w:val="333333"/>
                <w:kern w:val="0"/>
                <w:sz w:val="24"/>
                <w:szCs w:val="24"/>
              </w:rPr>
              <w:t>2005</w:t>
            </w:r>
            <w:r>
              <w:rPr>
                <w:rFonts w:hint="eastAsia" w:ascii="宋体" w:hAnsi="宋体" w:cs="宋体"/>
                <w:color w:val="333333"/>
                <w:kern w:val="0"/>
                <w:sz w:val="24"/>
                <w:szCs w:val="24"/>
              </w:rPr>
              <w:t>年</w:t>
            </w:r>
            <w:r>
              <w:rPr>
                <w:rFonts w:ascii="宋体" w:hAnsi="宋体" w:cs="宋体"/>
                <w:color w:val="333333"/>
                <w:kern w:val="0"/>
                <w:sz w:val="24"/>
                <w:szCs w:val="24"/>
              </w:rPr>
              <w:t>12</w:t>
            </w:r>
            <w:r>
              <w:rPr>
                <w:rFonts w:hint="eastAsia" w:ascii="宋体" w:hAnsi="宋体" w:cs="宋体"/>
                <w:color w:val="333333"/>
                <w:kern w:val="0"/>
                <w:sz w:val="24"/>
                <w:szCs w:val="24"/>
              </w:rPr>
              <w:t>月1</w:t>
            </w:r>
            <w:r>
              <w:rPr>
                <w:rFonts w:ascii="宋体" w:hAnsi="宋体" w:cs="宋体"/>
                <w:color w:val="333333"/>
                <w:kern w:val="0"/>
                <w:sz w:val="24"/>
                <w:szCs w:val="24"/>
              </w:rPr>
              <w:t>6</w:t>
            </w:r>
            <w:r>
              <w:rPr>
                <w:rFonts w:hint="eastAsia" w:ascii="宋体" w:hAnsi="宋体" w:cs="宋体"/>
                <w:color w:val="333333"/>
                <w:kern w:val="0"/>
                <w:sz w:val="24"/>
                <w:szCs w:val="24"/>
              </w:rPr>
              <w:t>日成立于重庆市，主要业务为从事城市基础设施、基础产业、支柱产业领域的重点项目投资和住房租赁。通达投资是忠县国有资产事务管理中心的下属企业。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简易案件理由（可以单选，也可以多选）</w:t>
            </w: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sym w:font="Wingdings" w:char="00FE"/>
            </w:r>
            <w:r>
              <w:rPr>
                <w:rFonts w:hint="eastAsia" w:ascii="宋体" w:hAnsi="宋体"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spacing w:line="360" w:lineRule="auto"/>
              <w:jc w:val="center"/>
              <w:rPr>
                <w:rFonts w:ascii="宋体" w:hAnsi="宋体" w:cs="宋体"/>
                <w:color w:val="333333"/>
                <w:kern w:val="0"/>
                <w:sz w:val="24"/>
                <w:szCs w:val="24"/>
              </w:rPr>
            </w:pPr>
          </w:p>
        </w:tc>
        <w:tc>
          <w:tcPr>
            <w:tcW w:w="6949" w:type="dxa"/>
            <w:gridSpan w:val="2"/>
          </w:tcPr>
          <w:p>
            <w:pPr>
              <w:spacing w:line="360" w:lineRule="auto"/>
              <w:rPr>
                <w:rFonts w:ascii="宋体" w:hAnsi="宋体" w:cs="宋体"/>
                <w:color w:val="333333"/>
                <w:kern w:val="0"/>
                <w:sz w:val="24"/>
                <w:szCs w:val="24"/>
              </w:rPr>
            </w:pPr>
            <w:r>
              <w:rPr>
                <w:rFonts w:hint="eastAsia" w:ascii="宋体" w:hAnsi="宋体"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shd w:val="clear" w:color="auto" w:fill="D9D9D9"/>
            <w:vAlign w:val="center"/>
          </w:tcPr>
          <w:p>
            <w:pPr>
              <w:spacing w:line="360" w:lineRule="auto"/>
              <w:jc w:val="center"/>
              <w:rPr>
                <w:rFonts w:ascii="宋体" w:hAnsi="宋体" w:cs="宋体"/>
                <w:color w:val="333333"/>
                <w:kern w:val="0"/>
                <w:sz w:val="24"/>
                <w:szCs w:val="24"/>
              </w:rPr>
            </w:pPr>
            <w:r>
              <w:rPr>
                <w:rFonts w:hint="eastAsia" w:ascii="宋体" w:hAnsi="宋体" w:cs="宋体"/>
                <w:color w:val="333333"/>
                <w:kern w:val="0"/>
                <w:sz w:val="24"/>
                <w:szCs w:val="24"/>
              </w:rPr>
              <w:t>备注</w:t>
            </w:r>
          </w:p>
        </w:tc>
        <w:tc>
          <w:tcPr>
            <w:tcW w:w="6949" w:type="dxa"/>
            <w:gridSpan w:val="2"/>
          </w:tcPr>
          <w:p>
            <w:pPr>
              <w:spacing w:line="360" w:lineRule="auto"/>
              <w:rPr>
                <w:rFonts w:hint="eastAsia" w:ascii="宋体" w:hAnsi="宋体" w:cs="宋体"/>
                <w:b/>
                <w:color w:val="000000"/>
                <w:sz w:val="24"/>
                <w:szCs w:val="24"/>
                <w:lang w:eastAsia="zh-CN"/>
              </w:rPr>
            </w:pPr>
            <w:r>
              <w:rPr>
                <w:rFonts w:hint="eastAsia" w:ascii="宋体" w:hAnsi="宋体" w:cs="宋体"/>
                <w:b/>
                <w:color w:val="000000"/>
                <w:sz w:val="24"/>
                <w:szCs w:val="24"/>
                <w:lang w:eastAsia="zh-CN"/>
              </w:rPr>
              <w:t>混合集中：</w:t>
            </w:r>
          </w:p>
          <w:p>
            <w:pPr>
              <w:spacing w:line="360" w:lineRule="auto"/>
              <w:rPr>
                <w:rFonts w:hint="eastAsia" w:ascii="宋体" w:hAnsi="宋体" w:cs="宋体"/>
                <w:b/>
                <w:color w:val="000000"/>
                <w:sz w:val="24"/>
                <w:szCs w:val="24"/>
                <w:lang w:val="en-US" w:eastAsia="zh-CN"/>
              </w:rPr>
            </w:pPr>
            <w:r>
              <w:rPr>
                <w:rFonts w:hint="eastAsia" w:ascii="宋体" w:hAnsi="宋体" w:cs="宋体"/>
                <w:b/>
                <w:color w:val="000000"/>
                <w:sz w:val="24"/>
                <w:szCs w:val="24"/>
                <w:lang w:val="en-US" w:eastAsia="zh-CN"/>
              </w:rPr>
              <w:t>2022年中国境内城市管道天然气供应市场：</w:t>
            </w:r>
          </w:p>
          <w:p>
            <w:pPr>
              <w:spacing w:line="360" w:lineRule="auto"/>
              <w:rPr>
                <w:rFonts w:hint="eastAsia" w:ascii="宋体" w:hAnsi="宋体" w:cs="宋体"/>
                <w:b/>
                <w:color w:val="000000"/>
                <w:sz w:val="24"/>
                <w:szCs w:val="24"/>
                <w:lang w:val="en-US" w:eastAsia="zh-CN"/>
              </w:rPr>
            </w:pPr>
            <w:r>
              <w:rPr>
                <w:rFonts w:hint="eastAsia" w:ascii="宋体" w:hAnsi="宋体" w:cs="宋体"/>
                <w:b/>
                <w:color w:val="000000"/>
                <w:sz w:val="24"/>
                <w:szCs w:val="24"/>
                <w:lang w:val="en-US" w:eastAsia="zh-CN"/>
              </w:rPr>
              <w:t>忠县燃气：5-10%</w:t>
            </w:r>
          </w:p>
          <w:p>
            <w:pPr>
              <w:spacing w:line="360" w:lineRule="auto"/>
              <w:rPr>
                <w:rFonts w:hint="eastAsia" w:ascii="宋体" w:hAnsi="宋体" w:cs="宋体"/>
                <w:b/>
                <w:color w:val="000000"/>
                <w:sz w:val="24"/>
                <w:szCs w:val="24"/>
              </w:rPr>
            </w:pPr>
            <w:r>
              <w:rPr>
                <w:rFonts w:hint="eastAsia" w:ascii="宋体" w:hAnsi="宋体" w:cs="宋体"/>
                <w:b/>
                <w:color w:val="000000"/>
                <w:sz w:val="24"/>
                <w:szCs w:val="24"/>
                <w:lang w:val="en-US" w:eastAsia="zh-CN"/>
              </w:rPr>
              <w:t>2022年重庆市</w:t>
            </w:r>
            <w:r>
              <w:rPr>
                <w:rFonts w:hint="eastAsia" w:ascii="宋体" w:hAnsi="宋体" w:cs="宋体"/>
                <w:b/>
                <w:color w:val="000000"/>
                <w:sz w:val="24"/>
                <w:szCs w:val="24"/>
              </w:rPr>
              <w:t>压缩天然气加气站</w:t>
            </w:r>
            <w:r>
              <w:rPr>
                <w:rFonts w:hint="eastAsia" w:ascii="宋体" w:hAnsi="宋体" w:cs="宋体"/>
                <w:b/>
                <w:color w:val="000000"/>
                <w:sz w:val="24"/>
                <w:szCs w:val="24"/>
                <w:lang w:eastAsia="zh-CN"/>
              </w:rPr>
              <w:t>零售</w:t>
            </w:r>
            <w:r>
              <w:rPr>
                <w:rFonts w:hint="eastAsia" w:ascii="宋体" w:hAnsi="宋体" w:cs="宋体"/>
                <w:b/>
                <w:color w:val="000000"/>
                <w:sz w:val="24"/>
                <w:szCs w:val="24"/>
              </w:rPr>
              <w:t>市场</w:t>
            </w:r>
          </w:p>
          <w:p>
            <w:pPr>
              <w:spacing w:line="360" w:lineRule="auto"/>
              <w:rPr>
                <w:rFonts w:hint="default" w:ascii="宋体" w:hAnsi="宋体" w:eastAsia="宋体" w:cs="宋体"/>
                <w:b/>
                <w:color w:val="000000"/>
                <w:sz w:val="24"/>
                <w:szCs w:val="24"/>
                <w:lang w:val="en-US" w:eastAsia="zh-CN"/>
              </w:rPr>
            </w:pPr>
            <w:r>
              <w:rPr>
                <w:rFonts w:hint="eastAsia" w:ascii="宋体" w:hAnsi="宋体" w:cs="宋体"/>
                <w:b/>
                <w:color w:val="000000"/>
                <w:sz w:val="24"/>
                <w:szCs w:val="24"/>
                <w:lang w:eastAsia="zh-CN"/>
              </w:rPr>
              <w:t>忠县燃气：</w:t>
            </w:r>
            <w:r>
              <w:rPr>
                <w:rFonts w:hint="eastAsia" w:ascii="宋体" w:hAnsi="宋体" w:cs="宋体"/>
                <w:b/>
                <w:color w:val="000000"/>
                <w:sz w:val="24"/>
                <w:szCs w:val="24"/>
                <w:lang w:val="en-US" w:eastAsia="zh-CN"/>
              </w:rPr>
              <w:t>5-10%</w:t>
            </w:r>
          </w:p>
          <w:p>
            <w:pPr>
              <w:spacing w:line="360" w:lineRule="auto"/>
              <w:rPr>
                <w:rFonts w:ascii="宋体" w:hAnsi="宋体" w:cs="宋体"/>
                <w:b/>
                <w:bCs/>
                <w:color w:val="333333"/>
                <w:kern w:val="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hYjIwYTFkMDUyN2RmOGI2OTNiMWRjYmY5MjBlYTUifQ=="/>
  </w:docVars>
  <w:rsids>
    <w:rsidRoot w:val="00CB00DF"/>
    <w:rsid w:val="000330BD"/>
    <w:rsid w:val="00033C56"/>
    <w:rsid w:val="00037065"/>
    <w:rsid w:val="00044782"/>
    <w:rsid w:val="00060BE3"/>
    <w:rsid w:val="00061596"/>
    <w:rsid w:val="00070738"/>
    <w:rsid w:val="000C02B3"/>
    <w:rsid w:val="000D5D73"/>
    <w:rsid w:val="000D7EBA"/>
    <w:rsid w:val="000E1F16"/>
    <w:rsid w:val="000F13B3"/>
    <w:rsid w:val="0010677B"/>
    <w:rsid w:val="00106877"/>
    <w:rsid w:val="001164CD"/>
    <w:rsid w:val="00155717"/>
    <w:rsid w:val="0015730E"/>
    <w:rsid w:val="001615BF"/>
    <w:rsid w:val="00166498"/>
    <w:rsid w:val="00171D4A"/>
    <w:rsid w:val="00175693"/>
    <w:rsid w:val="001837A3"/>
    <w:rsid w:val="00187366"/>
    <w:rsid w:val="00195954"/>
    <w:rsid w:val="00196337"/>
    <w:rsid w:val="001C6529"/>
    <w:rsid w:val="001D7280"/>
    <w:rsid w:val="001F1DFF"/>
    <w:rsid w:val="001F433E"/>
    <w:rsid w:val="00201A09"/>
    <w:rsid w:val="00211157"/>
    <w:rsid w:val="002128C8"/>
    <w:rsid w:val="00213D84"/>
    <w:rsid w:val="002177AD"/>
    <w:rsid w:val="00217A8F"/>
    <w:rsid w:val="00223706"/>
    <w:rsid w:val="00233C7B"/>
    <w:rsid w:val="00251188"/>
    <w:rsid w:val="00282790"/>
    <w:rsid w:val="00286810"/>
    <w:rsid w:val="002E04D1"/>
    <w:rsid w:val="002E2783"/>
    <w:rsid w:val="002F4968"/>
    <w:rsid w:val="002F5735"/>
    <w:rsid w:val="00302B14"/>
    <w:rsid w:val="003444A0"/>
    <w:rsid w:val="00352B58"/>
    <w:rsid w:val="0037080C"/>
    <w:rsid w:val="00376293"/>
    <w:rsid w:val="00390BEC"/>
    <w:rsid w:val="003A1CDC"/>
    <w:rsid w:val="003A454A"/>
    <w:rsid w:val="003B6BA8"/>
    <w:rsid w:val="003C0AEB"/>
    <w:rsid w:val="003C2B6A"/>
    <w:rsid w:val="003C44B7"/>
    <w:rsid w:val="003C7CDE"/>
    <w:rsid w:val="003D13AC"/>
    <w:rsid w:val="003D63CD"/>
    <w:rsid w:val="0041138E"/>
    <w:rsid w:val="0041246E"/>
    <w:rsid w:val="00413892"/>
    <w:rsid w:val="00415598"/>
    <w:rsid w:val="0041797F"/>
    <w:rsid w:val="004363C4"/>
    <w:rsid w:val="00442E72"/>
    <w:rsid w:val="004453C5"/>
    <w:rsid w:val="0044563A"/>
    <w:rsid w:val="0045414D"/>
    <w:rsid w:val="004571FE"/>
    <w:rsid w:val="00462D52"/>
    <w:rsid w:val="0046323B"/>
    <w:rsid w:val="00463315"/>
    <w:rsid w:val="0046775D"/>
    <w:rsid w:val="00474915"/>
    <w:rsid w:val="0049394E"/>
    <w:rsid w:val="00496AFA"/>
    <w:rsid w:val="004A4CF5"/>
    <w:rsid w:val="004B7B67"/>
    <w:rsid w:val="004C2CEF"/>
    <w:rsid w:val="004D1601"/>
    <w:rsid w:val="004D2C9E"/>
    <w:rsid w:val="004D4B4C"/>
    <w:rsid w:val="004D6B39"/>
    <w:rsid w:val="004E1DBF"/>
    <w:rsid w:val="004E2D1F"/>
    <w:rsid w:val="004E6845"/>
    <w:rsid w:val="004E6EB4"/>
    <w:rsid w:val="004F1AF7"/>
    <w:rsid w:val="004F7688"/>
    <w:rsid w:val="005258C1"/>
    <w:rsid w:val="00527C49"/>
    <w:rsid w:val="005314ED"/>
    <w:rsid w:val="0053405E"/>
    <w:rsid w:val="00542DEA"/>
    <w:rsid w:val="005602EB"/>
    <w:rsid w:val="00561F91"/>
    <w:rsid w:val="00562EA4"/>
    <w:rsid w:val="005661A0"/>
    <w:rsid w:val="00567488"/>
    <w:rsid w:val="00571711"/>
    <w:rsid w:val="00582B6A"/>
    <w:rsid w:val="00582E8B"/>
    <w:rsid w:val="00593E54"/>
    <w:rsid w:val="00597AC8"/>
    <w:rsid w:val="005B52D7"/>
    <w:rsid w:val="005B5FEE"/>
    <w:rsid w:val="005C4BA5"/>
    <w:rsid w:val="005D1AA0"/>
    <w:rsid w:val="005D2995"/>
    <w:rsid w:val="005D509C"/>
    <w:rsid w:val="005D510B"/>
    <w:rsid w:val="005E454A"/>
    <w:rsid w:val="005E6086"/>
    <w:rsid w:val="005F5507"/>
    <w:rsid w:val="00614262"/>
    <w:rsid w:val="00621E04"/>
    <w:rsid w:val="00641A21"/>
    <w:rsid w:val="006467D8"/>
    <w:rsid w:val="00650751"/>
    <w:rsid w:val="00660BD4"/>
    <w:rsid w:val="00666188"/>
    <w:rsid w:val="00672DBC"/>
    <w:rsid w:val="00680BFB"/>
    <w:rsid w:val="00687630"/>
    <w:rsid w:val="00692D95"/>
    <w:rsid w:val="006A0A52"/>
    <w:rsid w:val="006A2F8C"/>
    <w:rsid w:val="006A33A1"/>
    <w:rsid w:val="006A531B"/>
    <w:rsid w:val="006B719A"/>
    <w:rsid w:val="006E0717"/>
    <w:rsid w:val="006E37F4"/>
    <w:rsid w:val="006E4DBB"/>
    <w:rsid w:val="006F7693"/>
    <w:rsid w:val="00701375"/>
    <w:rsid w:val="00703AB8"/>
    <w:rsid w:val="00710140"/>
    <w:rsid w:val="00711523"/>
    <w:rsid w:val="00714872"/>
    <w:rsid w:val="00735EC5"/>
    <w:rsid w:val="0073660F"/>
    <w:rsid w:val="007413C2"/>
    <w:rsid w:val="0074650C"/>
    <w:rsid w:val="00750540"/>
    <w:rsid w:val="0075098D"/>
    <w:rsid w:val="00756479"/>
    <w:rsid w:val="0076339D"/>
    <w:rsid w:val="0077255E"/>
    <w:rsid w:val="00776DC6"/>
    <w:rsid w:val="0079469C"/>
    <w:rsid w:val="007A3A5F"/>
    <w:rsid w:val="007B5E6E"/>
    <w:rsid w:val="007C0775"/>
    <w:rsid w:val="007C679D"/>
    <w:rsid w:val="007E60D4"/>
    <w:rsid w:val="007F2275"/>
    <w:rsid w:val="007F3BD4"/>
    <w:rsid w:val="007F69D7"/>
    <w:rsid w:val="008209AC"/>
    <w:rsid w:val="0082613D"/>
    <w:rsid w:val="008301A9"/>
    <w:rsid w:val="00834359"/>
    <w:rsid w:val="008560F1"/>
    <w:rsid w:val="008614C1"/>
    <w:rsid w:val="00862C72"/>
    <w:rsid w:val="00862E45"/>
    <w:rsid w:val="0089518D"/>
    <w:rsid w:val="008A61C2"/>
    <w:rsid w:val="008B1111"/>
    <w:rsid w:val="008C0B60"/>
    <w:rsid w:val="008D0932"/>
    <w:rsid w:val="008E19AF"/>
    <w:rsid w:val="008E4CA0"/>
    <w:rsid w:val="008E6426"/>
    <w:rsid w:val="008E7064"/>
    <w:rsid w:val="008E7442"/>
    <w:rsid w:val="008F31FC"/>
    <w:rsid w:val="008F442B"/>
    <w:rsid w:val="008F7D84"/>
    <w:rsid w:val="00902C9C"/>
    <w:rsid w:val="00903534"/>
    <w:rsid w:val="00905B79"/>
    <w:rsid w:val="00907CDC"/>
    <w:rsid w:val="00915F0F"/>
    <w:rsid w:val="009225D8"/>
    <w:rsid w:val="00943078"/>
    <w:rsid w:val="00943939"/>
    <w:rsid w:val="009532DF"/>
    <w:rsid w:val="00960896"/>
    <w:rsid w:val="00980817"/>
    <w:rsid w:val="00981FC0"/>
    <w:rsid w:val="00997019"/>
    <w:rsid w:val="009A4BBB"/>
    <w:rsid w:val="009A5029"/>
    <w:rsid w:val="009A6B07"/>
    <w:rsid w:val="009B2483"/>
    <w:rsid w:val="009B28AC"/>
    <w:rsid w:val="009C0184"/>
    <w:rsid w:val="009C2771"/>
    <w:rsid w:val="009C2F36"/>
    <w:rsid w:val="009C4217"/>
    <w:rsid w:val="009D38D5"/>
    <w:rsid w:val="009F0052"/>
    <w:rsid w:val="00A024C4"/>
    <w:rsid w:val="00A02BD5"/>
    <w:rsid w:val="00A06D8A"/>
    <w:rsid w:val="00A11BAD"/>
    <w:rsid w:val="00A130F5"/>
    <w:rsid w:val="00A3153B"/>
    <w:rsid w:val="00A42773"/>
    <w:rsid w:val="00A53A60"/>
    <w:rsid w:val="00A53C14"/>
    <w:rsid w:val="00A53F26"/>
    <w:rsid w:val="00A5596A"/>
    <w:rsid w:val="00A82B13"/>
    <w:rsid w:val="00A902E6"/>
    <w:rsid w:val="00A94705"/>
    <w:rsid w:val="00AA0CC5"/>
    <w:rsid w:val="00AA10EC"/>
    <w:rsid w:val="00AB01C2"/>
    <w:rsid w:val="00AC14B8"/>
    <w:rsid w:val="00AC1B81"/>
    <w:rsid w:val="00AE1AB0"/>
    <w:rsid w:val="00AE73DD"/>
    <w:rsid w:val="00AF7FA5"/>
    <w:rsid w:val="00B00B8C"/>
    <w:rsid w:val="00B15F87"/>
    <w:rsid w:val="00B16AFE"/>
    <w:rsid w:val="00B2070E"/>
    <w:rsid w:val="00B32C95"/>
    <w:rsid w:val="00B33767"/>
    <w:rsid w:val="00B37BC6"/>
    <w:rsid w:val="00B63945"/>
    <w:rsid w:val="00B65DD5"/>
    <w:rsid w:val="00B74DE7"/>
    <w:rsid w:val="00B91611"/>
    <w:rsid w:val="00B976BD"/>
    <w:rsid w:val="00BB165A"/>
    <w:rsid w:val="00BB28F5"/>
    <w:rsid w:val="00BB74E7"/>
    <w:rsid w:val="00BC551C"/>
    <w:rsid w:val="00BC75C8"/>
    <w:rsid w:val="00BD10B6"/>
    <w:rsid w:val="00BF0F55"/>
    <w:rsid w:val="00BF42F0"/>
    <w:rsid w:val="00C07076"/>
    <w:rsid w:val="00C2082B"/>
    <w:rsid w:val="00C232DA"/>
    <w:rsid w:val="00C25A45"/>
    <w:rsid w:val="00C36A6E"/>
    <w:rsid w:val="00C37D84"/>
    <w:rsid w:val="00C40BE5"/>
    <w:rsid w:val="00C41237"/>
    <w:rsid w:val="00C462C7"/>
    <w:rsid w:val="00C7037B"/>
    <w:rsid w:val="00C940A1"/>
    <w:rsid w:val="00CB00DF"/>
    <w:rsid w:val="00CB28D6"/>
    <w:rsid w:val="00CB7FE6"/>
    <w:rsid w:val="00CC244C"/>
    <w:rsid w:val="00CC3208"/>
    <w:rsid w:val="00CC6159"/>
    <w:rsid w:val="00CE1712"/>
    <w:rsid w:val="00CF2DE9"/>
    <w:rsid w:val="00CF508C"/>
    <w:rsid w:val="00CF5FBD"/>
    <w:rsid w:val="00D2672F"/>
    <w:rsid w:val="00D36709"/>
    <w:rsid w:val="00D378E3"/>
    <w:rsid w:val="00D46798"/>
    <w:rsid w:val="00D51657"/>
    <w:rsid w:val="00D5665A"/>
    <w:rsid w:val="00D6248E"/>
    <w:rsid w:val="00D70984"/>
    <w:rsid w:val="00D73C72"/>
    <w:rsid w:val="00D74486"/>
    <w:rsid w:val="00D829F0"/>
    <w:rsid w:val="00D84EE5"/>
    <w:rsid w:val="00D97F28"/>
    <w:rsid w:val="00DA1210"/>
    <w:rsid w:val="00DA5BEE"/>
    <w:rsid w:val="00DB6326"/>
    <w:rsid w:val="00DC0637"/>
    <w:rsid w:val="00DC6E81"/>
    <w:rsid w:val="00DD3777"/>
    <w:rsid w:val="00DE5B27"/>
    <w:rsid w:val="00DE5F1C"/>
    <w:rsid w:val="00DF15FB"/>
    <w:rsid w:val="00E03AE9"/>
    <w:rsid w:val="00E0592B"/>
    <w:rsid w:val="00E15CF5"/>
    <w:rsid w:val="00E31738"/>
    <w:rsid w:val="00E365CF"/>
    <w:rsid w:val="00E4264C"/>
    <w:rsid w:val="00E4556B"/>
    <w:rsid w:val="00E64C73"/>
    <w:rsid w:val="00E65B17"/>
    <w:rsid w:val="00E716BB"/>
    <w:rsid w:val="00E75E67"/>
    <w:rsid w:val="00E771C7"/>
    <w:rsid w:val="00E83BA9"/>
    <w:rsid w:val="00E86786"/>
    <w:rsid w:val="00E87903"/>
    <w:rsid w:val="00EA1290"/>
    <w:rsid w:val="00EA1BF5"/>
    <w:rsid w:val="00EA21DD"/>
    <w:rsid w:val="00EB6258"/>
    <w:rsid w:val="00EB72CD"/>
    <w:rsid w:val="00ED2A9D"/>
    <w:rsid w:val="00ED2F80"/>
    <w:rsid w:val="00EE1510"/>
    <w:rsid w:val="00EE1955"/>
    <w:rsid w:val="00EE3964"/>
    <w:rsid w:val="00EF332C"/>
    <w:rsid w:val="00EF4A16"/>
    <w:rsid w:val="00EF72A4"/>
    <w:rsid w:val="00F0218C"/>
    <w:rsid w:val="00F1624E"/>
    <w:rsid w:val="00F16824"/>
    <w:rsid w:val="00F32699"/>
    <w:rsid w:val="00F32F8A"/>
    <w:rsid w:val="00F400AC"/>
    <w:rsid w:val="00F4445D"/>
    <w:rsid w:val="00F6558B"/>
    <w:rsid w:val="00F76C4D"/>
    <w:rsid w:val="00F810AA"/>
    <w:rsid w:val="00F87319"/>
    <w:rsid w:val="00FB2B55"/>
    <w:rsid w:val="00FB3826"/>
    <w:rsid w:val="00FB43EC"/>
    <w:rsid w:val="00FB6B40"/>
    <w:rsid w:val="00FB6DB5"/>
    <w:rsid w:val="00FD1BD0"/>
    <w:rsid w:val="00FD5ED4"/>
    <w:rsid w:val="00FD66C2"/>
    <w:rsid w:val="00FE4341"/>
    <w:rsid w:val="01F120BE"/>
    <w:rsid w:val="026C0BDA"/>
    <w:rsid w:val="026C6DA8"/>
    <w:rsid w:val="08A71BD0"/>
    <w:rsid w:val="091C17B4"/>
    <w:rsid w:val="096763B5"/>
    <w:rsid w:val="0A341542"/>
    <w:rsid w:val="0A8F6E67"/>
    <w:rsid w:val="105A50BA"/>
    <w:rsid w:val="108B63FF"/>
    <w:rsid w:val="108E1EFD"/>
    <w:rsid w:val="15D707D9"/>
    <w:rsid w:val="16C95B5D"/>
    <w:rsid w:val="16E97DB5"/>
    <w:rsid w:val="1706441F"/>
    <w:rsid w:val="187E0264"/>
    <w:rsid w:val="18B83784"/>
    <w:rsid w:val="228455B5"/>
    <w:rsid w:val="25305018"/>
    <w:rsid w:val="253C5966"/>
    <w:rsid w:val="2C496284"/>
    <w:rsid w:val="2F5B5CF4"/>
    <w:rsid w:val="317A0744"/>
    <w:rsid w:val="32204D95"/>
    <w:rsid w:val="330F75E8"/>
    <w:rsid w:val="34157B3B"/>
    <w:rsid w:val="361E4FFB"/>
    <w:rsid w:val="37F944C1"/>
    <w:rsid w:val="3ADF2938"/>
    <w:rsid w:val="3B5738BF"/>
    <w:rsid w:val="3D9C2B9F"/>
    <w:rsid w:val="3DC4027F"/>
    <w:rsid w:val="3FCE6910"/>
    <w:rsid w:val="40BA3220"/>
    <w:rsid w:val="424F64BA"/>
    <w:rsid w:val="43D14626"/>
    <w:rsid w:val="457147B5"/>
    <w:rsid w:val="45F80267"/>
    <w:rsid w:val="47FE7F6E"/>
    <w:rsid w:val="48775124"/>
    <w:rsid w:val="4AA2126F"/>
    <w:rsid w:val="4B754779"/>
    <w:rsid w:val="50372D61"/>
    <w:rsid w:val="51CC439C"/>
    <w:rsid w:val="528D36EC"/>
    <w:rsid w:val="53C605D9"/>
    <w:rsid w:val="54A91FC6"/>
    <w:rsid w:val="55013EDA"/>
    <w:rsid w:val="551A47A5"/>
    <w:rsid w:val="5C622FCD"/>
    <w:rsid w:val="5C9644AF"/>
    <w:rsid w:val="63E6232C"/>
    <w:rsid w:val="652A31BE"/>
    <w:rsid w:val="670701B4"/>
    <w:rsid w:val="67EC137D"/>
    <w:rsid w:val="68E70428"/>
    <w:rsid w:val="691E6786"/>
    <w:rsid w:val="69972282"/>
    <w:rsid w:val="6ADE3CA6"/>
    <w:rsid w:val="6BB935DB"/>
    <w:rsid w:val="6DD15F6A"/>
    <w:rsid w:val="6DD86F72"/>
    <w:rsid w:val="6F971D84"/>
    <w:rsid w:val="6FD23775"/>
    <w:rsid w:val="71990B88"/>
    <w:rsid w:val="73765842"/>
    <w:rsid w:val="74A0204C"/>
    <w:rsid w:val="74FF44FF"/>
    <w:rsid w:val="75436420"/>
    <w:rsid w:val="759C3151"/>
    <w:rsid w:val="75C84B52"/>
    <w:rsid w:val="76215A01"/>
    <w:rsid w:val="764467BF"/>
    <w:rsid w:val="769632F3"/>
    <w:rsid w:val="769F5CF6"/>
    <w:rsid w:val="7BF75D06"/>
    <w:rsid w:val="7FEB7543"/>
    <w:rsid w:val="7FF50C51"/>
    <w:rsid w:val="B2FEE180"/>
    <w:rsid w:val="B9CF9B7F"/>
    <w:rsid w:val="D77F3510"/>
    <w:rsid w:val="F3FEABE5"/>
    <w:rsid w:val="F58F9971"/>
    <w:rsid w:val="FDFF8868"/>
    <w:rsid w:val="FFFF077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unhideWhenUsed/>
    <w:qFormat/>
    <w:uiPriority w:val="99"/>
    <w:rPr>
      <w:b/>
      <w:bCs/>
    </w:rPr>
  </w:style>
  <w:style w:type="paragraph" w:styleId="3">
    <w:name w:val="annotation text"/>
    <w:basedOn w:val="1"/>
    <w:link w:val="14"/>
    <w:unhideWhenUsed/>
    <w:qFormat/>
    <w:uiPriority w:val="99"/>
    <w:pPr>
      <w:jc w:val="left"/>
    </w:pPr>
  </w:style>
  <w:style w:type="paragraph" w:styleId="4">
    <w:name w:val="Balloon Text"/>
    <w:basedOn w:val="1"/>
    <w:link w:val="13"/>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unhideWhenUsed/>
    <w:qFormat/>
    <w:uiPriority w:val="99"/>
    <w:rPr>
      <w:sz w:val="21"/>
      <w:szCs w:val="21"/>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页眉 字符"/>
    <w:basedOn w:val="7"/>
    <w:link w:val="6"/>
    <w:qFormat/>
    <w:uiPriority w:val="99"/>
    <w:rPr>
      <w:rFonts w:ascii="Calibri" w:hAnsi="Calibri" w:eastAsia="宋体" w:cs="Times New Roman"/>
      <w:sz w:val="18"/>
      <w:szCs w:val="18"/>
    </w:rPr>
  </w:style>
  <w:style w:type="character" w:customStyle="1" w:styleId="12">
    <w:name w:val="页脚 字符"/>
    <w:basedOn w:val="7"/>
    <w:link w:val="5"/>
    <w:qFormat/>
    <w:uiPriority w:val="99"/>
    <w:rPr>
      <w:rFonts w:ascii="Calibri" w:hAnsi="Calibri" w:eastAsia="宋体" w:cs="Times New Roman"/>
      <w:sz w:val="18"/>
      <w:szCs w:val="18"/>
    </w:rPr>
  </w:style>
  <w:style w:type="character" w:customStyle="1" w:styleId="13">
    <w:name w:val="批注框文本 字符"/>
    <w:basedOn w:val="7"/>
    <w:link w:val="4"/>
    <w:semiHidden/>
    <w:qFormat/>
    <w:uiPriority w:val="99"/>
    <w:rPr>
      <w:rFonts w:ascii="Calibri" w:hAnsi="Calibri" w:eastAsia="宋体" w:cs="Times New Roman"/>
      <w:kern w:val="2"/>
      <w:sz w:val="18"/>
      <w:szCs w:val="18"/>
    </w:rPr>
  </w:style>
  <w:style w:type="character" w:customStyle="1" w:styleId="14">
    <w:name w:val="批注文字 字符"/>
    <w:basedOn w:val="7"/>
    <w:link w:val="3"/>
    <w:semiHidden/>
    <w:qFormat/>
    <w:uiPriority w:val="99"/>
    <w:rPr>
      <w:rFonts w:ascii="Calibri" w:hAnsi="Calibri" w:eastAsia="宋体" w:cs="Times New Roman"/>
      <w:kern w:val="2"/>
      <w:sz w:val="21"/>
      <w:szCs w:val="22"/>
    </w:rPr>
  </w:style>
  <w:style w:type="character" w:customStyle="1" w:styleId="15">
    <w:name w:val="批注主题 字符"/>
    <w:basedOn w:val="14"/>
    <w:link w:val="2"/>
    <w:semiHidden/>
    <w:qFormat/>
    <w:uiPriority w:val="99"/>
    <w:rPr>
      <w:rFonts w:ascii="Calibri" w:hAnsi="Calibri" w:eastAsia="宋体" w:cs="Times New Roman"/>
      <w:b/>
      <w:bCs/>
      <w:kern w:val="2"/>
      <w:sz w:val="21"/>
      <w:szCs w:val="22"/>
    </w:rPr>
  </w:style>
  <w:style w:type="paragraph" w:customStyle="1" w:styleId="16">
    <w:name w:val="列表段落1"/>
    <w:basedOn w:val="1"/>
    <w:qFormat/>
    <w:uiPriority w:val="99"/>
    <w:pPr>
      <w:ind w:firstLine="420" w:firstLineChars="200"/>
    </w:pPr>
  </w:style>
  <w:style w:type="paragraph" w:customStyle="1" w:styleId="17">
    <w:name w:val="修订1"/>
    <w:hidden/>
    <w:semiHidden/>
    <w:qFormat/>
    <w:uiPriority w:val="99"/>
    <w:rPr>
      <w:rFonts w:ascii="Calibri" w:hAnsi="Calibri" w:eastAsia="宋体" w:cs="Times New Roman"/>
      <w:kern w:val="2"/>
      <w:sz w:val="21"/>
      <w:szCs w:val="22"/>
      <w:lang w:val="en-US" w:eastAsia="zh-CN" w:bidi="ar-SA"/>
    </w:rPr>
  </w:style>
  <w:style w:type="paragraph" w:customStyle="1" w:styleId="18">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145</Words>
  <Characters>833</Characters>
  <Lines>6</Lines>
  <Paragraphs>1</Paragraphs>
  <TotalTime>0</TotalTime>
  <ScaleCrop>false</ScaleCrop>
  <LinksUpToDate>false</LinksUpToDate>
  <CharactersWithSpaces>977</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2021-03-03T15:47:00Z</dcterms:created>
  <dc:creator>陈媚</dc:creator>
  <cp:lastModifiedBy>Administrator</cp:lastModifiedBy>
  <dcterms:modified xsi:type="dcterms:W3CDTF">2023-06-21T02:55:08Z</dcterms:modified>
  <cp:revision>222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y fmtid="{D5CDD505-2E9C-101B-9397-08002B2CF9AE}" pid="3" name="ICV">
    <vt:lpwstr>3866A0A2D4F04112A3626AFA36F195F5_13</vt:lpwstr>
  </property>
</Properties>
</file>