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Cs/>
          <w:sz w:val="36"/>
          <w:szCs w:val="36"/>
        </w:rPr>
      </w:pPr>
      <w:r>
        <w:rPr>
          <w:rFonts w:hint="eastAsia" w:ascii="黑体" w:hAnsi="黑体" w:eastAsia="黑体" w:cs="黑体"/>
          <w:bCs/>
          <w:sz w:val="36"/>
          <w:szCs w:val="36"/>
        </w:rPr>
        <w:t>经营者集中简易案件公示表</w:t>
      </w:r>
    </w:p>
    <w:tbl>
      <w:tblPr>
        <w:tblStyle w:val="6"/>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5"/>
              <w:adjustRightInd w:val="0"/>
              <w:snapToGrid w:val="0"/>
              <w:spacing w:after="0"/>
              <w:rPr>
                <w:rFonts w:ascii="宋体" w:hAnsi="宋体" w:cs="宋体"/>
                <w:bCs/>
                <w:color w:val="000000"/>
                <w:sz w:val="28"/>
                <w:szCs w:val="28"/>
                <w:lang w:val="en-US"/>
              </w:rPr>
            </w:pPr>
            <w:bookmarkStart w:id="0" w:name="_GoBack"/>
            <w:r>
              <w:rPr>
                <w:rFonts w:hint="eastAsia" w:ascii="宋体" w:hAnsi="宋体" w:cs="宋体"/>
                <w:bCs/>
                <w:color w:val="000000"/>
                <w:sz w:val="28"/>
                <w:szCs w:val="28"/>
              </w:rPr>
              <w:t>案件名称</w:t>
            </w:r>
          </w:p>
        </w:tc>
        <w:tc>
          <w:tcPr>
            <w:tcW w:w="7700" w:type="dxa"/>
            <w:gridSpan w:val="2"/>
            <w:noWrap w:val="0"/>
            <w:vAlign w:val="center"/>
          </w:tcPr>
          <w:p>
            <w:pPr>
              <w:adjustRightInd w:val="0"/>
              <w:snapToGrid w:val="0"/>
              <w:spacing w:after="0"/>
              <w:rPr>
                <w:rFonts w:ascii="宋体" w:hAnsi="宋体" w:cs="宋体"/>
                <w:bCs/>
                <w:color w:val="000000"/>
                <w:sz w:val="28"/>
                <w:szCs w:val="28"/>
                <w:lang w:val="en-US"/>
              </w:rPr>
            </w:pPr>
            <w:r>
              <w:rPr>
                <w:rFonts w:hint="eastAsia" w:ascii="宋体" w:hAnsi="宋体" w:cs="宋体"/>
                <w:bCs/>
                <w:color w:val="000000"/>
                <w:sz w:val="28"/>
                <w:szCs w:val="28"/>
                <w:lang w:val="en-US"/>
              </w:rPr>
              <w:t>广州市城市建设投资集团有限公司收购广州市水务投资集团有限公司股权案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r>
              <w:rPr>
                <w:rFonts w:hint="eastAsia" w:ascii="宋体" w:hAnsi="宋体" w:cs="宋体"/>
                <w:bCs/>
                <w:color w:val="000000"/>
                <w:sz w:val="28"/>
                <w:szCs w:val="28"/>
                <w:lang w:eastAsia="zh-CN"/>
              </w:rPr>
              <w:t>交易概况（限200字内）</w:t>
            </w:r>
          </w:p>
        </w:tc>
        <w:tc>
          <w:tcPr>
            <w:tcW w:w="7700" w:type="dxa"/>
            <w:gridSpan w:val="2"/>
            <w:noWrap w:val="0"/>
            <w:vAlign w:val="center"/>
          </w:tcPr>
          <w:p>
            <w:pPr>
              <w:widowControl w:val="0"/>
              <w:adjustRightInd w:val="0"/>
              <w:snapToGrid w:val="0"/>
              <w:spacing w:after="0"/>
              <w:rPr>
                <w:rFonts w:ascii="宋体" w:hAnsi="宋体" w:cs="宋体"/>
                <w:bCs/>
                <w:color w:val="000000"/>
                <w:sz w:val="28"/>
                <w:szCs w:val="28"/>
                <w:lang w:val="en-US"/>
              </w:rPr>
            </w:pPr>
            <w:r>
              <w:rPr>
                <w:rFonts w:hint="eastAsia" w:ascii="宋体" w:hAnsi="宋体" w:cs="宋体"/>
                <w:bCs/>
                <w:color w:val="000000"/>
                <w:sz w:val="28"/>
                <w:szCs w:val="28"/>
                <w:lang w:val="en-US"/>
              </w:rPr>
              <w:t>广州市人民政府将其持有的广州市水务投资集团有限公司(“广州水投”)100%股权无偿划转至广州市城市建设投资集团有限公司(“广州城投”)。交易前，广州市人民政府持有广州水投 100%股权，单独控制广州水投。交易后，广州城投持有广州水投 100%股权，单独控制广州水投。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r>
              <w:rPr>
                <w:rFonts w:hint="eastAsia" w:ascii="宋体" w:hAnsi="宋体" w:cs="宋体"/>
                <w:bCs/>
                <w:color w:val="000000"/>
                <w:sz w:val="28"/>
                <w:szCs w:val="28"/>
                <w:lang w:eastAsia="zh-CN"/>
              </w:rPr>
              <w:t>参与集中的经营者简介（每个限</w:t>
            </w:r>
            <w:r>
              <w:rPr>
                <w:rFonts w:hint="eastAsia" w:ascii="宋体" w:hAnsi="宋体" w:cs="宋体"/>
                <w:bCs/>
                <w:color w:val="000000"/>
                <w:sz w:val="28"/>
                <w:szCs w:val="28"/>
                <w:lang w:val="en-US" w:eastAsia="zh-CN"/>
              </w:rPr>
              <w:t>100字以内</w:t>
            </w:r>
            <w:r>
              <w:rPr>
                <w:rFonts w:hint="eastAsia" w:ascii="宋体" w:hAnsi="宋体" w:cs="宋体"/>
                <w:bCs/>
                <w:color w:val="000000"/>
                <w:sz w:val="28"/>
                <w:szCs w:val="28"/>
                <w:lang w:eastAsia="zh-CN"/>
              </w:rPr>
              <w:t>）</w:t>
            </w:r>
          </w:p>
        </w:tc>
        <w:tc>
          <w:tcPr>
            <w:tcW w:w="1607" w:type="dxa"/>
            <w:noWrap w:val="0"/>
            <w:vAlign w:val="center"/>
          </w:tcPr>
          <w:p>
            <w:pPr>
              <w:pStyle w:val="5"/>
              <w:adjustRightInd w:val="0"/>
              <w:snapToGrid w:val="0"/>
              <w:spacing w:after="0"/>
              <w:rPr>
                <w:rFonts w:ascii="宋体" w:hAnsi="宋体" w:cs="宋体"/>
                <w:bCs/>
                <w:color w:val="000000"/>
                <w:sz w:val="28"/>
                <w:szCs w:val="28"/>
                <w:lang w:eastAsia="zh-CN"/>
              </w:rPr>
            </w:pPr>
            <w:r>
              <w:rPr>
                <w:rFonts w:hint="eastAsia" w:ascii="宋体" w:hAnsi="宋体" w:cs="宋体"/>
                <w:bCs/>
                <w:color w:val="000000"/>
                <w:sz w:val="28"/>
                <w:szCs w:val="28"/>
                <w:lang w:val="en-US" w:eastAsia="zh-CN"/>
              </w:rPr>
              <w:t>1.</w:t>
            </w:r>
            <w:r>
              <w:rPr>
                <w:rFonts w:hint="eastAsia" w:ascii="宋体" w:hAnsi="宋体" w:cs="宋体"/>
                <w:bCs/>
                <w:color w:val="000000"/>
                <w:sz w:val="28"/>
                <w:szCs w:val="28"/>
                <w:lang w:eastAsia="zh-CN"/>
              </w:rPr>
              <w:t>广州城投</w:t>
            </w:r>
          </w:p>
        </w:tc>
        <w:tc>
          <w:tcPr>
            <w:tcW w:w="6093" w:type="dxa"/>
            <w:noWrap w:val="0"/>
            <w:vAlign w:val="center"/>
          </w:tcPr>
          <w:p>
            <w:pPr>
              <w:pStyle w:val="5"/>
              <w:adjustRightInd w:val="0"/>
              <w:snapToGrid w:val="0"/>
              <w:spacing w:after="0"/>
              <w:rPr>
                <w:rFonts w:hint="eastAsia" w:ascii="宋体" w:hAnsi="宋体" w:cs="宋体"/>
                <w:bCs/>
                <w:color w:val="000000"/>
                <w:sz w:val="28"/>
                <w:szCs w:val="28"/>
                <w:lang w:val="en-US"/>
              </w:rPr>
            </w:pPr>
            <w:r>
              <w:rPr>
                <w:rFonts w:hint="eastAsia" w:ascii="宋体" w:hAnsi="宋体" w:cs="宋体"/>
                <w:bCs/>
                <w:color w:val="000000"/>
                <w:sz w:val="28"/>
                <w:szCs w:val="28"/>
                <w:lang w:val="en-US"/>
              </w:rPr>
              <w:t>广州城投于2008年12月9日成立于广东省广州市，主要从事资产经营、房地产、金融和贸易业务。</w:t>
            </w:r>
          </w:p>
          <w:p>
            <w:pPr>
              <w:pStyle w:val="5"/>
              <w:adjustRightInd w:val="0"/>
              <w:snapToGrid w:val="0"/>
              <w:spacing w:after="0"/>
              <w:rPr>
                <w:rFonts w:ascii="宋体" w:hAnsi="宋体" w:cs="宋体"/>
                <w:bCs/>
                <w:color w:val="000000"/>
                <w:sz w:val="28"/>
                <w:szCs w:val="28"/>
                <w:lang w:val="en-US" w:eastAsia="zh-CN"/>
              </w:rPr>
            </w:pPr>
            <w:r>
              <w:rPr>
                <w:rFonts w:hint="eastAsia" w:ascii="宋体" w:hAnsi="宋体" w:cs="宋体"/>
                <w:bCs/>
                <w:color w:val="000000"/>
                <w:sz w:val="28"/>
                <w:szCs w:val="28"/>
                <w:lang w:val="en-US"/>
              </w:rPr>
              <w:t>广州城投为广州市国资委下属企业。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4" w:hRule="atLeast"/>
          <w:jc w:val="center"/>
        </w:trPr>
        <w:tc>
          <w:tcPr>
            <w:tcW w:w="1940" w:type="dxa"/>
            <w:vMerge w:val="continue"/>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p>
        </w:tc>
        <w:tc>
          <w:tcPr>
            <w:tcW w:w="1607" w:type="dxa"/>
            <w:noWrap w:val="0"/>
            <w:vAlign w:val="center"/>
          </w:tcPr>
          <w:p>
            <w:pPr>
              <w:pStyle w:val="5"/>
              <w:adjustRightInd w:val="0"/>
              <w:snapToGrid w:val="0"/>
              <w:spacing w:after="0"/>
              <w:rPr>
                <w:rFonts w:ascii="宋体" w:hAnsi="宋体" w:cs="宋体"/>
                <w:bCs/>
                <w:color w:val="000000"/>
                <w:sz w:val="28"/>
                <w:szCs w:val="28"/>
                <w:lang w:eastAsia="zh-CN"/>
              </w:rPr>
            </w:pPr>
            <w:r>
              <w:rPr>
                <w:rFonts w:hint="eastAsia" w:ascii="宋体" w:hAnsi="宋体" w:cs="宋体"/>
                <w:bCs/>
                <w:color w:val="000000"/>
                <w:sz w:val="28"/>
                <w:szCs w:val="28"/>
                <w:lang w:val="en-US" w:eastAsia="zh-CN"/>
              </w:rPr>
              <w:t>2.</w:t>
            </w:r>
            <w:r>
              <w:rPr>
                <w:rFonts w:hint="eastAsia" w:ascii="宋体" w:hAnsi="宋体" w:cs="宋体"/>
                <w:bCs/>
                <w:color w:val="000000"/>
                <w:sz w:val="28"/>
                <w:szCs w:val="28"/>
                <w:lang w:eastAsia="zh-CN"/>
              </w:rPr>
              <w:t>广州水投</w:t>
            </w:r>
          </w:p>
        </w:tc>
        <w:tc>
          <w:tcPr>
            <w:tcW w:w="6093" w:type="dxa"/>
            <w:noWrap w:val="0"/>
            <w:vAlign w:val="center"/>
          </w:tcPr>
          <w:p>
            <w:pPr>
              <w:widowControl w:val="0"/>
              <w:adjustRightInd w:val="0"/>
              <w:snapToGrid w:val="0"/>
              <w:spacing w:after="0"/>
              <w:rPr>
                <w:rFonts w:hint="eastAsia" w:ascii="宋体" w:hAnsi="宋体" w:cs="宋体"/>
                <w:bCs/>
                <w:color w:val="000000"/>
                <w:sz w:val="28"/>
                <w:szCs w:val="28"/>
                <w:lang w:val="en-US"/>
              </w:rPr>
            </w:pPr>
            <w:r>
              <w:rPr>
                <w:rFonts w:hint="eastAsia" w:ascii="宋体" w:hAnsi="宋体" w:cs="宋体"/>
                <w:bCs/>
                <w:color w:val="000000"/>
                <w:sz w:val="28"/>
                <w:szCs w:val="28"/>
                <w:lang w:val="en-US"/>
              </w:rPr>
              <w:t>广州水投于2008年12月12日成立于广东省广州市</w:t>
            </w:r>
            <w:r>
              <w:rPr>
                <w:rFonts w:hint="eastAsia" w:ascii="宋体" w:hAnsi="宋体" w:cs="宋体"/>
                <w:bCs/>
                <w:color w:val="000000"/>
                <w:sz w:val="28"/>
                <w:szCs w:val="28"/>
                <w:lang w:val="en-US" w:eastAsia="zh-CN"/>
              </w:rPr>
              <w:t>，</w:t>
            </w:r>
            <w:r>
              <w:rPr>
                <w:rFonts w:hint="eastAsia" w:ascii="宋体" w:hAnsi="宋体" w:cs="宋体"/>
                <w:bCs/>
                <w:color w:val="000000"/>
                <w:sz w:val="28"/>
                <w:szCs w:val="28"/>
                <w:lang w:val="en-US"/>
              </w:rPr>
              <w:t>主要从事城市供水、污水处理、排水管网及设备维护</w:t>
            </w:r>
            <w:r>
              <w:rPr>
                <w:rFonts w:hint="eastAsia" w:ascii="宋体" w:hAnsi="宋体" w:cs="宋体"/>
                <w:bCs/>
                <w:color w:val="000000"/>
                <w:sz w:val="28"/>
                <w:szCs w:val="28"/>
                <w:lang w:val="en-US" w:eastAsia="zh-CN"/>
              </w:rPr>
              <w:t>、</w:t>
            </w:r>
            <w:r>
              <w:rPr>
                <w:rFonts w:hint="eastAsia" w:ascii="宋体" w:hAnsi="宋体" w:cs="宋体"/>
                <w:bCs/>
                <w:color w:val="000000"/>
                <w:sz w:val="28"/>
                <w:szCs w:val="28"/>
                <w:lang w:val="en-US"/>
              </w:rPr>
              <w:t>工程设计业务。</w:t>
            </w:r>
          </w:p>
          <w:p>
            <w:pPr>
              <w:widowControl w:val="0"/>
              <w:adjustRightInd w:val="0"/>
              <w:snapToGrid w:val="0"/>
              <w:spacing w:after="0"/>
              <w:rPr>
                <w:rFonts w:ascii="宋体" w:hAnsi="宋体" w:cs="宋体"/>
                <w:bCs/>
                <w:color w:val="000000"/>
                <w:sz w:val="28"/>
                <w:szCs w:val="28"/>
                <w:lang w:val="en-US"/>
              </w:rPr>
            </w:pPr>
            <w:r>
              <w:rPr>
                <w:rFonts w:hint="eastAsia" w:ascii="宋体" w:hAnsi="宋体" w:cs="宋体"/>
                <w:bCs/>
                <w:color w:val="000000"/>
                <w:sz w:val="28"/>
                <w:szCs w:val="28"/>
                <w:lang w:val="en-US"/>
              </w:rPr>
              <w:t>广州水投为广州市国资委下属企业。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r>
              <w:rPr>
                <w:rFonts w:hint="eastAsia" w:ascii="宋体" w:hAnsi="宋体" w:cs="宋体"/>
                <w:bCs/>
                <w:color w:val="000000"/>
                <w:sz w:val="28"/>
                <w:szCs w:val="28"/>
                <w:lang w:eastAsia="zh-CN"/>
              </w:rPr>
              <w:t>简易案件理由（可以单选，也可以多选）</w:t>
            </w:r>
          </w:p>
        </w:tc>
        <w:tc>
          <w:tcPr>
            <w:tcW w:w="7700" w:type="dxa"/>
            <w:gridSpan w:val="2"/>
            <w:noWrap w:val="0"/>
            <w:vAlign w:val="center"/>
          </w:tcPr>
          <w:p>
            <w:pPr>
              <w:pStyle w:val="5"/>
              <w:adjustRightInd w:val="0"/>
              <w:snapToGrid w:val="0"/>
              <w:spacing w:after="0"/>
              <w:rPr>
                <w:rFonts w:ascii="宋体" w:hAnsi="宋体" w:cs="宋体"/>
                <w:bCs/>
                <w:color w:val="000000"/>
                <w:sz w:val="28"/>
                <w:szCs w:val="28"/>
                <w:lang w:val="en-US" w:eastAsia="zh-CN"/>
              </w:rPr>
            </w:pPr>
            <w:r>
              <w:rPr>
                <w:rFonts w:hint="default" w:ascii="Times New Roman" w:hAnsi="Times New Roman" w:cs="Times New Roman"/>
                <w:bCs/>
                <w:color w:val="000000"/>
                <w:sz w:val="28"/>
                <w:szCs w:val="28"/>
                <w:lang w:eastAsia="zh-CN"/>
              </w:rPr>
              <w:t>√</w:t>
            </w:r>
            <w:r>
              <w:rPr>
                <w:rFonts w:hint="eastAsia" w:ascii="Times New Roman" w:hAnsi="Times New Roman" w:cs="Times New Roman"/>
                <w:bCs/>
                <w:color w:val="000000"/>
                <w:sz w:val="28"/>
                <w:szCs w:val="28"/>
                <w:lang w:val="en-US" w:eastAsia="zh-CN"/>
              </w:rPr>
              <w:t xml:space="preserve"> </w:t>
            </w:r>
            <w:r>
              <w:rPr>
                <w:rFonts w:hint="eastAsia" w:ascii="宋体" w:hAnsi="宋体" w:cs="宋体"/>
                <w:bCs/>
                <w:color w:val="000000"/>
                <w:sz w:val="28"/>
                <w:szCs w:val="28"/>
                <w:lang w:eastAsia="zh-CN"/>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jc w:val="center"/>
        </w:trPr>
        <w:tc>
          <w:tcPr>
            <w:tcW w:w="1940" w:type="dxa"/>
            <w:vMerge w:val="continue"/>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p>
        </w:tc>
        <w:tc>
          <w:tcPr>
            <w:tcW w:w="7700" w:type="dxa"/>
            <w:gridSpan w:val="2"/>
            <w:noWrap w:val="0"/>
            <w:vAlign w:val="center"/>
          </w:tcPr>
          <w:p>
            <w:pPr>
              <w:pStyle w:val="5"/>
              <w:adjustRightInd w:val="0"/>
              <w:snapToGrid w:val="0"/>
              <w:spacing w:after="0"/>
              <w:ind w:firstLine="280" w:firstLineChars="100"/>
              <w:rPr>
                <w:rFonts w:ascii="宋体" w:hAnsi="宋体" w:cs="宋体"/>
                <w:bCs/>
                <w:color w:val="000000"/>
                <w:sz w:val="28"/>
                <w:szCs w:val="28"/>
                <w:lang w:val="en-US" w:eastAsia="zh-CN"/>
              </w:rPr>
            </w:pPr>
            <w:r>
              <w:rPr>
                <w:rFonts w:hint="eastAsia" w:ascii="宋体" w:hAnsi="宋体" w:cs="宋体"/>
                <w:bCs/>
                <w:color w:val="000000"/>
                <w:sz w:val="28"/>
                <w:szCs w:val="28"/>
                <w:lang w:eastAsia="zh-CN"/>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p>
        </w:tc>
        <w:tc>
          <w:tcPr>
            <w:tcW w:w="7700" w:type="dxa"/>
            <w:gridSpan w:val="2"/>
            <w:noWrap w:val="0"/>
            <w:vAlign w:val="center"/>
          </w:tcPr>
          <w:p>
            <w:pPr>
              <w:pStyle w:val="5"/>
              <w:adjustRightInd w:val="0"/>
              <w:snapToGrid w:val="0"/>
              <w:spacing w:after="0"/>
              <w:ind w:firstLine="280" w:firstLineChars="100"/>
              <w:rPr>
                <w:rFonts w:ascii="宋体" w:hAnsi="宋体" w:cs="宋体"/>
                <w:bCs/>
                <w:color w:val="000000"/>
                <w:sz w:val="28"/>
                <w:szCs w:val="28"/>
                <w:lang w:val="en-US" w:eastAsia="zh-CN"/>
              </w:rPr>
            </w:pPr>
            <w:r>
              <w:rPr>
                <w:rFonts w:hint="eastAsia" w:ascii="宋体" w:hAnsi="宋体" w:cs="宋体"/>
                <w:bCs/>
                <w:color w:val="000000"/>
                <w:sz w:val="28"/>
                <w:szCs w:val="28"/>
                <w:lang w:eastAsia="zh-CN"/>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p>
        </w:tc>
        <w:tc>
          <w:tcPr>
            <w:tcW w:w="7700" w:type="dxa"/>
            <w:gridSpan w:val="2"/>
            <w:noWrap w:val="0"/>
            <w:vAlign w:val="center"/>
          </w:tcPr>
          <w:p>
            <w:pPr>
              <w:pStyle w:val="5"/>
              <w:adjustRightInd w:val="0"/>
              <w:snapToGrid w:val="0"/>
              <w:spacing w:after="0"/>
              <w:ind w:firstLine="280" w:firstLineChars="100"/>
              <w:rPr>
                <w:rFonts w:ascii="宋体" w:hAnsi="宋体" w:cs="宋体"/>
                <w:bCs/>
                <w:color w:val="000000"/>
                <w:sz w:val="28"/>
                <w:szCs w:val="28"/>
                <w:lang w:val="en-US" w:eastAsia="zh-CN"/>
              </w:rPr>
            </w:pPr>
            <w:r>
              <w:rPr>
                <w:rFonts w:hint="eastAsia" w:ascii="宋体" w:hAnsi="宋体" w:cs="宋体"/>
                <w:bCs/>
                <w:color w:val="000000"/>
                <w:sz w:val="28"/>
                <w:szCs w:val="28"/>
                <w:lang w:eastAsia="zh-CN"/>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p>
        </w:tc>
        <w:tc>
          <w:tcPr>
            <w:tcW w:w="7700" w:type="dxa"/>
            <w:gridSpan w:val="2"/>
            <w:noWrap w:val="0"/>
            <w:vAlign w:val="center"/>
          </w:tcPr>
          <w:p>
            <w:pPr>
              <w:pStyle w:val="5"/>
              <w:adjustRightInd w:val="0"/>
              <w:snapToGrid w:val="0"/>
              <w:spacing w:after="0"/>
              <w:ind w:firstLine="280" w:firstLineChars="100"/>
              <w:rPr>
                <w:rFonts w:ascii="宋体" w:hAnsi="宋体" w:cs="宋体"/>
                <w:bCs/>
                <w:color w:val="000000"/>
                <w:sz w:val="28"/>
                <w:szCs w:val="28"/>
                <w:lang w:val="en-US" w:eastAsia="zh-CN"/>
              </w:rPr>
            </w:pPr>
            <w:r>
              <w:rPr>
                <w:rFonts w:hint="eastAsia" w:ascii="宋体" w:hAnsi="宋体" w:cs="宋体"/>
                <w:bCs/>
                <w:color w:val="000000"/>
                <w:sz w:val="28"/>
                <w:szCs w:val="28"/>
                <w:lang w:eastAsia="zh-CN"/>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p>
        </w:tc>
        <w:tc>
          <w:tcPr>
            <w:tcW w:w="7700" w:type="dxa"/>
            <w:gridSpan w:val="2"/>
            <w:noWrap w:val="0"/>
            <w:vAlign w:val="center"/>
          </w:tcPr>
          <w:p>
            <w:pPr>
              <w:pStyle w:val="5"/>
              <w:adjustRightInd w:val="0"/>
              <w:snapToGrid w:val="0"/>
              <w:spacing w:after="0"/>
              <w:ind w:firstLine="280" w:firstLineChars="100"/>
              <w:rPr>
                <w:rFonts w:ascii="宋体" w:hAnsi="宋体" w:cs="宋体"/>
                <w:bCs/>
                <w:color w:val="000000"/>
                <w:sz w:val="28"/>
                <w:szCs w:val="28"/>
                <w:lang w:val="en-US" w:eastAsia="zh-CN"/>
              </w:rPr>
            </w:pPr>
            <w:r>
              <w:rPr>
                <w:rFonts w:hint="eastAsia" w:ascii="宋体" w:hAnsi="宋体" w:cs="宋体"/>
                <w:bCs/>
                <w:color w:val="000000"/>
                <w:sz w:val="28"/>
                <w:szCs w:val="28"/>
                <w:lang w:eastAsia="zh-CN"/>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5"/>
              <w:adjustRightInd w:val="0"/>
              <w:snapToGrid w:val="0"/>
              <w:spacing w:after="0"/>
              <w:rPr>
                <w:rFonts w:ascii="宋体" w:hAnsi="宋体" w:cs="宋体"/>
                <w:bCs/>
                <w:color w:val="000000"/>
                <w:sz w:val="28"/>
                <w:szCs w:val="28"/>
                <w:lang w:val="en-US" w:eastAsia="zh-CN"/>
              </w:rPr>
            </w:pPr>
            <w:r>
              <w:rPr>
                <w:rFonts w:hint="eastAsia" w:ascii="宋体" w:hAnsi="宋体" w:cs="宋体"/>
                <w:bCs/>
                <w:color w:val="000000"/>
                <w:sz w:val="28"/>
                <w:szCs w:val="28"/>
                <w:lang w:val="en-US" w:eastAsia="zh-CN"/>
              </w:rPr>
              <w:t>备注</w:t>
            </w:r>
          </w:p>
        </w:tc>
        <w:tc>
          <w:tcPr>
            <w:tcW w:w="7700" w:type="dxa"/>
            <w:gridSpan w:val="2"/>
            <w:noWrap w:val="0"/>
            <w:vAlign w:val="center"/>
          </w:tcPr>
          <w:p>
            <w:pPr>
              <w:pStyle w:val="5"/>
              <w:adjustRightInd w:val="0"/>
              <w:snapToGrid w:val="0"/>
              <w:spacing w:after="0"/>
              <w:rPr>
                <w:rFonts w:ascii="宋体" w:hAnsi="宋体" w:cs="宋体"/>
                <w:b/>
                <w:color w:val="000000"/>
                <w:sz w:val="28"/>
                <w:szCs w:val="28"/>
                <w:lang w:eastAsia="zh-CN"/>
              </w:rPr>
            </w:pPr>
            <w:r>
              <w:rPr>
                <w:rFonts w:hint="eastAsia" w:ascii="宋体" w:hAnsi="宋体" w:cs="宋体"/>
                <w:b/>
                <w:color w:val="000000"/>
                <w:sz w:val="28"/>
                <w:szCs w:val="28"/>
                <w:lang w:eastAsia="zh-CN"/>
              </w:rPr>
              <w:t>横向重叠：</w:t>
            </w:r>
          </w:p>
          <w:p>
            <w:pPr>
              <w:pStyle w:val="5"/>
              <w:adjustRightInd w:val="0"/>
              <w:snapToGrid w:val="0"/>
              <w:spacing w:after="0"/>
              <w:rPr>
                <w:rFonts w:ascii="宋体" w:hAnsi="宋体" w:cs="宋体"/>
                <w:bCs/>
                <w:color w:val="000000"/>
                <w:sz w:val="28"/>
                <w:szCs w:val="28"/>
                <w:lang w:val="en-US" w:eastAsia="zh-CN"/>
              </w:rPr>
            </w:pPr>
            <w:r>
              <w:rPr>
                <w:rFonts w:ascii="宋体" w:hAnsi="宋体" w:cs="宋体"/>
                <w:bCs/>
                <w:color w:val="000000"/>
                <w:sz w:val="28"/>
                <w:szCs w:val="28"/>
                <w:lang w:val="en-US" w:eastAsia="zh-CN"/>
              </w:rPr>
              <w:t>2021</w:t>
            </w:r>
            <w:r>
              <w:rPr>
                <w:rFonts w:hint="eastAsia" w:ascii="宋体" w:hAnsi="宋体" w:cs="宋体"/>
                <w:bCs/>
                <w:color w:val="000000"/>
                <w:sz w:val="28"/>
                <w:szCs w:val="28"/>
                <w:lang w:val="en-US" w:eastAsia="zh-CN"/>
              </w:rPr>
              <w:t>年中国境内市政工程设计市场:</w:t>
            </w:r>
          </w:p>
          <w:p>
            <w:pPr>
              <w:pStyle w:val="5"/>
              <w:adjustRightInd w:val="0"/>
              <w:snapToGrid w:val="0"/>
              <w:spacing w:after="0"/>
              <w:rPr>
                <w:rFonts w:ascii="宋体" w:hAnsi="宋体" w:cs="宋体"/>
                <w:bCs/>
                <w:color w:val="000000"/>
                <w:sz w:val="28"/>
                <w:szCs w:val="28"/>
                <w:lang w:val="en-US" w:eastAsia="zh-CN"/>
              </w:rPr>
            </w:pPr>
            <w:r>
              <w:rPr>
                <w:rFonts w:hint="eastAsia" w:ascii="宋体" w:hAnsi="宋体" w:cs="宋体"/>
                <w:bCs/>
                <w:color w:val="000000"/>
                <w:sz w:val="28"/>
                <w:szCs w:val="28"/>
                <w:lang w:val="en-US" w:eastAsia="zh-CN"/>
              </w:rPr>
              <w:t>广州城投：</w:t>
            </w:r>
            <w:r>
              <w:rPr>
                <w:rFonts w:ascii="宋体" w:hAnsi="宋体" w:cs="宋体"/>
                <w:bCs/>
                <w:color w:val="000000"/>
                <w:sz w:val="28"/>
                <w:szCs w:val="28"/>
                <w:lang w:val="en-US" w:eastAsia="zh-CN"/>
              </w:rPr>
              <w:t>0</w:t>
            </w:r>
            <w:r>
              <w:rPr>
                <w:rFonts w:hint="eastAsia" w:ascii="宋体" w:hAnsi="宋体" w:cs="宋体"/>
                <w:bCs/>
                <w:color w:val="000000"/>
                <w:sz w:val="28"/>
                <w:szCs w:val="28"/>
                <w:lang w:val="en-US" w:eastAsia="zh-CN"/>
              </w:rPr>
              <w:t>-</w:t>
            </w:r>
            <w:r>
              <w:rPr>
                <w:rFonts w:ascii="宋体" w:hAnsi="宋体" w:cs="宋体"/>
                <w:bCs/>
                <w:color w:val="000000"/>
                <w:sz w:val="28"/>
                <w:szCs w:val="28"/>
                <w:lang w:val="en-US" w:eastAsia="zh-CN"/>
              </w:rPr>
              <w:t>5</w:t>
            </w:r>
            <w:r>
              <w:rPr>
                <w:rFonts w:hint="eastAsia" w:ascii="宋体" w:hAnsi="宋体" w:cs="宋体"/>
                <w:bCs/>
                <w:color w:val="000000"/>
                <w:sz w:val="28"/>
                <w:szCs w:val="28"/>
                <w:lang w:val="en-US" w:eastAsia="zh-CN"/>
              </w:rPr>
              <w:t>%，广州水投：</w:t>
            </w:r>
            <w:r>
              <w:rPr>
                <w:rFonts w:ascii="宋体" w:hAnsi="宋体" w:cs="宋体"/>
                <w:bCs/>
                <w:color w:val="000000"/>
                <w:sz w:val="28"/>
                <w:szCs w:val="28"/>
                <w:lang w:val="en-US" w:eastAsia="zh-CN"/>
              </w:rPr>
              <w:t>0</w:t>
            </w:r>
            <w:r>
              <w:rPr>
                <w:rFonts w:hint="eastAsia" w:ascii="宋体" w:hAnsi="宋体" w:cs="宋体"/>
                <w:bCs/>
                <w:color w:val="000000"/>
                <w:sz w:val="28"/>
                <w:szCs w:val="28"/>
                <w:lang w:val="en-US" w:eastAsia="zh-CN"/>
              </w:rPr>
              <w:t>-</w:t>
            </w:r>
            <w:r>
              <w:rPr>
                <w:rFonts w:ascii="宋体" w:hAnsi="宋体" w:cs="宋体"/>
                <w:bCs/>
                <w:color w:val="000000"/>
                <w:sz w:val="28"/>
                <w:szCs w:val="28"/>
                <w:lang w:val="en-US" w:eastAsia="zh-CN"/>
              </w:rPr>
              <w:t>5</w:t>
            </w:r>
            <w:r>
              <w:rPr>
                <w:rFonts w:hint="eastAsia" w:ascii="宋体" w:hAnsi="宋体" w:cs="宋体"/>
                <w:bCs/>
                <w:color w:val="000000"/>
                <w:sz w:val="28"/>
                <w:szCs w:val="28"/>
                <w:lang w:val="en-US" w:eastAsia="zh-CN"/>
              </w:rPr>
              <w:t>%，各方合计：0-</w:t>
            </w:r>
            <w:r>
              <w:rPr>
                <w:rFonts w:ascii="宋体" w:hAnsi="宋体" w:cs="宋体"/>
                <w:bCs/>
                <w:color w:val="000000"/>
                <w:sz w:val="28"/>
                <w:szCs w:val="28"/>
                <w:lang w:val="en-US" w:eastAsia="zh-CN"/>
              </w:rPr>
              <w:t>5</w:t>
            </w:r>
            <w:r>
              <w:rPr>
                <w:rFonts w:hint="eastAsia" w:ascii="宋体" w:hAnsi="宋体" w:cs="宋体"/>
                <w:bCs/>
                <w:color w:val="000000"/>
                <w:sz w:val="28"/>
                <w:szCs w:val="28"/>
                <w:lang w:val="en-US" w:eastAsia="zh-CN"/>
              </w:rPr>
              <w:t>%</w:t>
            </w:r>
          </w:p>
          <w:p>
            <w:pPr>
              <w:pStyle w:val="5"/>
              <w:adjustRightInd w:val="0"/>
              <w:snapToGrid w:val="0"/>
              <w:spacing w:after="0"/>
              <w:rPr>
                <w:rFonts w:ascii="宋体" w:hAnsi="宋体" w:cs="宋体"/>
                <w:bCs/>
                <w:color w:val="000000"/>
                <w:sz w:val="28"/>
                <w:szCs w:val="28"/>
                <w:lang w:val="en-US" w:eastAsia="zh-CN"/>
              </w:rPr>
            </w:pPr>
          </w:p>
          <w:p>
            <w:pPr>
              <w:pStyle w:val="5"/>
              <w:adjustRightInd w:val="0"/>
              <w:snapToGrid w:val="0"/>
              <w:spacing w:after="0"/>
              <w:rPr>
                <w:rFonts w:ascii="宋体" w:hAnsi="宋体" w:cs="宋体"/>
                <w:bCs/>
                <w:color w:val="000000"/>
                <w:sz w:val="28"/>
                <w:szCs w:val="28"/>
                <w:lang w:val="en-US" w:eastAsia="zh-CN"/>
              </w:rPr>
            </w:pPr>
            <w:r>
              <w:rPr>
                <w:rFonts w:ascii="宋体" w:hAnsi="宋体" w:cs="宋体"/>
                <w:bCs/>
                <w:color w:val="000000"/>
                <w:sz w:val="28"/>
                <w:szCs w:val="28"/>
                <w:lang w:val="en-US" w:eastAsia="zh-CN"/>
              </w:rPr>
              <w:t>2021</w:t>
            </w:r>
            <w:r>
              <w:rPr>
                <w:rFonts w:hint="eastAsia" w:ascii="宋体" w:hAnsi="宋体" w:cs="宋体"/>
                <w:bCs/>
                <w:color w:val="000000"/>
                <w:sz w:val="28"/>
                <w:szCs w:val="28"/>
                <w:lang w:val="en-US" w:eastAsia="zh-CN"/>
              </w:rPr>
              <w:t>年中国境内房屋建筑工程施工总承包市场:</w:t>
            </w:r>
          </w:p>
          <w:p>
            <w:pPr>
              <w:pStyle w:val="5"/>
              <w:adjustRightInd w:val="0"/>
              <w:snapToGrid w:val="0"/>
              <w:spacing w:after="0"/>
              <w:rPr>
                <w:rFonts w:ascii="宋体" w:hAnsi="宋体" w:cs="宋体"/>
                <w:bCs/>
                <w:color w:val="000000"/>
                <w:sz w:val="28"/>
                <w:szCs w:val="28"/>
                <w:lang w:val="en-US" w:eastAsia="zh-CN"/>
              </w:rPr>
            </w:pPr>
            <w:r>
              <w:rPr>
                <w:rFonts w:hint="eastAsia" w:ascii="宋体" w:hAnsi="宋体" w:cs="宋体"/>
                <w:bCs/>
                <w:color w:val="000000"/>
                <w:sz w:val="28"/>
                <w:szCs w:val="28"/>
                <w:lang w:val="en-US" w:eastAsia="zh-CN"/>
              </w:rPr>
              <w:t>广州城投：</w:t>
            </w:r>
            <w:r>
              <w:rPr>
                <w:rFonts w:ascii="宋体" w:hAnsi="宋体" w:cs="宋体"/>
                <w:bCs/>
                <w:color w:val="000000"/>
                <w:sz w:val="28"/>
                <w:szCs w:val="28"/>
                <w:lang w:val="en-US" w:eastAsia="zh-CN"/>
              </w:rPr>
              <w:t>0</w:t>
            </w:r>
            <w:r>
              <w:rPr>
                <w:rFonts w:hint="eastAsia" w:ascii="宋体" w:hAnsi="宋体" w:cs="宋体"/>
                <w:bCs/>
                <w:color w:val="000000"/>
                <w:sz w:val="28"/>
                <w:szCs w:val="28"/>
                <w:lang w:val="en-US" w:eastAsia="zh-CN"/>
              </w:rPr>
              <w:t>-</w:t>
            </w:r>
            <w:r>
              <w:rPr>
                <w:rFonts w:ascii="宋体" w:hAnsi="宋体" w:cs="宋体"/>
                <w:bCs/>
                <w:color w:val="000000"/>
                <w:sz w:val="28"/>
                <w:szCs w:val="28"/>
                <w:lang w:val="en-US" w:eastAsia="zh-CN"/>
              </w:rPr>
              <w:t>5</w:t>
            </w:r>
            <w:r>
              <w:rPr>
                <w:rFonts w:hint="eastAsia" w:ascii="宋体" w:hAnsi="宋体" w:cs="宋体"/>
                <w:bCs/>
                <w:color w:val="000000"/>
                <w:sz w:val="28"/>
                <w:szCs w:val="28"/>
                <w:lang w:val="en-US" w:eastAsia="zh-CN"/>
              </w:rPr>
              <w:t>%，广州水投：</w:t>
            </w:r>
            <w:r>
              <w:rPr>
                <w:rFonts w:ascii="宋体" w:hAnsi="宋体" w:cs="宋体"/>
                <w:bCs/>
                <w:color w:val="000000"/>
                <w:sz w:val="28"/>
                <w:szCs w:val="28"/>
                <w:lang w:val="en-US" w:eastAsia="zh-CN"/>
              </w:rPr>
              <w:t>0</w:t>
            </w:r>
            <w:r>
              <w:rPr>
                <w:rFonts w:hint="eastAsia" w:ascii="宋体" w:hAnsi="宋体" w:cs="宋体"/>
                <w:bCs/>
                <w:color w:val="000000"/>
                <w:sz w:val="28"/>
                <w:szCs w:val="28"/>
                <w:lang w:val="en-US" w:eastAsia="zh-CN"/>
              </w:rPr>
              <w:t>-</w:t>
            </w:r>
            <w:r>
              <w:rPr>
                <w:rFonts w:ascii="宋体" w:hAnsi="宋体" w:cs="宋体"/>
                <w:bCs/>
                <w:color w:val="000000"/>
                <w:sz w:val="28"/>
                <w:szCs w:val="28"/>
                <w:lang w:val="en-US" w:eastAsia="zh-CN"/>
              </w:rPr>
              <w:t>5</w:t>
            </w:r>
            <w:r>
              <w:rPr>
                <w:rFonts w:hint="eastAsia" w:ascii="宋体" w:hAnsi="宋体" w:cs="宋体"/>
                <w:bCs/>
                <w:color w:val="000000"/>
                <w:sz w:val="28"/>
                <w:szCs w:val="28"/>
                <w:lang w:val="en-US" w:eastAsia="zh-CN"/>
              </w:rPr>
              <w:t>%，各方合计：0-</w:t>
            </w:r>
            <w:r>
              <w:rPr>
                <w:rFonts w:ascii="宋体" w:hAnsi="宋体" w:cs="宋体"/>
                <w:bCs/>
                <w:color w:val="000000"/>
                <w:sz w:val="28"/>
                <w:szCs w:val="28"/>
                <w:lang w:val="en-US" w:eastAsia="zh-CN"/>
              </w:rPr>
              <w:t>5</w:t>
            </w:r>
            <w:r>
              <w:rPr>
                <w:rFonts w:hint="eastAsia" w:ascii="宋体" w:hAnsi="宋体" w:cs="宋体"/>
                <w:bCs/>
                <w:color w:val="000000"/>
                <w:sz w:val="28"/>
                <w:szCs w:val="28"/>
                <w:lang w:val="en-US" w:eastAsia="zh-CN"/>
              </w:rPr>
              <w:t>%</w:t>
            </w: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2000000000000000000"/>
    <w:charset w:val="86"/>
    <w:family w:val="auto"/>
    <w:pitch w:val="default"/>
    <w:sig w:usb0="00000000" w:usb1="00000000" w:usb2="00000012" w:usb3="00000000" w:csb0="00040001" w:csb1="00000000"/>
  </w:font>
  <w:font w:name="Simplified Arabic">
    <w:panose1 w:val="02020603050405020304"/>
    <w:charset w:val="00"/>
    <w:family w:val="roman"/>
    <w:pitch w:val="default"/>
    <w:sig w:usb0="00002003" w:usb1="00000000" w:usb2="00000000" w:usb3="00000000" w:csb0="00000041" w:csb1="200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F75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1"/>
    <w:qFormat/>
    <w:uiPriority w:val="9"/>
    <w:pPr>
      <w:spacing w:after="156" w:afterLines="50" w:line="640" w:lineRule="exact"/>
      <w:jc w:val="center"/>
      <w:outlineLvl w:val="0"/>
    </w:pPr>
    <w:rPr>
      <w:rFonts w:ascii="方正小标宋简体" w:eastAsia="方正小标宋简体"/>
      <w:kern w:val="0"/>
      <w:sz w:val="44"/>
      <w:szCs w:val="36"/>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3">
    <w:name w:val="名称2"/>
    <w:basedOn w:val="4"/>
    <w:qFormat/>
    <w:uiPriority w:val="0"/>
    <w:pPr>
      <w:spacing w:after="312" w:afterLines="100"/>
    </w:pPr>
    <w:rPr>
      <w:b w:val="0"/>
      <w:sz w:val="20"/>
    </w:rPr>
  </w:style>
  <w:style w:type="paragraph" w:customStyle="1" w:styleId="4">
    <w:name w:val="名称"/>
    <w:basedOn w:val="1"/>
    <w:qFormat/>
    <w:uiPriority w:val="0"/>
    <w:pPr>
      <w:jc w:val="center"/>
    </w:pPr>
    <w:rPr>
      <w:b/>
      <w:kern w:val="0"/>
      <w:sz w:val="44"/>
      <w:szCs w:val="20"/>
    </w:rPr>
  </w:style>
  <w:style w:type="paragraph" w:styleId="5">
    <w:name w:val="Body Text"/>
    <w:basedOn w:val="1"/>
    <w:qFormat/>
    <w:uiPriority w:val="0"/>
    <w:rPr>
      <w:rFonts w:cs="Simplified Arabic"/>
      <w:lang w:eastAsia="en-G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2023-01-01T11:03:15Z</dcterms:created>
  <dc:creator>ljjroo</dc:creator>
  <cp:lastModifiedBy>一咦已翌</cp:lastModifiedBy>
  <dcterms:modified xsi:type="dcterms:W3CDTF">2023-01-01T11:03:25Z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