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cs="黑体"/>
          <w:bCs/>
          <w:sz w:val="36"/>
          <w:szCs w:val="36"/>
        </w:rPr>
      </w:pPr>
      <w:r>
        <w:rPr>
          <w:rFonts w:hint="eastAsia" w:ascii="黑体" w:hAnsi="黑体" w:eastAsia="黑体" w:cs="黑体"/>
          <w:bCs/>
          <w:sz w:val="36"/>
          <w:szCs w:val="36"/>
        </w:rPr>
        <w:t>经营者集中简易案件公示表</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0"/>
        <w:gridCol w:w="1796"/>
        <w:gridCol w:w="51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0" w:type="dxa"/>
            <w:shd w:val="clear" w:color="auto" w:fill="D9D9D9"/>
            <w:noWrap w:val="0"/>
            <w:vAlign w:val="center"/>
          </w:tcPr>
          <w:p>
            <w:pPr>
              <w:adjustRightInd w:val="0"/>
              <w:snapToGrid w:val="0"/>
              <w:rPr>
                <w:rFonts w:ascii="宋体" w:hAnsi="宋体" w:cs="宋体"/>
                <w:color w:val="333333"/>
                <w:kern w:val="0"/>
                <w:sz w:val="24"/>
                <w:szCs w:val="24"/>
              </w:rPr>
            </w:pPr>
            <w:r>
              <w:rPr>
                <w:rFonts w:hint="eastAsia" w:ascii="宋体" w:hAnsi="宋体" w:cs="宋体"/>
                <w:bCs/>
                <w:color w:val="000000"/>
                <w:sz w:val="24"/>
                <w:szCs w:val="24"/>
                <w:lang w:val="en-GB"/>
              </w:rPr>
              <w:t>案件名称</w:t>
            </w:r>
          </w:p>
        </w:tc>
        <w:tc>
          <w:tcPr>
            <w:tcW w:w="6949" w:type="dxa"/>
            <w:gridSpan w:val="2"/>
            <w:noWrap w:val="0"/>
            <w:vAlign w:val="top"/>
          </w:tcPr>
          <w:p>
            <w:pPr>
              <w:adjustRightInd w:val="0"/>
              <w:snapToGrid w:val="0"/>
              <w:rPr>
                <w:rFonts w:ascii="宋体" w:hAnsi="宋体" w:cs="宋体"/>
                <w:color w:val="333333"/>
                <w:kern w:val="0"/>
                <w:sz w:val="24"/>
                <w:szCs w:val="24"/>
              </w:rPr>
            </w:pPr>
            <w:r>
              <w:rPr>
                <w:rFonts w:hint="eastAsia" w:ascii="宋体" w:hAnsi="宋体" w:cs="宋体"/>
                <w:color w:val="333333"/>
                <w:kern w:val="0"/>
                <w:sz w:val="24"/>
                <w:szCs w:val="24"/>
              </w:rPr>
              <w:t>招商局港口集团股份有限公司收购广东顺控临港开发建设有限公司股权案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trPr>
        <w:tc>
          <w:tcPr>
            <w:tcW w:w="1780" w:type="dxa"/>
            <w:shd w:val="clear" w:color="auto" w:fill="D9D9D9"/>
            <w:noWrap w:val="0"/>
            <w:vAlign w:val="center"/>
          </w:tcPr>
          <w:p>
            <w:pPr>
              <w:adjustRightInd w:val="0"/>
              <w:snapToGrid w:val="0"/>
              <w:rPr>
                <w:rFonts w:ascii="宋体" w:hAnsi="宋体" w:cs="宋体"/>
                <w:color w:val="333333"/>
                <w:kern w:val="0"/>
                <w:sz w:val="24"/>
                <w:szCs w:val="24"/>
              </w:rPr>
            </w:pPr>
            <w:r>
              <w:rPr>
                <w:rFonts w:hint="eastAsia" w:ascii="宋体" w:hAnsi="宋体" w:cs="宋体"/>
                <w:bCs/>
                <w:color w:val="000000"/>
                <w:sz w:val="24"/>
                <w:szCs w:val="24"/>
                <w:lang w:val="en-GB"/>
              </w:rPr>
              <w:t>交易概况（限200字内）</w:t>
            </w:r>
          </w:p>
        </w:tc>
        <w:tc>
          <w:tcPr>
            <w:tcW w:w="6949" w:type="dxa"/>
            <w:gridSpan w:val="2"/>
            <w:noWrap w:val="0"/>
            <w:vAlign w:val="top"/>
          </w:tcPr>
          <w:p>
            <w:pPr>
              <w:adjustRightInd w:val="0"/>
              <w:snapToGrid w:val="0"/>
              <w:rPr>
                <w:rFonts w:ascii="宋体" w:hAnsi="宋体" w:cs="宋体"/>
                <w:color w:val="333333"/>
                <w:kern w:val="0"/>
                <w:sz w:val="24"/>
                <w:szCs w:val="24"/>
              </w:rPr>
            </w:pPr>
            <w:r>
              <w:rPr>
                <w:rFonts w:hint="eastAsia" w:ascii="宋体" w:hAnsi="宋体" w:cs="宋体"/>
                <w:color w:val="333333"/>
                <w:kern w:val="0"/>
                <w:sz w:val="24"/>
                <w:szCs w:val="24"/>
              </w:rPr>
              <w:t>招商局港口集团股份有限公司（“招商港口”）与广东顺控城投置业有限公司（“顺控城投”）、广东顺控临港开发建设有限公司（“顺控临港”）签署协议，招商港口增资取得顺控临港5</w:t>
            </w:r>
            <w:r>
              <w:rPr>
                <w:rFonts w:ascii="宋体" w:hAnsi="宋体" w:cs="宋体"/>
                <w:color w:val="333333"/>
                <w:kern w:val="0"/>
                <w:sz w:val="24"/>
                <w:szCs w:val="24"/>
              </w:rPr>
              <w:t>1%</w:t>
            </w:r>
            <w:r>
              <w:rPr>
                <w:rFonts w:hint="eastAsia" w:ascii="宋体" w:hAnsi="宋体" w:cs="宋体"/>
                <w:color w:val="333333"/>
                <w:kern w:val="0"/>
                <w:sz w:val="24"/>
                <w:szCs w:val="24"/>
              </w:rPr>
              <w:t>股权。顺控临港主要从事内河港口集装箱和散杂货装卸服务业务。交易前，顺控城投持有顺控临港100%股权，单独控制顺控临港；交易后，招商港口将持有顺控临港51%股权，顺控城投持有顺控临港49%股权，招商港口、顺控城投共同控制顺控临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780" w:type="dxa"/>
            <w:vMerge w:val="restart"/>
            <w:shd w:val="clear" w:color="auto" w:fill="D9D9D9"/>
            <w:noWrap w:val="0"/>
            <w:vAlign w:val="center"/>
          </w:tcPr>
          <w:p>
            <w:pPr>
              <w:adjustRightInd w:val="0"/>
              <w:snapToGrid w:val="0"/>
              <w:rPr>
                <w:rFonts w:ascii="宋体" w:hAnsi="宋体" w:cs="宋体"/>
                <w:color w:val="333333"/>
                <w:kern w:val="0"/>
                <w:sz w:val="24"/>
                <w:szCs w:val="24"/>
              </w:rPr>
            </w:pPr>
            <w:r>
              <w:rPr>
                <w:rFonts w:hint="eastAsia" w:ascii="宋体" w:hAnsi="宋体" w:cs="宋体"/>
                <w:bCs/>
                <w:color w:val="000000"/>
                <w:sz w:val="24"/>
                <w:szCs w:val="24"/>
                <w:lang w:val="en-GB"/>
              </w:rPr>
              <w:t>参与集中的经营者简介（每个限</w:t>
            </w:r>
            <w:r>
              <w:rPr>
                <w:rFonts w:hint="eastAsia" w:ascii="宋体" w:hAnsi="宋体" w:cs="宋体"/>
                <w:bCs/>
                <w:color w:val="000000"/>
                <w:sz w:val="24"/>
                <w:szCs w:val="24"/>
              </w:rPr>
              <w:t>100字以内</w:t>
            </w:r>
            <w:r>
              <w:rPr>
                <w:rFonts w:hint="eastAsia" w:ascii="宋体" w:hAnsi="宋体" w:cs="宋体"/>
                <w:bCs/>
                <w:color w:val="000000"/>
                <w:sz w:val="24"/>
                <w:szCs w:val="24"/>
                <w:lang w:val="en-GB"/>
              </w:rPr>
              <w:t>）</w:t>
            </w:r>
          </w:p>
        </w:tc>
        <w:tc>
          <w:tcPr>
            <w:tcW w:w="1796" w:type="dxa"/>
            <w:noWrap w:val="0"/>
            <w:vAlign w:val="top"/>
          </w:tcPr>
          <w:p>
            <w:pPr>
              <w:adjustRightInd w:val="0"/>
              <w:snapToGrid w:val="0"/>
              <w:rPr>
                <w:rFonts w:ascii="宋体" w:hAnsi="宋体" w:cs="宋体"/>
                <w:color w:val="333333"/>
                <w:kern w:val="0"/>
                <w:sz w:val="24"/>
                <w:szCs w:val="24"/>
              </w:rPr>
            </w:pPr>
            <w:r>
              <w:rPr>
                <w:rFonts w:ascii="宋体" w:hAnsi="宋体" w:cs="宋体"/>
                <w:color w:val="333333"/>
                <w:kern w:val="0"/>
                <w:sz w:val="24"/>
                <w:szCs w:val="24"/>
              </w:rPr>
              <w:t>1</w:t>
            </w:r>
            <w:r>
              <w:rPr>
                <w:rFonts w:hint="eastAsia" w:ascii="宋体" w:hAnsi="宋体" w:cs="宋体"/>
                <w:color w:val="333333"/>
                <w:kern w:val="0"/>
                <w:sz w:val="24"/>
                <w:szCs w:val="24"/>
              </w:rPr>
              <w:t>、招商港口</w:t>
            </w:r>
          </w:p>
        </w:tc>
        <w:tc>
          <w:tcPr>
            <w:tcW w:w="5153" w:type="dxa"/>
            <w:noWrap w:val="0"/>
            <w:vAlign w:val="top"/>
          </w:tcPr>
          <w:p>
            <w:pPr>
              <w:adjustRightInd w:val="0"/>
              <w:snapToGrid w:val="0"/>
              <w:rPr>
                <w:rFonts w:ascii="宋体" w:hAnsi="宋体" w:cs="宋体"/>
                <w:color w:val="333333"/>
                <w:kern w:val="0"/>
                <w:sz w:val="24"/>
                <w:szCs w:val="24"/>
              </w:rPr>
            </w:pPr>
            <w:r>
              <w:rPr>
                <w:rFonts w:hint="eastAsia" w:ascii="宋体" w:hAnsi="宋体" w:cs="宋体"/>
                <w:color w:val="333333"/>
                <w:kern w:val="0"/>
                <w:sz w:val="24"/>
                <w:szCs w:val="24"/>
              </w:rPr>
              <w:t>招商港口于1</w:t>
            </w:r>
            <w:r>
              <w:rPr>
                <w:rFonts w:ascii="宋体" w:hAnsi="宋体" w:cs="宋体"/>
                <w:color w:val="333333"/>
                <w:kern w:val="0"/>
                <w:sz w:val="24"/>
                <w:szCs w:val="24"/>
              </w:rPr>
              <w:t>990</w:t>
            </w:r>
            <w:r>
              <w:rPr>
                <w:rFonts w:hint="eastAsia" w:ascii="宋体" w:hAnsi="宋体" w:cs="宋体"/>
                <w:color w:val="333333"/>
                <w:kern w:val="0"/>
                <w:sz w:val="24"/>
                <w:szCs w:val="24"/>
              </w:rPr>
              <w:t>年7月1</w:t>
            </w:r>
            <w:r>
              <w:rPr>
                <w:rFonts w:ascii="宋体" w:hAnsi="宋体" w:cs="宋体"/>
                <w:color w:val="333333"/>
                <w:kern w:val="0"/>
                <w:sz w:val="24"/>
                <w:szCs w:val="24"/>
              </w:rPr>
              <w:t>9</w:t>
            </w:r>
            <w:r>
              <w:rPr>
                <w:rFonts w:hint="eastAsia" w:ascii="宋体" w:hAnsi="宋体" w:cs="宋体"/>
                <w:color w:val="333333"/>
                <w:kern w:val="0"/>
                <w:sz w:val="24"/>
                <w:szCs w:val="24"/>
              </w:rPr>
              <w:t>日成立于中国广东省，为深圳证券交易所上市公司，主要业务为港口开发、投资和营运。</w:t>
            </w:r>
          </w:p>
          <w:p>
            <w:pPr>
              <w:adjustRightInd w:val="0"/>
              <w:snapToGrid w:val="0"/>
              <w:rPr>
                <w:rFonts w:ascii="宋体" w:hAnsi="宋体" w:cs="宋体"/>
                <w:color w:val="333333"/>
                <w:kern w:val="0"/>
                <w:sz w:val="24"/>
                <w:szCs w:val="24"/>
              </w:rPr>
            </w:pPr>
            <w:r>
              <w:rPr>
                <w:rFonts w:hint="eastAsia" w:ascii="宋体" w:hAnsi="宋体" w:cs="宋体"/>
                <w:color w:val="333333"/>
                <w:kern w:val="0"/>
                <w:sz w:val="24"/>
                <w:szCs w:val="24"/>
              </w:rPr>
              <w:t>招商港口最终控制人为招商局集团有限公司，主要业务为综合交通、特色金融、城市与园区综合开发运营。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1780" w:type="dxa"/>
            <w:vMerge w:val="continue"/>
            <w:shd w:val="clear" w:color="auto" w:fill="D9D9D9"/>
            <w:noWrap w:val="0"/>
            <w:vAlign w:val="center"/>
          </w:tcPr>
          <w:p>
            <w:pPr>
              <w:adjustRightInd w:val="0"/>
              <w:snapToGrid w:val="0"/>
              <w:rPr>
                <w:rFonts w:ascii="宋体" w:hAnsi="宋体" w:cs="宋体"/>
                <w:color w:val="333333"/>
                <w:kern w:val="0"/>
                <w:sz w:val="24"/>
                <w:szCs w:val="24"/>
              </w:rPr>
            </w:pPr>
          </w:p>
        </w:tc>
        <w:tc>
          <w:tcPr>
            <w:tcW w:w="1796" w:type="dxa"/>
            <w:noWrap w:val="0"/>
            <w:vAlign w:val="top"/>
          </w:tcPr>
          <w:p>
            <w:pPr>
              <w:adjustRightInd w:val="0"/>
              <w:snapToGrid w:val="0"/>
              <w:rPr>
                <w:rFonts w:ascii="宋体" w:hAnsi="宋体" w:cs="宋体"/>
                <w:color w:val="333333"/>
                <w:kern w:val="0"/>
                <w:sz w:val="24"/>
                <w:szCs w:val="24"/>
              </w:rPr>
            </w:pPr>
            <w:r>
              <w:rPr>
                <w:rFonts w:ascii="宋体" w:hAnsi="宋体" w:cs="宋体"/>
                <w:color w:val="333333"/>
                <w:kern w:val="0"/>
                <w:sz w:val="24"/>
                <w:szCs w:val="24"/>
              </w:rPr>
              <w:t>2</w:t>
            </w:r>
            <w:r>
              <w:rPr>
                <w:rFonts w:hint="eastAsia" w:ascii="宋体" w:hAnsi="宋体" w:cs="宋体"/>
                <w:color w:val="333333"/>
                <w:kern w:val="0"/>
                <w:sz w:val="24"/>
                <w:szCs w:val="24"/>
              </w:rPr>
              <w:t>、顺控城投</w:t>
            </w:r>
          </w:p>
        </w:tc>
        <w:tc>
          <w:tcPr>
            <w:tcW w:w="5153" w:type="dxa"/>
            <w:noWrap w:val="0"/>
            <w:vAlign w:val="top"/>
          </w:tcPr>
          <w:p>
            <w:pPr>
              <w:adjustRightInd w:val="0"/>
              <w:snapToGrid w:val="0"/>
              <w:rPr>
                <w:rFonts w:ascii="宋体" w:hAnsi="宋体" w:cs="宋体"/>
                <w:color w:val="333333"/>
                <w:kern w:val="0"/>
                <w:sz w:val="24"/>
                <w:szCs w:val="24"/>
              </w:rPr>
            </w:pPr>
            <w:r>
              <w:rPr>
                <w:rFonts w:hint="eastAsia" w:ascii="宋体" w:hAnsi="宋体" w:cs="宋体"/>
                <w:color w:val="333333"/>
                <w:kern w:val="0"/>
                <w:sz w:val="24"/>
                <w:szCs w:val="24"/>
              </w:rPr>
              <w:t>顺控城投于1</w:t>
            </w:r>
            <w:r>
              <w:rPr>
                <w:rFonts w:ascii="宋体" w:hAnsi="宋体" w:cs="宋体"/>
                <w:color w:val="333333"/>
                <w:kern w:val="0"/>
                <w:sz w:val="24"/>
                <w:szCs w:val="24"/>
              </w:rPr>
              <w:t>992</w:t>
            </w:r>
            <w:r>
              <w:rPr>
                <w:rFonts w:hint="eastAsia" w:ascii="宋体" w:hAnsi="宋体" w:cs="宋体"/>
                <w:color w:val="333333"/>
                <w:kern w:val="0"/>
                <w:sz w:val="24"/>
                <w:szCs w:val="24"/>
              </w:rPr>
              <w:t>年7月3日成立于中国广东省，主要业务为综合性城市开发运营等。</w:t>
            </w:r>
          </w:p>
          <w:p>
            <w:pPr>
              <w:adjustRightInd w:val="0"/>
              <w:snapToGrid w:val="0"/>
              <w:rPr>
                <w:rFonts w:ascii="宋体" w:hAnsi="宋体" w:cs="宋体"/>
                <w:color w:val="333333"/>
                <w:kern w:val="0"/>
                <w:sz w:val="24"/>
                <w:szCs w:val="24"/>
              </w:rPr>
            </w:pPr>
            <w:r>
              <w:rPr>
                <w:rFonts w:hint="eastAsia" w:ascii="宋体" w:hAnsi="宋体" w:cs="宋体"/>
                <w:color w:val="333333"/>
                <w:kern w:val="0"/>
                <w:sz w:val="24"/>
                <w:szCs w:val="24"/>
              </w:rPr>
              <w:t>顺控城投最终控制人为广东顺德控股集团有限公司，主要业务为</w:t>
            </w:r>
            <w:r>
              <w:rPr>
                <w:rFonts w:ascii="宋体" w:hAnsi="宋体" w:cs="宋体"/>
                <w:color w:val="333333"/>
                <w:kern w:val="0"/>
                <w:sz w:val="24"/>
                <w:szCs w:val="24"/>
              </w:rPr>
              <w:t>公用事业、城市开发建设、战略新兴产业</w:t>
            </w:r>
            <w:r>
              <w:rPr>
                <w:rFonts w:hint="eastAsia" w:ascii="宋体" w:hAnsi="宋体" w:cs="宋体"/>
                <w:color w:val="333333"/>
                <w:kern w:val="0"/>
                <w:sz w:val="24"/>
                <w:szCs w:val="24"/>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1780" w:type="dxa"/>
            <w:vMerge w:val="restart"/>
            <w:shd w:val="clear" w:color="auto" w:fill="D9D9D9"/>
            <w:noWrap w:val="0"/>
            <w:vAlign w:val="center"/>
          </w:tcPr>
          <w:p>
            <w:pPr>
              <w:adjustRightInd w:val="0"/>
              <w:snapToGrid w:val="0"/>
              <w:rPr>
                <w:rFonts w:ascii="宋体" w:hAnsi="宋体" w:cs="宋体"/>
                <w:color w:val="333333"/>
                <w:kern w:val="0"/>
                <w:sz w:val="24"/>
                <w:szCs w:val="24"/>
              </w:rPr>
            </w:pPr>
            <w:r>
              <w:rPr>
                <w:rFonts w:hint="eastAsia" w:ascii="宋体" w:hAnsi="宋体" w:cs="宋体"/>
                <w:bCs/>
                <w:color w:val="000000"/>
                <w:sz w:val="24"/>
                <w:szCs w:val="24"/>
                <w:lang w:val="en-GB"/>
              </w:rPr>
              <w:t>简易案件理由（可以单选，也可以多选）</w:t>
            </w:r>
          </w:p>
        </w:tc>
        <w:tc>
          <w:tcPr>
            <w:tcW w:w="6949" w:type="dxa"/>
            <w:gridSpan w:val="2"/>
            <w:noWrap w:val="0"/>
            <w:vAlign w:val="top"/>
          </w:tcPr>
          <w:p>
            <w:pPr>
              <w:adjustRightInd w:val="0"/>
              <w:snapToGrid w:val="0"/>
              <w:rPr>
                <w:rFonts w:ascii="宋体" w:hAnsi="宋体" w:cs="宋体"/>
                <w:color w:val="333333"/>
                <w:kern w:val="0"/>
                <w:sz w:val="24"/>
                <w:szCs w:val="24"/>
              </w:rPr>
            </w:pPr>
            <w:r>
              <w:rPr>
                <w:rFonts w:hint="default" w:ascii="Times New Roman" w:hAnsi="Times New Roman" w:cs="Times New Roman"/>
                <w:color w:val="333333"/>
                <w:kern w:val="0"/>
                <w:sz w:val="24"/>
                <w:szCs w:val="24"/>
              </w:rPr>
              <w:t>√</w:t>
            </w:r>
            <w:r>
              <w:rPr>
                <w:rFonts w:hint="eastAsia" w:ascii="Times New Roman" w:hAnsi="Times New Roman" w:cs="Times New Roman"/>
                <w:color w:val="333333"/>
                <w:kern w:val="0"/>
                <w:sz w:val="24"/>
                <w:szCs w:val="24"/>
                <w:lang w:val="en-US" w:eastAsia="zh-CN"/>
              </w:rPr>
              <w:t xml:space="preserve"> </w:t>
            </w:r>
            <w:r>
              <w:rPr>
                <w:rFonts w:hint="eastAsia" w:ascii="宋体" w:hAnsi="宋体" w:cs="宋体"/>
                <w:color w:val="333333"/>
                <w:kern w:val="0"/>
                <w:sz w:val="24"/>
                <w:szCs w:val="24"/>
              </w:rPr>
              <w:t>1.在同一相关市场，所有参与集中的经营者所占市场份额之和小于15%。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780" w:type="dxa"/>
            <w:vMerge w:val="continue"/>
            <w:shd w:val="clear" w:color="auto" w:fill="D9D9D9"/>
            <w:noWrap w:val="0"/>
            <w:vAlign w:val="center"/>
          </w:tcPr>
          <w:p>
            <w:pPr>
              <w:adjustRightInd w:val="0"/>
              <w:snapToGrid w:val="0"/>
              <w:rPr>
                <w:rFonts w:ascii="宋体" w:hAnsi="宋体" w:cs="宋体"/>
                <w:color w:val="333333"/>
                <w:kern w:val="0"/>
                <w:sz w:val="24"/>
                <w:szCs w:val="24"/>
              </w:rPr>
            </w:pPr>
          </w:p>
        </w:tc>
        <w:tc>
          <w:tcPr>
            <w:tcW w:w="6949" w:type="dxa"/>
            <w:gridSpan w:val="2"/>
            <w:noWrap w:val="0"/>
            <w:vAlign w:val="top"/>
          </w:tcPr>
          <w:p>
            <w:pPr>
              <w:adjustRightInd w:val="0"/>
              <w:snapToGrid w:val="0"/>
              <w:ind w:firstLine="240" w:firstLineChars="100"/>
              <w:rPr>
                <w:rFonts w:ascii="宋体" w:hAnsi="宋体" w:cs="宋体"/>
                <w:color w:val="333333"/>
                <w:kern w:val="0"/>
                <w:sz w:val="24"/>
                <w:szCs w:val="24"/>
              </w:rPr>
            </w:pPr>
            <w:r>
              <w:rPr>
                <w:rFonts w:hint="eastAsia" w:ascii="宋体" w:hAnsi="宋体" w:cs="宋体"/>
                <w:color w:val="333333"/>
                <w:kern w:val="0"/>
                <w:sz w:val="24"/>
                <w:szCs w:val="24"/>
              </w:rPr>
              <w:t>2.存在上下游关系的参与集中的经营者，在上下游市场所占的市场份额均小于25%。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780" w:type="dxa"/>
            <w:vMerge w:val="continue"/>
            <w:shd w:val="clear" w:color="auto" w:fill="D9D9D9"/>
            <w:noWrap w:val="0"/>
            <w:vAlign w:val="center"/>
          </w:tcPr>
          <w:p>
            <w:pPr>
              <w:adjustRightInd w:val="0"/>
              <w:snapToGrid w:val="0"/>
              <w:rPr>
                <w:rFonts w:ascii="宋体" w:hAnsi="宋体" w:cs="宋体"/>
                <w:color w:val="333333"/>
                <w:kern w:val="0"/>
                <w:sz w:val="24"/>
                <w:szCs w:val="24"/>
              </w:rPr>
            </w:pPr>
          </w:p>
        </w:tc>
        <w:tc>
          <w:tcPr>
            <w:tcW w:w="6949" w:type="dxa"/>
            <w:gridSpan w:val="2"/>
            <w:noWrap w:val="0"/>
            <w:vAlign w:val="top"/>
          </w:tcPr>
          <w:p>
            <w:pPr>
              <w:adjustRightInd w:val="0"/>
              <w:snapToGrid w:val="0"/>
              <w:ind w:firstLine="240" w:firstLineChars="100"/>
              <w:rPr>
                <w:rFonts w:ascii="宋体" w:hAnsi="宋体" w:cs="宋体"/>
                <w:color w:val="333333"/>
                <w:kern w:val="0"/>
                <w:sz w:val="24"/>
                <w:szCs w:val="24"/>
              </w:rPr>
            </w:pPr>
            <w:r>
              <w:rPr>
                <w:rFonts w:hint="eastAsia" w:ascii="宋体" w:hAnsi="宋体" w:cs="宋体"/>
                <w:color w:val="333333"/>
                <w:kern w:val="0"/>
                <w:sz w:val="24"/>
                <w:szCs w:val="24"/>
              </w:rPr>
              <w:t>3.不在同一相关市场、也不存在上下游关系的参与集中的经营者，在与交易有关的每个市场所占的份额均小于25%。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1780" w:type="dxa"/>
            <w:vMerge w:val="continue"/>
            <w:shd w:val="clear" w:color="auto" w:fill="D9D9D9"/>
            <w:noWrap w:val="0"/>
            <w:vAlign w:val="center"/>
          </w:tcPr>
          <w:p>
            <w:pPr>
              <w:adjustRightInd w:val="0"/>
              <w:snapToGrid w:val="0"/>
              <w:rPr>
                <w:rFonts w:ascii="宋体" w:hAnsi="宋体" w:cs="宋体"/>
                <w:color w:val="333333"/>
                <w:kern w:val="0"/>
                <w:sz w:val="24"/>
                <w:szCs w:val="24"/>
              </w:rPr>
            </w:pPr>
          </w:p>
        </w:tc>
        <w:tc>
          <w:tcPr>
            <w:tcW w:w="6949" w:type="dxa"/>
            <w:gridSpan w:val="2"/>
            <w:noWrap w:val="0"/>
            <w:vAlign w:val="top"/>
          </w:tcPr>
          <w:p>
            <w:pPr>
              <w:adjustRightInd w:val="0"/>
              <w:snapToGrid w:val="0"/>
              <w:ind w:firstLine="240" w:firstLineChars="100"/>
              <w:rPr>
                <w:rFonts w:ascii="宋体" w:hAnsi="宋体" w:cs="宋体"/>
                <w:color w:val="333333"/>
                <w:kern w:val="0"/>
                <w:sz w:val="24"/>
                <w:szCs w:val="24"/>
              </w:rPr>
            </w:pPr>
            <w:r>
              <w:rPr>
                <w:rFonts w:hint="eastAsia" w:ascii="宋体" w:hAnsi="宋体" w:cs="宋体"/>
                <w:color w:val="333333"/>
                <w:kern w:val="0"/>
                <w:sz w:val="24"/>
                <w:szCs w:val="24"/>
              </w:rPr>
              <w:t>4.参与集中的经营者在中国境外设立合营企业，合营企业不在中国境内从事经济活动。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1780" w:type="dxa"/>
            <w:vMerge w:val="continue"/>
            <w:shd w:val="clear" w:color="auto" w:fill="D9D9D9"/>
            <w:noWrap w:val="0"/>
            <w:vAlign w:val="center"/>
          </w:tcPr>
          <w:p>
            <w:pPr>
              <w:adjustRightInd w:val="0"/>
              <w:snapToGrid w:val="0"/>
              <w:rPr>
                <w:rFonts w:ascii="宋体" w:hAnsi="宋体" w:cs="宋体"/>
                <w:color w:val="333333"/>
                <w:kern w:val="0"/>
                <w:sz w:val="24"/>
                <w:szCs w:val="24"/>
              </w:rPr>
            </w:pPr>
          </w:p>
        </w:tc>
        <w:tc>
          <w:tcPr>
            <w:tcW w:w="6949" w:type="dxa"/>
            <w:gridSpan w:val="2"/>
            <w:noWrap w:val="0"/>
            <w:vAlign w:val="top"/>
          </w:tcPr>
          <w:p>
            <w:pPr>
              <w:adjustRightInd w:val="0"/>
              <w:snapToGrid w:val="0"/>
              <w:ind w:firstLine="240" w:firstLineChars="100"/>
              <w:rPr>
                <w:rFonts w:ascii="宋体" w:hAnsi="宋体" w:cs="宋体"/>
                <w:color w:val="333333"/>
                <w:kern w:val="0"/>
                <w:sz w:val="24"/>
                <w:szCs w:val="24"/>
              </w:rPr>
            </w:pPr>
            <w:r>
              <w:rPr>
                <w:rFonts w:hint="eastAsia" w:ascii="宋体" w:hAnsi="宋体" w:cs="宋体"/>
                <w:color w:val="333333"/>
                <w:kern w:val="0"/>
                <w:sz w:val="24"/>
                <w:szCs w:val="24"/>
              </w:rPr>
              <w:t>5.参与集中的经营者收购境外企业股权或资产的，该境外企业不在中国境内从事经济活动。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780" w:type="dxa"/>
            <w:vMerge w:val="continue"/>
            <w:shd w:val="clear" w:color="auto" w:fill="D9D9D9"/>
            <w:noWrap w:val="0"/>
            <w:vAlign w:val="center"/>
          </w:tcPr>
          <w:p>
            <w:pPr>
              <w:adjustRightInd w:val="0"/>
              <w:snapToGrid w:val="0"/>
              <w:rPr>
                <w:rFonts w:ascii="宋体" w:hAnsi="宋体" w:cs="宋体"/>
                <w:color w:val="333333"/>
                <w:kern w:val="0"/>
                <w:sz w:val="24"/>
                <w:szCs w:val="24"/>
              </w:rPr>
            </w:pPr>
          </w:p>
        </w:tc>
        <w:tc>
          <w:tcPr>
            <w:tcW w:w="6949" w:type="dxa"/>
            <w:gridSpan w:val="2"/>
            <w:noWrap w:val="0"/>
            <w:vAlign w:val="top"/>
          </w:tcPr>
          <w:p>
            <w:pPr>
              <w:adjustRightInd w:val="0"/>
              <w:snapToGrid w:val="0"/>
              <w:ind w:firstLine="240" w:firstLineChars="100"/>
              <w:rPr>
                <w:rFonts w:ascii="宋体" w:hAnsi="宋体" w:cs="宋体"/>
                <w:color w:val="333333"/>
                <w:kern w:val="0"/>
                <w:sz w:val="24"/>
                <w:szCs w:val="24"/>
              </w:rPr>
            </w:pPr>
            <w:r>
              <w:rPr>
                <w:rFonts w:hint="eastAsia" w:ascii="宋体" w:hAnsi="宋体" w:cs="宋体"/>
                <w:color w:val="333333"/>
                <w:kern w:val="0"/>
                <w:sz w:val="24"/>
                <w:szCs w:val="24"/>
              </w:rPr>
              <w:t>6.由两个以上的经营者共同控制的合营企业，通过集中被其中一个或一个以上经营者控制。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0" w:type="dxa"/>
            <w:shd w:val="clear" w:color="auto" w:fill="D9D9D9"/>
            <w:noWrap w:val="0"/>
            <w:vAlign w:val="center"/>
          </w:tcPr>
          <w:p>
            <w:pPr>
              <w:adjustRightInd w:val="0"/>
              <w:snapToGrid w:val="0"/>
              <w:rPr>
                <w:rFonts w:ascii="宋体" w:hAnsi="宋体" w:cs="宋体"/>
                <w:color w:val="333333"/>
                <w:kern w:val="0"/>
                <w:sz w:val="24"/>
                <w:szCs w:val="24"/>
              </w:rPr>
            </w:pPr>
            <w:r>
              <w:rPr>
                <w:rFonts w:hint="eastAsia" w:ascii="宋体" w:hAnsi="宋体" w:cs="宋体"/>
                <w:bCs/>
                <w:color w:val="000000"/>
                <w:sz w:val="24"/>
                <w:szCs w:val="24"/>
              </w:rPr>
              <w:t>备注</w:t>
            </w:r>
          </w:p>
        </w:tc>
        <w:tc>
          <w:tcPr>
            <w:tcW w:w="6949" w:type="dxa"/>
            <w:gridSpan w:val="2"/>
            <w:noWrap w:val="0"/>
            <w:vAlign w:val="top"/>
          </w:tcPr>
          <w:p>
            <w:pPr>
              <w:adjustRightInd w:val="0"/>
              <w:snapToGrid w:val="0"/>
              <w:rPr>
                <w:rFonts w:ascii="宋体" w:hAnsi="宋体" w:cs="宋体"/>
                <w:b/>
                <w:bCs/>
                <w:color w:val="333333"/>
                <w:kern w:val="0"/>
                <w:sz w:val="24"/>
                <w:szCs w:val="24"/>
              </w:rPr>
            </w:pPr>
            <w:r>
              <w:rPr>
                <w:rFonts w:hint="eastAsia" w:ascii="宋体" w:hAnsi="宋体" w:cs="宋体"/>
                <w:b/>
                <w:bCs/>
                <w:color w:val="333333"/>
                <w:kern w:val="0"/>
                <w:sz w:val="24"/>
                <w:szCs w:val="24"/>
              </w:rPr>
              <w:t>横向重叠</w:t>
            </w:r>
            <w:r>
              <w:rPr>
                <w:rFonts w:ascii="宋体" w:hAnsi="宋体" w:cs="宋体"/>
                <w:b/>
                <w:bCs/>
                <w:color w:val="333333"/>
                <w:kern w:val="0"/>
                <w:sz w:val="24"/>
                <w:szCs w:val="24"/>
              </w:rPr>
              <w:t>：</w:t>
            </w:r>
          </w:p>
          <w:p>
            <w:pPr>
              <w:adjustRightInd w:val="0"/>
              <w:snapToGrid w:val="0"/>
              <w:rPr>
                <w:rFonts w:ascii="宋体" w:hAnsi="宋体" w:cs="宋体"/>
                <w:color w:val="333333"/>
                <w:kern w:val="0"/>
                <w:sz w:val="24"/>
                <w:szCs w:val="24"/>
              </w:rPr>
            </w:pPr>
            <w:r>
              <w:rPr>
                <w:rFonts w:hint="eastAsia" w:ascii="宋体" w:hAnsi="宋体" w:cs="宋体"/>
                <w:color w:val="333333"/>
                <w:kern w:val="0"/>
                <w:sz w:val="24"/>
                <w:szCs w:val="24"/>
              </w:rPr>
              <w:t>1、2</w:t>
            </w:r>
            <w:r>
              <w:rPr>
                <w:rFonts w:ascii="宋体" w:hAnsi="宋体" w:cs="宋体"/>
                <w:color w:val="333333"/>
                <w:kern w:val="0"/>
                <w:sz w:val="24"/>
                <w:szCs w:val="24"/>
              </w:rPr>
              <w:t>021</w:t>
            </w:r>
            <w:r>
              <w:rPr>
                <w:rFonts w:hint="eastAsia" w:ascii="宋体" w:hAnsi="宋体" w:cs="宋体"/>
                <w:color w:val="333333"/>
                <w:kern w:val="0"/>
                <w:sz w:val="24"/>
                <w:szCs w:val="24"/>
              </w:rPr>
              <w:t>年佛山地区内河港口集装箱装卸服务市场：</w:t>
            </w:r>
          </w:p>
          <w:p>
            <w:pPr>
              <w:adjustRightInd w:val="0"/>
              <w:snapToGrid w:val="0"/>
              <w:rPr>
                <w:rFonts w:ascii="宋体" w:hAnsi="宋体" w:cs="宋体"/>
                <w:color w:val="333333"/>
                <w:kern w:val="0"/>
                <w:sz w:val="24"/>
                <w:szCs w:val="24"/>
              </w:rPr>
            </w:pPr>
            <w:r>
              <w:rPr>
                <w:rFonts w:hint="eastAsia" w:ascii="宋体" w:hAnsi="宋体" w:cs="宋体"/>
                <w:color w:val="333333"/>
                <w:kern w:val="0"/>
                <w:sz w:val="24"/>
                <w:szCs w:val="24"/>
              </w:rPr>
              <w:t>招商港口：10%-15%；顺控城投：10%-15%；各方合计：10%-15%</w:t>
            </w:r>
          </w:p>
          <w:p>
            <w:pPr>
              <w:adjustRightInd w:val="0"/>
              <w:snapToGrid w:val="0"/>
              <w:rPr>
                <w:rFonts w:ascii="宋体" w:hAnsi="宋体" w:cs="宋体"/>
                <w:color w:val="333333"/>
                <w:kern w:val="0"/>
                <w:sz w:val="24"/>
                <w:szCs w:val="24"/>
              </w:rPr>
            </w:pPr>
            <w:r>
              <w:rPr>
                <w:rFonts w:hint="eastAsia" w:ascii="宋体" w:hAnsi="宋体" w:cs="宋体"/>
                <w:color w:val="333333"/>
                <w:kern w:val="0"/>
                <w:sz w:val="24"/>
                <w:szCs w:val="24"/>
              </w:rPr>
              <w:t>2、2</w:t>
            </w:r>
            <w:r>
              <w:rPr>
                <w:rFonts w:ascii="宋体" w:hAnsi="宋体" w:cs="宋体"/>
                <w:color w:val="333333"/>
                <w:kern w:val="0"/>
                <w:sz w:val="24"/>
                <w:szCs w:val="24"/>
              </w:rPr>
              <w:t>021</w:t>
            </w:r>
            <w:r>
              <w:rPr>
                <w:rFonts w:hint="eastAsia" w:ascii="宋体" w:hAnsi="宋体" w:cs="宋体"/>
                <w:color w:val="333333"/>
                <w:kern w:val="0"/>
                <w:sz w:val="24"/>
                <w:szCs w:val="24"/>
              </w:rPr>
              <w:t>年佛山地区内河港口散杂货装卸服务市场：</w:t>
            </w:r>
          </w:p>
          <w:p>
            <w:pPr>
              <w:adjustRightInd w:val="0"/>
              <w:snapToGrid w:val="0"/>
              <w:rPr>
                <w:rFonts w:ascii="宋体" w:hAnsi="宋体" w:cs="宋体"/>
                <w:color w:val="333333"/>
                <w:kern w:val="0"/>
                <w:sz w:val="24"/>
                <w:szCs w:val="24"/>
              </w:rPr>
            </w:pPr>
            <w:r>
              <w:rPr>
                <w:rFonts w:hint="eastAsia" w:ascii="宋体" w:hAnsi="宋体" w:cs="宋体"/>
                <w:color w:val="333333"/>
                <w:kern w:val="0"/>
                <w:sz w:val="24"/>
                <w:szCs w:val="24"/>
              </w:rPr>
              <w:t>招商港口：10%-15%；顺控城投：10%-15%；各方合计：10%-15%</w:t>
            </w:r>
          </w:p>
        </w:tc>
      </w:tr>
    </w:tbl>
    <w:p>
      <w:pPr>
        <w:snapToGrid w:val="0"/>
        <w:spacing w:line="240" w:lineRule="exact"/>
        <w:jc w:val="left"/>
        <w:rPr>
          <w:rFonts w:ascii="方正仿宋_GBK" w:hAnsi="宋体" w:eastAsia="方正仿宋_GBK"/>
          <w:sz w:val="24"/>
          <w:szCs w:val="24"/>
        </w:rPr>
      </w:pP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00000000000000000"/>
    <w:charset w:val="86"/>
    <w:family w:val="auto"/>
    <w:pitch w:val="default"/>
    <w:sig w:usb0="00000000" w:usb1="00000000"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仿宋_GBK">
    <w:altName w:val="微软雅黑"/>
    <w:panose1 w:val="02000000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A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7091750"/>
    <w:rsid w:val="4BDE34B7"/>
    <w:rsid w:val="558039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3"/>
    <w:next w:val="1"/>
    <w:qFormat/>
    <w:uiPriority w:val="9"/>
    <w:pPr>
      <w:spacing w:after="156" w:afterLines="50" w:line="640" w:lineRule="exact"/>
      <w:jc w:val="center"/>
      <w:outlineLvl w:val="0"/>
    </w:pPr>
    <w:rPr>
      <w:rFonts w:ascii="方正小标宋简体" w:eastAsia="方正小标宋简体"/>
      <w:kern w:val="0"/>
      <w:sz w:val="44"/>
      <w:szCs w:val="36"/>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3">
    <w:name w:val="名称2"/>
    <w:basedOn w:val="4"/>
    <w:qFormat/>
    <w:uiPriority w:val="0"/>
    <w:pPr>
      <w:spacing w:after="312" w:afterLines="100"/>
    </w:pPr>
    <w:rPr>
      <w:b w:val="0"/>
      <w:sz w:val="20"/>
    </w:rPr>
  </w:style>
  <w:style w:type="paragraph" w:customStyle="1" w:styleId="4">
    <w:name w:val="名称"/>
    <w:basedOn w:val="1"/>
    <w:qFormat/>
    <w:uiPriority w:val="0"/>
    <w:pPr>
      <w:jc w:val="center"/>
    </w:pPr>
    <w:rPr>
      <w:b/>
      <w:kern w:val="0"/>
      <w:sz w:val="4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2022-10-23T14:03:00Z</dcterms:created>
  <dc:creator>ljjroo</dc:creator>
  <cp:lastModifiedBy>ljjroo</cp:lastModifiedBy>
  <dcterms:modified xsi:type="dcterms:W3CDTF">2022-10-23T14:23:27Z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