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黑体" w:hAnsi="Times New Roman" w:eastAsia="黑体"/>
          <w:sz w:val="30"/>
          <w:szCs w:val="30"/>
        </w:rPr>
      </w:pPr>
      <w:r>
        <w:rPr>
          <w:rFonts w:hint="eastAsia" w:ascii="黑体" w:hAnsi="Times New Roman" w:eastAsia="黑体"/>
          <w:sz w:val="30"/>
          <w:szCs w:val="30"/>
        </w:rPr>
        <w:t>经营者集中简易案件公示表</w:t>
      </w:r>
    </w:p>
    <w:p>
      <w:pPr>
        <w:spacing w:line="440" w:lineRule="exact"/>
        <w:ind w:firstLine="845" w:firstLineChars="302"/>
        <w:rPr>
          <w:rFonts w:ascii="Times New Roman" w:hAnsi="Times New Roman" w:eastAsia="仿宋"/>
          <w:sz w:val="28"/>
          <w:szCs w:val="28"/>
        </w:rPr>
      </w:pPr>
    </w:p>
    <w:tbl>
      <w:tblPr>
        <w:tblStyle w:val="6"/>
        <w:tblW w:w="8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1796"/>
        <w:gridCol w:w="5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D9D9D9"/>
            <w:vAlign w:val="center"/>
          </w:tcPr>
          <w:p>
            <w:pPr>
              <w:spacing w:line="500" w:lineRule="exact"/>
              <w:jc w:val="center"/>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案件名称</w:t>
            </w:r>
          </w:p>
        </w:tc>
        <w:tc>
          <w:tcPr>
            <w:tcW w:w="6949" w:type="dxa"/>
            <w:gridSpan w:val="2"/>
          </w:tcPr>
          <w:p>
            <w:pPr>
              <w:spacing w:line="500" w:lineRule="exact"/>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尤妮佳（中国）投资有限公司收购江苏吉家宠物用品有限公司股权案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809" w:type="dxa"/>
            <w:shd w:val="clear" w:color="auto" w:fill="D9D9D9"/>
            <w:vAlign w:val="center"/>
          </w:tcPr>
          <w:p>
            <w:pPr>
              <w:spacing w:line="500" w:lineRule="exact"/>
              <w:jc w:val="center"/>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交易概况</w:t>
            </w:r>
          </w:p>
          <w:p>
            <w:pPr>
              <w:spacing w:line="500" w:lineRule="exact"/>
              <w:jc w:val="center"/>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（限200字内）</w:t>
            </w:r>
          </w:p>
        </w:tc>
        <w:tc>
          <w:tcPr>
            <w:tcW w:w="6949" w:type="dxa"/>
            <w:gridSpan w:val="2"/>
          </w:tcPr>
          <w:p>
            <w:pPr>
              <w:spacing w:line="500" w:lineRule="exact"/>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本交易涉及尤妮佳（中国）投资有限公司（“尤妮佳”）收购江苏吉家宠物用品有限公司（“目标公司”）</w:t>
            </w:r>
            <w:r>
              <w:rPr>
                <w:rFonts w:ascii="Times New Roman" w:hAnsi="Times New Roman" w:eastAsia="仿宋" w:cs="宋体"/>
                <w:color w:val="333333"/>
                <w:kern w:val="0"/>
                <w:sz w:val="24"/>
                <w:szCs w:val="24"/>
              </w:rPr>
              <w:t>41.85%</w:t>
            </w:r>
            <w:r>
              <w:rPr>
                <w:rFonts w:hint="eastAsia" w:ascii="Times New Roman" w:hAnsi="Times New Roman" w:eastAsia="仿宋" w:cs="宋体"/>
                <w:color w:val="333333"/>
                <w:kern w:val="0"/>
                <w:sz w:val="24"/>
                <w:szCs w:val="24"/>
              </w:rPr>
              <w:t>的股权。目标公司主要从事宠物食品、宠物用品的相关生产销售等业务。</w:t>
            </w:r>
          </w:p>
          <w:p>
            <w:pPr>
              <w:spacing w:line="500" w:lineRule="exact"/>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本交易前，崔佳持有目标公司</w:t>
            </w:r>
            <w:r>
              <w:rPr>
                <w:rFonts w:ascii="Times New Roman" w:hAnsi="Times New Roman" w:eastAsia="仿宋" w:cs="宋体"/>
                <w:color w:val="333333"/>
                <w:kern w:val="0"/>
                <w:sz w:val="24"/>
                <w:szCs w:val="24"/>
              </w:rPr>
              <w:t>56.12%</w:t>
            </w:r>
            <w:r>
              <w:rPr>
                <w:rFonts w:hint="eastAsia" w:ascii="Times New Roman" w:hAnsi="Times New Roman" w:eastAsia="仿宋" w:cs="宋体"/>
                <w:color w:val="333333"/>
                <w:kern w:val="0"/>
                <w:sz w:val="24"/>
                <w:szCs w:val="24"/>
              </w:rPr>
              <w:t>的股权，复星保德信人寿保险有限公司等五个小股东对股东会会议的日常经营决策事项享有否决权，构成对目标公司的共同控制。</w:t>
            </w:r>
          </w:p>
          <w:p>
            <w:pPr>
              <w:spacing w:line="500" w:lineRule="exact"/>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本交易后，尤妮佳持有目标公司</w:t>
            </w:r>
            <w:r>
              <w:rPr>
                <w:rFonts w:ascii="Times New Roman" w:hAnsi="Times New Roman" w:eastAsia="仿宋" w:cs="宋体"/>
                <w:color w:val="333333"/>
                <w:kern w:val="0"/>
                <w:sz w:val="24"/>
                <w:szCs w:val="24"/>
              </w:rPr>
              <w:t>41.85%</w:t>
            </w:r>
            <w:r>
              <w:rPr>
                <w:rFonts w:hint="eastAsia" w:ascii="Times New Roman" w:hAnsi="Times New Roman" w:eastAsia="仿宋" w:cs="宋体"/>
                <w:color w:val="333333"/>
                <w:kern w:val="0"/>
                <w:sz w:val="24"/>
                <w:szCs w:val="24"/>
              </w:rPr>
              <w:t>的股权，崔佳持有目标公司</w:t>
            </w:r>
            <w:r>
              <w:rPr>
                <w:rFonts w:ascii="Times New Roman" w:hAnsi="Times New Roman" w:eastAsia="仿宋" w:cs="宋体"/>
                <w:color w:val="333333"/>
                <w:kern w:val="0"/>
                <w:sz w:val="24"/>
                <w:szCs w:val="24"/>
              </w:rPr>
              <w:t>45.34%</w:t>
            </w:r>
            <w:r>
              <w:rPr>
                <w:rFonts w:hint="eastAsia" w:ascii="Times New Roman" w:hAnsi="Times New Roman" w:eastAsia="仿宋" w:cs="宋体"/>
                <w:color w:val="333333"/>
                <w:kern w:val="0"/>
                <w:sz w:val="24"/>
                <w:szCs w:val="24"/>
              </w:rPr>
              <w:t>的股权，构成对目标公司的共同控制。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809" w:type="dxa"/>
            <w:vMerge w:val="restart"/>
            <w:shd w:val="clear" w:color="auto" w:fill="D9D9D9"/>
            <w:vAlign w:val="center"/>
          </w:tcPr>
          <w:p>
            <w:pPr>
              <w:spacing w:line="500" w:lineRule="exact"/>
              <w:jc w:val="center"/>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参与集中的</w:t>
            </w:r>
          </w:p>
          <w:p>
            <w:pPr>
              <w:spacing w:line="500" w:lineRule="exact"/>
              <w:jc w:val="center"/>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经营者简介</w:t>
            </w:r>
          </w:p>
        </w:tc>
        <w:tc>
          <w:tcPr>
            <w:tcW w:w="1796" w:type="dxa"/>
          </w:tcPr>
          <w:p>
            <w:pPr>
              <w:spacing w:line="500" w:lineRule="exact"/>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1、尤妮佳（中国）投资有限公司</w:t>
            </w:r>
          </w:p>
        </w:tc>
        <w:tc>
          <w:tcPr>
            <w:tcW w:w="5153" w:type="dxa"/>
          </w:tcPr>
          <w:p>
            <w:pPr>
              <w:spacing w:line="500" w:lineRule="exact"/>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尤妮佳（中国）投资有限公司于2011年08月29日在上海市注册成立。公司主要在国家允许外商投资的领域依法进行投资，并从事纸尿裤、卫生巾、卫生护垫、内裤、湿纸巾、化妆用粉扑、清洁用品、家用洗涤剂、食品保鲜材料、部分宠物食品、部分宠物日用品的生产及销售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809" w:type="dxa"/>
            <w:vMerge w:val="continue"/>
            <w:shd w:val="clear" w:color="auto" w:fill="D9D9D9"/>
            <w:vAlign w:val="center"/>
          </w:tcPr>
          <w:p>
            <w:pPr>
              <w:spacing w:line="500" w:lineRule="exact"/>
              <w:jc w:val="center"/>
              <w:rPr>
                <w:rFonts w:ascii="Times New Roman" w:hAnsi="Times New Roman" w:eastAsia="仿宋" w:cs="宋体"/>
                <w:color w:val="333333"/>
                <w:kern w:val="0"/>
                <w:sz w:val="24"/>
                <w:szCs w:val="24"/>
              </w:rPr>
            </w:pPr>
          </w:p>
        </w:tc>
        <w:tc>
          <w:tcPr>
            <w:tcW w:w="1796" w:type="dxa"/>
          </w:tcPr>
          <w:p>
            <w:pPr>
              <w:spacing w:line="500" w:lineRule="exact"/>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2、江苏吉家宠物用品有限公司</w:t>
            </w:r>
          </w:p>
        </w:tc>
        <w:tc>
          <w:tcPr>
            <w:tcW w:w="5153" w:type="dxa"/>
          </w:tcPr>
          <w:p>
            <w:pPr>
              <w:spacing w:line="500" w:lineRule="exact"/>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江苏吉家宠物用品有限公司于2017年10月31日在江苏省注册成立。公司主要从事宠物食品、宠物用品的相关生产销售等业务。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809" w:type="dxa"/>
            <w:vMerge w:val="continue"/>
            <w:shd w:val="clear" w:color="auto" w:fill="D9D9D9"/>
            <w:vAlign w:val="center"/>
          </w:tcPr>
          <w:p>
            <w:pPr>
              <w:spacing w:line="500" w:lineRule="exact"/>
              <w:jc w:val="center"/>
              <w:rPr>
                <w:rFonts w:ascii="Times New Roman" w:hAnsi="Times New Roman" w:eastAsia="仿宋" w:cs="宋体"/>
                <w:color w:val="333333"/>
                <w:kern w:val="0"/>
                <w:sz w:val="24"/>
                <w:szCs w:val="24"/>
              </w:rPr>
            </w:pPr>
          </w:p>
        </w:tc>
        <w:tc>
          <w:tcPr>
            <w:tcW w:w="1796" w:type="dxa"/>
          </w:tcPr>
          <w:p>
            <w:pPr>
              <w:spacing w:line="500" w:lineRule="exact"/>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3、崔佳</w:t>
            </w:r>
          </w:p>
        </w:tc>
        <w:tc>
          <w:tcPr>
            <w:tcW w:w="5153" w:type="dxa"/>
          </w:tcPr>
          <w:p>
            <w:pPr>
              <w:spacing w:line="500" w:lineRule="exact"/>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崔佳主要通过江苏吉家宠物用品有限公司从事宠物食品、宠物用品的相关生产销售等业务。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809" w:type="dxa"/>
            <w:vMerge w:val="restart"/>
            <w:shd w:val="clear" w:color="auto" w:fill="D9D9D9"/>
            <w:vAlign w:val="center"/>
          </w:tcPr>
          <w:p>
            <w:pPr>
              <w:spacing w:line="500" w:lineRule="exact"/>
              <w:jc w:val="center"/>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简易案件理由（可以单选，也可以多选）</w:t>
            </w:r>
          </w:p>
        </w:tc>
        <w:tc>
          <w:tcPr>
            <w:tcW w:w="6949" w:type="dxa"/>
            <w:gridSpan w:val="2"/>
          </w:tcPr>
          <w:p>
            <w:pPr>
              <w:spacing w:line="500" w:lineRule="exact"/>
              <w:rPr>
                <w:rFonts w:ascii="Times New Roman" w:hAnsi="Times New Roman" w:eastAsia="仿宋" w:cs="宋体"/>
                <w:color w:val="333333"/>
                <w:kern w:val="0"/>
                <w:sz w:val="24"/>
                <w:szCs w:val="24"/>
              </w:rPr>
            </w:pPr>
            <w:r>
              <w:rPr>
                <w:rFonts w:hint="eastAsia" w:ascii="Times New Roman" w:hAnsi="Times New Roman" w:eastAsia="仿宋"/>
                <w:szCs w:val="21"/>
              </w:rPr>
              <w:sym w:font="Wingdings" w:char="F0FE"/>
            </w:r>
            <w:r>
              <w:rPr>
                <w:rFonts w:hint="eastAsia" w:ascii="Times New Roman" w:hAnsi="Times New Roman" w:eastAsia="仿宋" w:cs="宋体"/>
                <w:color w:val="333333"/>
                <w:kern w:val="0"/>
                <w:sz w:val="24"/>
                <w:szCs w:val="24"/>
              </w:rPr>
              <w:t>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809" w:type="dxa"/>
            <w:vMerge w:val="continue"/>
            <w:shd w:val="clear" w:color="auto" w:fill="D9D9D9"/>
            <w:vAlign w:val="center"/>
          </w:tcPr>
          <w:p>
            <w:pPr>
              <w:spacing w:line="500" w:lineRule="exact"/>
              <w:jc w:val="center"/>
              <w:rPr>
                <w:rFonts w:ascii="Times New Roman" w:hAnsi="Times New Roman" w:eastAsia="仿宋" w:cs="宋体"/>
                <w:color w:val="333333"/>
                <w:kern w:val="0"/>
                <w:sz w:val="24"/>
                <w:szCs w:val="24"/>
              </w:rPr>
            </w:pPr>
          </w:p>
        </w:tc>
        <w:tc>
          <w:tcPr>
            <w:tcW w:w="6949" w:type="dxa"/>
            <w:gridSpan w:val="2"/>
          </w:tcPr>
          <w:p>
            <w:pPr>
              <w:spacing w:line="500" w:lineRule="exact"/>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9" w:type="dxa"/>
            <w:vMerge w:val="continue"/>
            <w:shd w:val="clear" w:color="auto" w:fill="D9D9D9"/>
            <w:vAlign w:val="center"/>
          </w:tcPr>
          <w:p>
            <w:pPr>
              <w:spacing w:line="500" w:lineRule="exact"/>
              <w:jc w:val="center"/>
              <w:rPr>
                <w:rFonts w:ascii="Times New Roman" w:hAnsi="Times New Roman" w:eastAsia="仿宋" w:cs="宋体"/>
                <w:color w:val="333333"/>
                <w:kern w:val="0"/>
                <w:sz w:val="24"/>
                <w:szCs w:val="24"/>
              </w:rPr>
            </w:pPr>
          </w:p>
        </w:tc>
        <w:tc>
          <w:tcPr>
            <w:tcW w:w="6949" w:type="dxa"/>
            <w:gridSpan w:val="2"/>
          </w:tcPr>
          <w:p>
            <w:pPr>
              <w:spacing w:line="500" w:lineRule="exact"/>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809" w:type="dxa"/>
            <w:vMerge w:val="continue"/>
            <w:shd w:val="clear" w:color="auto" w:fill="D9D9D9"/>
            <w:vAlign w:val="center"/>
          </w:tcPr>
          <w:p>
            <w:pPr>
              <w:spacing w:line="500" w:lineRule="exact"/>
              <w:jc w:val="center"/>
              <w:rPr>
                <w:rFonts w:ascii="Times New Roman" w:hAnsi="Times New Roman" w:eastAsia="仿宋" w:cs="宋体"/>
                <w:color w:val="333333"/>
                <w:kern w:val="0"/>
                <w:sz w:val="24"/>
                <w:szCs w:val="24"/>
              </w:rPr>
            </w:pPr>
          </w:p>
        </w:tc>
        <w:tc>
          <w:tcPr>
            <w:tcW w:w="6949" w:type="dxa"/>
            <w:gridSpan w:val="2"/>
          </w:tcPr>
          <w:p>
            <w:pPr>
              <w:spacing w:line="500" w:lineRule="exact"/>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809" w:type="dxa"/>
            <w:vMerge w:val="continue"/>
            <w:shd w:val="clear" w:color="auto" w:fill="D9D9D9"/>
            <w:vAlign w:val="center"/>
          </w:tcPr>
          <w:p>
            <w:pPr>
              <w:spacing w:line="500" w:lineRule="exact"/>
              <w:jc w:val="center"/>
              <w:rPr>
                <w:rFonts w:ascii="Times New Roman" w:hAnsi="Times New Roman" w:eastAsia="仿宋" w:cs="宋体"/>
                <w:color w:val="333333"/>
                <w:kern w:val="0"/>
                <w:sz w:val="24"/>
                <w:szCs w:val="24"/>
              </w:rPr>
            </w:pPr>
          </w:p>
        </w:tc>
        <w:tc>
          <w:tcPr>
            <w:tcW w:w="6949" w:type="dxa"/>
            <w:gridSpan w:val="2"/>
          </w:tcPr>
          <w:p>
            <w:pPr>
              <w:spacing w:line="500" w:lineRule="exact"/>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809" w:type="dxa"/>
            <w:vMerge w:val="continue"/>
            <w:shd w:val="clear" w:color="auto" w:fill="D9D9D9"/>
            <w:vAlign w:val="center"/>
          </w:tcPr>
          <w:p>
            <w:pPr>
              <w:spacing w:line="500" w:lineRule="exact"/>
              <w:jc w:val="center"/>
              <w:rPr>
                <w:rFonts w:ascii="Times New Roman" w:hAnsi="Times New Roman" w:eastAsia="仿宋" w:cs="宋体"/>
                <w:color w:val="333333"/>
                <w:kern w:val="0"/>
                <w:sz w:val="24"/>
                <w:szCs w:val="24"/>
              </w:rPr>
            </w:pPr>
          </w:p>
        </w:tc>
        <w:tc>
          <w:tcPr>
            <w:tcW w:w="6949" w:type="dxa"/>
            <w:gridSpan w:val="2"/>
          </w:tcPr>
          <w:p>
            <w:pPr>
              <w:spacing w:line="500" w:lineRule="exact"/>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D9D9D9"/>
            <w:vAlign w:val="center"/>
          </w:tcPr>
          <w:p>
            <w:pPr>
              <w:spacing w:line="500" w:lineRule="exact"/>
              <w:jc w:val="center"/>
              <w:rPr>
                <w:rFonts w:ascii="Times New Roman" w:hAnsi="Times New Roman" w:eastAsia="仿宋" w:cs="宋体"/>
                <w:color w:val="333333"/>
                <w:kern w:val="0"/>
                <w:sz w:val="24"/>
                <w:szCs w:val="24"/>
              </w:rPr>
            </w:pPr>
            <w:r>
              <w:rPr>
                <w:rFonts w:hint="eastAsia" w:ascii="Times New Roman" w:hAnsi="Times New Roman" w:eastAsia="仿宋" w:cs="宋体"/>
                <w:color w:val="333333"/>
                <w:kern w:val="0"/>
                <w:sz w:val="24"/>
                <w:szCs w:val="24"/>
              </w:rPr>
              <w:t>备注</w:t>
            </w:r>
          </w:p>
        </w:tc>
        <w:tc>
          <w:tcPr>
            <w:tcW w:w="6949" w:type="dxa"/>
            <w:gridSpan w:val="2"/>
          </w:tcPr>
          <w:p>
            <w:pPr>
              <w:spacing w:line="500" w:lineRule="exact"/>
              <w:rPr>
                <w:rFonts w:ascii="Times New Roman" w:hAnsi="Times New Roman" w:eastAsia="仿宋"/>
              </w:rPr>
            </w:pPr>
            <w:r>
              <w:rPr>
                <w:rFonts w:hint="eastAsia" w:ascii="Times New Roman" w:hAnsi="Times New Roman" w:eastAsia="仿宋" w:cs="宋体"/>
                <w:color w:val="333333"/>
                <w:kern w:val="0"/>
                <w:sz w:val="24"/>
                <w:szCs w:val="24"/>
              </w:rPr>
              <w:t>相关商品市场：宠物食品市场</w:t>
            </w:r>
          </w:p>
          <w:p>
            <w:pPr>
              <w:spacing w:line="500" w:lineRule="exact"/>
              <w:rPr>
                <w:rFonts w:hint="eastAsia" w:ascii="Times New Roman" w:hAnsi="Times New Roman" w:eastAsia="仿宋" w:cs="宋体"/>
                <w:color w:val="333333"/>
                <w:kern w:val="0"/>
                <w:sz w:val="24"/>
                <w:szCs w:val="24"/>
                <w:lang w:eastAsia="zh-CN"/>
              </w:rPr>
            </w:pPr>
            <w:r>
              <w:rPr>
                <w:rFonts w:hint="eastAsia" w:ascii="Times New Roman" w:hAnsi="Times New Roman" w:eastAsia="仿宋" w:cs="宋体"/>
                <w:color w:val="333333"/>
                <w:kern w:val="0"/>
                <w:sz w:val="24"/>
                <w:szCs w:val="24"/>
              </w:rPr>
              <w:t>相关地域市场：中国</w:t>
            </w:r>
            <w:r>
              <w:rPr>
                <w:rFonts w:hint="eastAsia" w:ascii="Times New Roman" w:hAnsi="Times New Roman" w:eastAsia="仿宋" w:cs="宋体"/>
                <w:color w:val="333333"/>
                <w:kern w:val="0"/>
                <w:sz w:val="24"/>
                <w:szCs w:val="24"/>
                <w:lang w:eastAsia="zh-CN"/>
              </w:rPr>
              <w:t>境内</w:t>
            </w:r>
          </w:p>
          <w:p>
            <w:pPr>
              <w:spacing w:line="500" w:lineRule="exact"/>
              <w:rPr>
                <w:rFonts w:hint="default" w:ascii="Times New Roman" w:hAnsi="Times New Roman" w:eastAsia="仿宋" w:cs="宋体"/>
                <w:color w:val="333333"/>
                <w:kern w:val="0"/>
                <w:sz w:val="24"/>
                <w:szCs w:val="24"/>
                <w:lang w:val="en-US" w:eastAsia="zh-CN"/>
              </w:rPr>
            </w:pPr>
            <w:r>
              <w:rPr>
                <w:rFonts w:hint="eastAsia" w:ascii="Times New Roman" w:hAnsi="Times New Roman" w:eastAsia="仿宋" w:cs="宋体"/>
                <w:color w:val="333333"/>
                <w:kern w:val="0"/>
                <w:sz w:val="24"/>
                <w:szCs w:val="24"/>
              </w:rPr>
              <w:t>市场份额：尤妮佳 0</w:t>
            </w:r>
            <w:r>
              <w:rPr>
                <w:rFonts w:ascii="Times New Roman" w:hAnsi="Times New Roman" w:eastAsia="仿宋" w:cs="宋体"/>
                <w:color w:val="333333"/>
                <w:kern w:val="0"/>
                <w:sz w:val="24"/>
                <w:szCs w:val="24"/>
              </w:rPr>
              <w:t xml:space="preserve">-5%  </w:t>
            </w:r>
            <w:r>
              <w:rPr>
                <w:rFonts w:hint="eastAsia" w:ascii="Times New Roman" w:hAnsi="Times New Roman" w:eastAsia="仿宋" w:cs="宋体"/>
                <w:color w:val="333333"/>
                <w:kern w:val="0"/>
                <w:sz w:val="24"/>
                <w:szCs w:val="24"/>
              </w:rPr>
              <w:t>江苏吉家0-</w:t>
            </w:r>
            <w:r>
              <w:rPr>
                <w:rFonts w:ascii="Times New Roman" w:hAnsi="Times New Roman" w:eastAsia="仿宋" w:cs="宋体"/>
                <w:color w:val="333333"/>
                <w:kern w:val="0"/>
                <w:sz w:val="24"/>
                <w:szCs w:val="24"/>
              </w:rPr>
              <w:t>5</w:t>
            </w:r>
            <w:r>
              <w:rPr>
                <w:rFonts w:hint="eastAsia" w:ascii="Times New Roman" w:hAnsi="Times New Roman" w:eastAsia="仿宋" w:cs="宋体"/>
                <w:color w:val="333333"/>
                <w:kern w:val="0"/>
                <w:sz w:val="24"/>
                <w:szCs w:val="24"/>
              </w:rPr>
              <w:t>%</w:t>
            </w:r>
            <w:r>
              <w:rPr>
                <w:rFonts w:hint="eastAsia" w:ascii="Times New Roman" w:hAnsi="Times New Roman" w:eastAsia="仿宋" w:cs="宋体"/>
                <w:color w:val="333333"/>
                <w:kern w:val="0"/>
                <w:sz w:val="24"/>
                <w:szCs w:val="24"/>
                <w:lang w:val="en-US" w:eastAsia="zh-CN"/>
              </w:rPr>
              <w:t xml:space="preserve">  合计</w:t>
            </w:r>
            <w:r>
              <w:rPr>
                <w:rFonts w:hint="eastAsia" w:ascii="Times New Roman" w:hAnsi="Times New Roman" w:eastAsia="仿宋" w:cs="宋体"/>
                <w:color w:val="333333"/>
                <w:kern w:val="0"/>
                <w:sz w:val="24"/>
                <w:szCs w:val="24"/>
              </w:rPr>
              <w:t>0-</w:t>
            </w:r>
            <w:r>
              <w:rPr>
                <w:rFonts w:ascii="Times New Roman" w:hAnsi="Times New Roman" w:eastAsia="仿宋" w:cs="宋体"/>
                <w:color w:val="333333"/>
                <w:kern w:val="0"/>
                <w:sz w:val="24"/>
                <w:szCs w:val="24"/>
              </w:rPr>
              <w:t>5</w:t>
            </w:r>
            <w:r>
              <w:rPr>
                <w:rFonts w:hint="eastAsia" w:ascii="Times New Roman" w:hAnsi="Times New Roman" w:eastAsia="仿宋" w:cs="宋体"/>
                <w:color w:val="333333"/>
                <w:kern w:val="0"/>
                <w:sz w:val="24"/>
                <w:szCs w:val="24"/>
              </w:rPr>
              <w:t>%</w:t>
            </w:r>
          </w:p>
          <w:p>
            <w:pPr>
              <w:spacing w:line="500" w:lineRule="exact"/>
              <w:rPr>
                <w:rFonts w:ascii="Times New Roman" w:hAnsi="Times New Roman" w:eastAsia="仿宋" w:cs="宋体"/>
                <w:color w:val="333333"/>
                <w:kern w:val="0"/>
                <w:sz w:val="24"/>
                <w:szCs w:val="24"/>
              </w:rPr>
            </w:pPr>
          </w:p>
          <w:p>
            <w:pPr>
              <w:spacing w:line="500" w:lineRule="exact"/>
              <w:rPr>
                <w:rFonts w:ascii="Times New Roman" w:hAnsi="Times New Roman" w:eastAsia="仿宋"/>
              </w:rPr>
            </w:pPr>
            <w:r>
              <w:rPr>
                <w:rFonts w:hint="eastAsia" w:ascii="Times New Roman" w:hAnsi="Times New Roman" w:eastAsia="仿宋" w:cs="宋体"/>
                <w:color w:val="333333"/>
                <w:kern w:val="0"/>
                <w:sz w:val="24"/>
                <w:szCs w:val="24"/>
              </w:rPr>
              <w:t>相关商品市场：宠物日用品市场</w:t>
            </w:r>
          </w:p>
          <w:p>
            <w:pPr>
              <w:spacing w:line="500" w:lineRule="exact"/>
              <w:rPr>
                <w:rFonts w:hint="eastAsia" w:ascii="Times New Roman" w:hAnsi="Times New Roman" w:eastAsia="仿宋" w:cs="宋体"/>
                <w:color w:val="333333"/>
                <w:kern w:val="0"/>
                <w:sz w:val="24"/>
                <w:szCs w:val="24"/>
                <w:lang w:eastAsia="zh-CN"/>
              </w:rPr>
            </w:pPr>
            <w:r>
              <w:rPr>
                <w:rFonts w:hint="eastAsia" w:ascii="Times New Roman" w:hAnsi="Times New Roman" w:eastAsia="仿宋" w:cs="宋体"/>
                <w:color w:val="333333"/>
                <w:kern w:val="0"/>
                <w:sz w:val="24"/>
                <w:szCs w:val="24"/>
              </w:rPr>
              <w:t>相关地域市场：中国</w:t>
            </w:r>
            <w:r>
              <w:rPr>
                <w:rFonts w:hint="eastAsia" w:ascii="Times New Roman" w:hAnsi="Times New Roman" w:eastAsia="仿宋" w:cs="宋体"/>
                <w:color w:val="333333"/>
                <w:kern w:val="0"/>
                <w:sz w:val="24"/>
                <w:szCs w:val="24"/>
                <w:lang w:eastAsia="zh-CN"/>
              </w:rPr>
              <w:t>境内</w:t>
            </w:r>
            <w:bookmarkStart w:id="0" w:name="_GoBack"/>
            <w:bookmarkEnd w:id="0"/>
          </w:p>
          <w:p>
            <w:pPr>
              <w:spacing w:line="500" w:lineRule="exact"/>
              <w:rPr>
                <w:rFonts w:hint="default" w:ascii="Times New Roman" w:hAnsi="Times New Roman" w:eastAsia="仿宋" w:cs="宋体"/>
                <w:color w:val="333333"/>
                <w:kern w:val="0"/>
                <w:sz w:val="24"/>
                <w:szCs w:val="24"/>
                <w:lang w:val="en-US" w:eastAsia="zh-CN"/>
              </w:rPr>
            </w:pPr>
            <w:r>
              <w:rPr>
                <w:rFonts w:hint="eastAsia" w:ascii="Times New Roman" w:hAnsi="Times New Roman" w:eastAsia="仿宋" w:cs="宋体"/>
                <w:color w:val="333333"/>
                <w:kern w:val="0"/>
                <w:sz w:val="24"/>
                <w:szCs w:val="24"/>
              </w:rPr>
              <w:t>市场份额：尤妮佳 0</w:t>
            </w:r>
            <w:r>
              <w:rPr>
                <w:rFonts w:ascii="Times New Roman" w:hAnsi="Times New Roman" w:eastAsia="仿宋" w:cs="宋体"/>
                <w:color w:val="333333"/>
                <w:kern w:val="0"/>
                <w:sz w:val="24"/>
                <w:szCs w:val="24"/>
              </w:rPr>
              <w:t xml:space="preserve">-5%  </w:t>
            </w:r>
            <w:r>
              <w:rPr>
                <w:rFonts w:hint="eastAsia" w:ascii="Times New Roman" w:hAnsi="Times New Roman" w:eastAsia="仿宋" w:cs="宋体"/>
                <w:color w:val="333333"/>
                <w:kern w:val="0"/>
                <w:sz w:val="24"/>
                <w:szCs w:val="24"/>
              </w:rPr>
              <w:t>江苏吉家0-</w:t>
            </w:r>
            <w:r>
              <w:rPr>
                <w:rFonts w:ascii="Times New Roman" w:hAnsi="Times New Roman" w:eastAsia="仿宋" w:cs="宋体"/>
                <w:color w:val="333333"/>
                <w:kern w:val="0"/>
                <w:sz w:val="24"/>
                <w:szCs w:val="24"/>
              </w:rPr>
              <w:t>5</w:t>
            </w:r>
            <w:r>
              <w:rPr>
                <w:rFonts w:hint="eastAsia" w:ascii="Times New Roman" w:hAnsi="Times New Roman" w:eastAsia="仿宋" w:cs="宋体"/>
                <w:color w:val="333333"/>
                <w:kern w:val="0"/>
                <w:sz w:val="24"/>
                <w:szCs w:val="24"/>
              </w:rPr>
              <w:t>%</w:t>
            </w:r>
            <w:r>
              <w:rPr>
                <w:rFonts w:hint="eastAsia" w:ascii="Times New Roman" w:hAnsi="Times New Roman" w:eastAsia="仿宋" w:cs="宋体"/>
                <w:color w:val="333333"/>
                <w:kern w:val="0"/>
                <w:sz w:val="24"/>
                <w:szCs w:val="24"/>
                <w:lang w:val="en-US" w:eastAsia="zh-CN"/>
              </w:rPr>
              <w:t xml:space="preserve"> </w:t>
            </w:r>
            <w:r>
              <w:rPr>
                <w:rFonts w:hint="eastAsia" w:ascii="Times New Roman" w:hAnsi="Times New Roman" w:eastAsia="仿宋" w:cs="宋体"/>
                <w:color w:val="333333"/>
                <w:kern w:val="0"/>
                <w:sz w:val="24"/>
                <w:szCs w:val="24"/>
                <w:lang w:val="en-US" w:eastAsia="zh-CN"/>
              </w:rPr>
              <w:t xml:space="preserve"> 合计</w:t>
            </w:r>
            <w:r>
              <w:rPr>
                <w:rFonts w:hint="eastAsia" w:ascii="Times New Roman" w:hAnsi="Times New Roman" w:eastAsia="仿宋" w:cs="宋体"/>
                <w:color w:val="333333"/>
                <w:kern w:val="0"/>
                <w:sz w:val="24"/>
                <w:szCs w:val="24"/>
              </w:rPr>
              <w:t>0-</w:t>
            </w:r>
            <w:r>
              <w:rPr>
                <w:rFonts w:ascii="Times New Roman" w:hAnsi="Times New Roman" w:eastAsia="仿宋" w:cs="宋体"/>
                <w:color w:val="333333"/>
                <w:kern w:val="0"/>
                <w:sz w:val="24"/>
                <w:szCs w:val="24"/>
              </w:rPr>
              <w:t>5</w:t>
            </w:r>
            <w:r>
              <w:rPr>
                <w:rFonts w:hint="eastAsia" w:ascii="Times New Roman" w:hAnsi="Times New Roman" w:eastAsia="仿宋" w:cs="宋体"/>
                <w:color w:val="333333"/>
                <w:kern w:val="0"/>
                <w:sz w:val="24"/>
                <w:szCs w:val="24"/>
              </w:rPr>
              <w:t>%</w:t>
            </w:r>
          </w:p>
        </w:tc>
      </w:tr>
    </w:tbl>
    <w:p>
      <w:pPr>
        <w:snapToGrid w:val="0"/>
        <w:spacing w:line="240" w:lineRule="exact"/>
        <w:jc w:val="left"/>
        <w:rPr>
          <w:rFonts w:ascii="楷体_GB2312" w:hAnsi="宋体" w:eastAsia="楷体_GB2312"/>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汉仪仿宋S"/>
    <w:panose1 w:val="00000000000000000000"/>
    <w:charset w:val="86"/>
    <w:family w:val="auto"/>
    <w:pitch w:val="default"/>
    <w:sig w:usb0="00000000" w:usb1="00000000" w:usb2="00000000" w:usb3="00000000" w:csb0="00000000" w:csb1="00000000"/>
  </w:font>
  <w:font w:name="等线">
    <w:altName w:val="汉仪仿宋S"/>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汉仪仿宋S">
    <w:panose1 w:val="00020600040101000101"/>
    <w:charset w:val="86"/>
    <w:family w:val="auto"/>
    <w:pitch w:val="default"/>
    <w:sig w:usb0="A00002BF" w:usb1="38CF7CFA" w:usb2="00000016" w:usb3="00000000" w:csb0="0004009F"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华文仿宋">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DF"/>
    <w:rsid w:val="00004F53"/>
    <w:rsid w:val="00037065"/>
    <w:rsid w:val="000825C6"/>
    <w:rsid w:val="000D7B6A"/>
    <w:rsid w:val="000D7EBA"/>
    <w:rsid w:val="001164CD"/>
    <w:rsid w:val="00146FDE"/>
    <w:rsid w:val="00155717"/>
    <w:rsid w:val="001837A3"/>
    <w:rsid w:val="001A2498"/>
    <w:rsid w:val="002144E7"/>
    <w:rsid w:val="002368D0"/>
    <w:rsid w:val="00257D52"/>
    <w:rsid w:val="002A11BF"/>
    <w:rsid w:val="002D33A6"/>
    <w:rsid w:val="00335F41"/>
    <w:rsid w:val="00345803"/>
    <w:rsid w:val="00374EA3"/>
    <w:rsid w:val="003C0AEB"/>
    <w:rsid w:val="003D31C2"/>
    <w:rsid w:val="004A49A1"/>
    <w:rsid w:val="004F7688"/>
    <w:rsid w:val="00532083"/>
    <w:rsid w:val="00593E6E"/>
    <w:rsid w:val="005E176C"/>
    <w:rsid w:val="006256C5"/>
    <w:rsid w:val="006467D8"/>
    <w:rsid w:val="006A531B"/>
    <w:rsid w:val="006B4625"/>
    <w:rsid w:val="006F7693"/>
    <w:rsid w:val="00710140"/>
    <w:rsid w:val="007B035D"/>
    <w:rsid w:val="007C2616"/>
    <w:rsid w:val="007F2275"/>
    <w:rsid w:val="008E30F0"/>
    <w:rsid w:val="00915F0F"/>
    <w:rsid w:val="009532DF"/>
    <w:rsid w:val="00974F26"/>
    <w:rsid w:val="00997019"/>
    <w:rsid w:val="009A5029"/>
    <w:rsid w:val="009D38D5"/>
    <w:rsid w:val="00A160F5"/>
    <w:rsid w:val="00A20B02"/>
    <w:rsid w:val="00A53F26"/>
    <w:rsid w:val="00A57ECE"/>
    <w:rsid w:val="00A70E01"/>
    <w:rsid w:val="00A97F79"/>
    <w:rsid w:val="00AA0CC5"/>
    <w:rsid w:val="00B16AFE"/>
    <w:rsid w:val="00B3251C"/>
    <w:rsid w:val="00B65DD5"/>
    <w:rsid w:val="00B73FDC"/>
    <w:rsid w:val="00BC7EE4"/>
    <w:rsid w:val="00BD10B6"/>
    <w:rsid w:val="00BF6A20"/>
    <w:rsid w:val="00C07076"/>
    <w:rsid w:val="00C431AB"/>
    <w:rsid w:val="00CB00DF"/>
    <w:rsid w:val="00D45B1C"/>
    <w:rsid w:val="00D73C72"/>
    <w:rsid w:val="00D75230"/>
    <w:rsid w:val="00DA16E0"/>
    <w:rsid w:val="00DD1660"/>
    <w:rsid w:val="00E01F32"/>
    <w:rsid w:val="00E0592B"/>
    <w:rsid w:val="00E31738"/>
    <w:rsid w:val="00E324DB"/>
    <w:rsid w:val="00E35B71"/>
    <w:rsid w:val="00E51472"/>
    <w:rsid w:val="00E86786"/>
    <w:rsid w:val="00E90185"/>
    <w:rsid w:val="00ED2F80"/>
    <w:rsid w:val="00F1624E"/>
    <w:rsid w:val="00F32F8A"/>
    <w:rsid w:val="00F34831"/>
    <w:rsid w:val="00F810AA"/>
    <w:rsid w:val="00F9677C"/>
    <w:rsid w:val="00FB43EC"/>
    <w:rsid w:val="00FB6B40"/>
    <w:rsid w:val="BDE7B3D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unhideWhenUsed/>
    <w:qFormat/>
    <w:uiPriority w:val="99"/>
    <w:pPr>
      <w:jc w:val="left"/>
    </w:p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annotation subject"/>
    <w:basedOn w:val="2"/>
    <w:next w:val="2"/>
    <w:link w:val="14"/>
    <w:semiHidden/>
    <w:unhideWhenUsed/>
    <w:qFormat/>
    <w:uiPriority w:val="99"/>
    <w:rPr>
      <w:b/>
      <w:bCs/>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character" w:styleId="9">
    <w:name w:val="annotation reference"/>
    <w:basedOn w:val="7"/>
    <w:semiHidden/>
    <w:unhideWhenUsed/>
    <w:qFormat/>
    <w:uiPriority w:val="99"/>
    <w:rPr>
      <w:sz w:val="21"/>
      <w:szCs w:val="21"/>
    </w:rPr>
  </w:style>
  <w:style w:type="character" w:customStyle="1" w:styleId="10">
    <w:name w:val="Unresolved Mention"/>
    <w:basedOn w:val="7"/>
    <w:semiHidden/>
    <w:unhideWhenUsed/>
    <w:qFormat/>
    <w:uiPriority w:val="99"/>
    <w:rPr>
      <w:color w:val="605E5C"/>
      <w:shd w:val="clear" w:color="auto" w:fill="E1DFDD"/>
    </w:rPr>
  </w:style>
  <w:style w:type="character" w:customStyle="1" w:styleId="11">
    <w:name w:val="页眉 字符"/>
    <w:basedOn w:val="7"/>
    <w:link w:val="4"/>
    <w:qFormat/>
    <w:uiPriority w:val="99"/>
    <w:rPr>
      <w:rFonts w:ascii="Calibri" w:hAnsi="Calibri" w:eastAsia="宋体" w:cs="Times New Roman"/>
      <w:sz w:val="18"/>
      <w:szCs w:val="18"/>
    </w:rPr>
  </w:style>
  <w:style w:type="character" w:customStyle="1" w:styleId="12">
    <w:name w:val="页脚 字符"/>
    <w:basedOn w:val="7"/>
    <w:link w:val="3"/>
    <w:qFormat/>
    <w:uiPriority w:val="99"/>
    <w:rPr>
      <w:rFonts w:ascii="Calibri" w:hAnsi="Calibri" w:eastAsia="宋体" w:cs="Times New Roman"/>
      <w:sz w:val="18"/>
      <w:szCs w:val="18"/>
    </w:rPr>
  </w:style>
  <w:style w:type="character" w:customStyle="1" w:styleId="13">
    <w:name w:val="批注文字 字符"/>
    <w:basedOn w:val="7"/>
    <w:link w:val="2"/>
    <w:qFormat/>
    <w:uiPriority w:val="99"/>
    <w:rPr>
      <w:rFonts w:ascii="Calibri" w:hAnsi="Calibri" w:eastAsia="宋体" w:cs="Times New Roman"/>
    </w:rPr>
  </w:style>
  <w:style w:type="character" w:customStyle="1" w:styleId="14">
    <w:name w:val="批注主题 字符"/>
    <w:basedOn w:val="13"/>
    <w:link w:val="5"/>
    <w:semiHidden/>
    <w:qFormat/>
    <w:uiPriority w:val="99"/>
    <w:rPr>
      <w:rFonts w:ascii="Calibri" w:hAnsi="Calibri" w:eastAsia="宋体" w:cs="Times New Roman"/>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143</Words>
  <Characters>817</Characters>
  <Lines>6</Lines>
  <Paragraphs>1</Paragraphs>
  <TotalTime>111</TotalTime>
  <ScaleCrop>false</ScaleCrop>
  <LinksUpToDate>false</LinksUpToDate>
  <CharactersWithSpaces>959</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2021-07-21T09:55:00Z</dcterms:created>
  <dc:creator>陈媚</dc:creator>
  <cp:lastModifiedBy>scjuser</cp:lastModifiedBy>
  <cp:lastPrinted>2022-10-14T15:27:06Z</cp:lastPrinted>
  <dcterms:modified xsi:type="dcterms:W3CDTF">2022-10-14T17:18:12Z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