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jc w:val="center"/>
        <w:rPr>
          <w:rFonts w:ascii="Times New Roman" w:hAnsi="Times New Roman"/>
          <w:b/>
          <w:sz w:val="24"/>
          <w:szCs w:val="24"/>
        </w:rPr>
      </w:pPr>
      <w:r>
        <w:rPr>
          <w:rFonts w:hint="eastAsia" w:ascii="Times New Roman" w:hAnsi="Times New Roman"/>
          <w:b/>
          <w:sz w:val="24"/>
          <w:szCs w:val="24"/>
        </w:rPr>
        <w:t>经营者集中简易案件公示表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1796"/>
        <w:gridCol w:w="5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shd w:val="clear" w:color="auto" w:fill="D9D9D9"/>
            <w:vAlign w:val="center"/>
          </w:tcPr>
          <w:p>
            <w:pPr>
              <w:adjustRightInd w:val="0"/>
              <w:snapToGrid w:val="0"/>
              <w:spacing w:after="120"/>
              <w:rPr>
                <w:rFonts w:ascii="Times New Roman" w:hAnsi="Times New Roman"/>
                <w:b/>
                <w:szCs w:val="21"/>
              </w:rPr>
            </w:pPr>
            <w:r>
              <w:rPr>
                <w:rFonts w:hint="eastAsia" w:ascii="Times New Roman" w:hAnsi="Times New Roman"/>
                <w:b/>
                <w:szCs w:val="21"/>
              </w:rPr>
              <w:t>案件名称</w:t>
            </w:r>
          </w:p>
        </w:tc>
        <w:tc>
          <w:tcPr>
            <w:tcW w:w="6949" w:type="dxa"/>
            <w:gridSpan w:val="2"/>
            <w:shd w:val="clear" w:color="auto" w:fill="auto"/>
            <w:vAlign w:val="center"/>
          </w:tcPr>
          <w:p>
            <w:pPr>
              <w:adjustRightInd w:val="0"/>
              <w:snapToGrid w:val="0"/>
              <w:spacing w:before="120" w:after="120"/>
              <w:jc w:val="left"/>
              <w:rPr>
                <w:rFonts w:ascii="Times New Roman" w:hAnsi="Times New Roman"/>
                <w:szCs w:val="21"/>
              </w:rPr>
            </w:pPr>
            <w:r>
              <w:rPr>
                <w:rFonts w:hint="eastAsia" w:ascii="Times New Roman" w:hAnsi="Times New Roman"/>
                <w:szCs w:val="21"/>
              </w:rPr>
              <w:t>蔚特有限公司收购高鸿农业投资有限公司股权案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trPr>
        <w:tc>
          <w:tcPr>
            <w:tcW w:w="1809" w:type="dxa"/>
            <w:shd w:val="clear" w:color="auto" w:fill="D9D9D9"/>
            <w:vAlign w:val="center"/>
          </w:tcPr>
          <w:p>
            <w:pPr>
              <w:adjustRightInd w:val="0"/>
              <w:snapToGrid w:val="0"/>
              <w:spacing w:after="120"/>
              <w:rPr>
                <w:rFonts w:ascii="Times New Roman" w:hAnsi="Times New Roman"/>
                <w:b/>
                <w:szCs w:val="21"/>
              </w:rPr>
            </w:pPr>
            <w:r>
              <w:rPr>
                <w:rFonts w:hint="eastAsia" w:ascii="Times New Roman" w:hAnsi="Times New Roman"/>
                <w:b/>
                <w:szCs w:val="21"/>
              </w:rPr>
              <w:t>交易概况（限200字内）</w:t>
            </w:r>
          </w:p>
        </w:tc>
        <w:tc>
          <w:tcPr>
            <w:tcW w:w="6949" w:type="dxa"/>
            <w:gridSpan w:val="2"/>
            <w:shd w:val="clear" w:color="auto" w:fill="auto"/>
          </w:tcPr>
          <w:p>
            <w:pPr>
              <w:adjustRightInd w:val="0"/>
              <w:snapToGrid w:val="0"/>
              <w:spacing w:before="120" w:after="120"/>
              <w:rPr>
                <w:rFonts w:ascii="Times New Roman" w:hAnsi="Times New Roman"/>
                <w:szCs w:val="21"/>
              </w:rPr>
            </w:pPr>
            <w:r>
              <w:rPr>
                <w:rFonts w:ascii="Times New Roman" w:hAnsi="Times New Roman"/>
                <w:szCs w:val="21"/>
              </w:rPr>
              <w:t>2022</w:t>
            </w:r>
            <w:r>
              <w:rPr>
                <w:rFonts w:hint="eastAsia" w:ascii="Times New Roman" w:hAnsi="Times New Roman"/>
                <w:szCs w:val="21"/>
              </w:rPr>
              <w:t>年1月2</w:t>
            </w:r>
            <w:r>
              <w:rPr>
                <w:rFonts w:ascii="Times New Roman" w:hAnsi="Times New Roman"/>
                <w:szCs w:val="21"/>
              </w:rPr>
              <w:t>6</w:t>
            </w:r>
            <w:r>
              <w:rPr>
                <w:rFonts w:hint="eastAsia" w:ascii="Times New Roman" w:hAnsi="Times New Roman"/>
                <w:szCs w:val="21"/>
              </w:rPr>
              <w:t>日，蔚特有限公司（“</w:t>
            </w:r>
            <w:r>
              <w:rPr>
                <w:rFonts w:hint="eastAsia" w:ascii="Times New Roman" w:hAnsi="Times New Roman"/>
                <w:b/>
                <w:bCs/>
                <w:szCs w:val="21"/>
              </w:rPr>
              <w:t>蔚特</w:t>
            </w:r>
            <w:r>
              <w:rPr>
                <w:rFonts w:hint="eastAsia" w:ascii="Times New Roman" w:hAnsi="Times New Roman"/>
                <w:szCs w:val="21"/>
              </w:rPr>
              <w:t>”）与丸红株式会社（“</w:t>
            </w:r>
            <w:r>
              <w:rPr>
                <w:rFonts w:hint="eastAsia" w:ascii="Times New Roman" w:hAnsi="Times New Roman"/>
                <w:b/>
                <w:bCs/>
                <w:szCs w:val="21"/>
              </w:rPr>
              <w:t>丸红</w:t>
            </w:r>
            <w:r>
              <w:rPr>
                <w:rFonts w:hint="eastAsia" w:ascii="Times New Roman" w:hAnsi="Times New Roman"/>
                <w:szCs w:val="21"/>
              </w:rPr>
              <w:t>”）签订最终协议，约定蔚特通过其关联实体蔚特美国投资有限责任公司收购高鸿农业投资有限公司（“</w:t>
            </w:r>
            <w:r>
              <w:rPr>
                <w:rFonts w:hint="eastAsia" w:ascii="Times New Roman" w:hAnsi="Times New Roman"/>
                <w:b/>
                <w:bCs/>
                <w:szCs w:val="21"/>
              </w:rPr>
              <w:t>高鸿</w:t>
            </w:r>
            <w:r>
              <w:rPr>
                <w:rFonts w:hint="eastAsia" w:ascii="Times New Roman" w:hAnsi="Times New Roman"/>
                <w:szCs w:val="21"/>
              </w:rPr>
              <w:t>”）的全部股份（“</w:t>
            </w:r>
            <w:r>
              <w:rPr>
                <w:rFonts w:hint="eastAsia" w:ascii="Times New Roman" w:hAnsi="Times New Roman"/>
                <w:b/>
                <w:bCs/>
                <w:szCs w:val="21"/>
              </w:rPr>
              <w:t>拟议交易</w:t>
            </w:r>
            <w:r>
              <w:rPr>
                <w:rFonts w:hint="eastAsia" w:ascii="Times New Roman" w:hAnsi="Times New Roman"/>
                <w:szCs w:val="21"/>
              </w:rPr>
              <w:t>”）。拟议交易完成后，蔚特将单独控制高鸿的粮谷和配料业务。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trPr>
        <w:tc>
          <w:tcPr>
            <w:tcW w:w="1809" w:type="dxa"/>
            <w:vMerge w:val="restart"/>
            <w:shd w:val="clear" w:color="auto" w:fill="D9D9D9"/>
            <w:vAlign w:val="center"/>
          </w:tcPr>
          <w:p>
            <w:pPr>
              <w:adjustRightInd w:val="0"/>
              <w:snapToGrid w:val="0"/>
              <w:spacing w:after="120"/>
              <w:jc w:val="left"/>
              <w:rPr>
                <w:rFonts w:ascii="Times New Roman" w:hAnsi="Times New Roman"/>
                <w:b/>
                <w:szCs w:val="21"/>
              </w:rPr>
            </w:pPr>
            <w:r>
              <w:rPr>
                <w:rFonts w:hint="eastAsia" w:ascii="Times New Roman" w:hAnsi="Times New Roman"/>
                <w:b/>
                <w:szCs w:val="21"/>
              </w:rPr>
              <w:t>参与集中的经营者简介</w:t>
            </w:r>
            <w:r>
              <w:rPr>
                <w:rStyle w:val="17"/>
                <w:rFonts w:ascii="Times New Roman" w:hAnsi="Times New Roman"/>
                <w:b/>
                <w:szCs w:val="21"/>
              </w:rPr>
              <w:t xml:space="preserve"> </w:t>
            </w:r>
          </w:p>
        </w:tc>
        <w:tc>
          <w:tcPr>
            <w:tcW w:w="1796" w:type="dxa"/>
            <w:shd w:val="clear" w:color="auto" w:fill="auto"/>
            <w:vAlign w:val="center"/>
          </w:tcPr>
          <w:p>
            <w:pPr>
              <w:pStyle w:val="38"/>
              <w:numPr>
                <w:ilvl w:val="0"/>
                <w:numId w:val="3"/>
              </w:numPr>
              <w:adjustRightInd w:val="0"/>
              <w:snapToGrid w:val="0"/>
              <w:spacing w:before="120" w:after="120"/>
              <w:ind w:firstLineChars="0"/>
              <w:rPr>
                <w:rFonts w:ascii="Times New Roman" w:hAnsi="Times New Roman"/>
                <w:szCs w:val="21"/>
              </w:rPr>
            </w:pPr>
            <w:r>
              <w:rPr>
                <w:rFonts w:hint="eastAsia" w:ascii="Times New Roman" w:hAnsi="Times New Roman"/>
                <w:szCs w:val="21"/>
              </w:rPr>
              <w:t>蔚特</w:t>
            </w:r>
          </w:p>
        </w:tc>
        <w:tc>
          <w:tcPr>
            <w:tcW w:w="5153" w:type="dxa"/>
            <w:shd w:val="clear" w:color="auto" w:fill="auto"/>
          </w:tcPr>
          <w:p>
            <w:pPr>
              <w:adjustRightInd w:val="0"/>
              <w:snapToGrid w:val="0"/>
              <w:spacing w:before="120" w:after="120"/>
              <w:rPr>
                <w:rFonts w:ascii="Times New Roman" w:hAnsi="Times New Roman"/>
                <w:szCs w:val="21"/>
              </w:rPr>
            </w:pPr>
            <w:r>
              <w:rPr>
                <w:rFonts w:hint="eastAsia" w:ascii="Times New Roman" w:hAnsi="Times New Roman"/>
                <w:szCs w:val="21"/>
              </w:rPr>
              <w:t>蔚特</w:t>
            </w:r>
            <w:r>
              <w:rPr>
                <w:rFonts w:hint="eastAsia" w:ascii="Times New Roman" w:hAnsi="Times New Roman"/>
                <w:szCs w:val="21"/>
                <w:lang w:val="en-GB"/>
              </w:rPr>
              <w:t>于2</w:t>
            </w:r>
            <w:r>
              <w:rPr>
                <w:rFonts w:ascii="Times New Roman" w:hAnsi="Times New Roman"/>
                <w:szCs w:val="21"/>
                <w:lang w:val="en-GB"/>
              </w:rPr>
              <w:t>015</w:t>
            </w:r>
            <w:r>
              <w:rPr>
                <w:rFonts w:hint="eastAsia" w:ascii="Times New Roman" w:hAnsi="Times New Roman"/>
                <w:szCs w:val="21"/>
                <w:lang w:val="en-GB"/>
              </w:rPr>
              <w:t>年</w:t>
            </w:r>
            <w:r>
              <w:rPr>
                <w:rFonts w:ascii="Times New Roman" w:hAnsi="Times New Roman"/>
                <w:szCs w:val="21"/>
                <w:lang w:val="en-GB"/>
              </w:rPr>
              <w:t>10</w:t>
            </w:r>
            <w:r>
              <w:rPr>
                <w:rFonts w:hint="eastAsia" w:ascii="Times New Roman" w:hAnsi="Times New Roman"/>
                <w:szCs w:val="21"/>
                <w:lang w:val="en-GB"/>
              </w:rPr>
              <w:t>月7日在泽西岛成立。</w:t>
            </w:r>
            <w:r>
              <w:rPr>
                <w:rFonts w:hint="eastAsia" w:ascii="Times New Roman" w:hAnsi="Times New Roman"/>
                <w:szCs w:val="21"/>
              </w:rPr>
              <w:t>蔚特是一家农产品收购和销售商，主要从事农产品的收购、加工、储存、运输和销售。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809" w:type="dxa"/>
            <w:vMerge w:val="continue"/>
            <w:shd w:val="clear" w:color="auto" w:fill="D9D9D9"/>
          </w:tcPr>
          <w:p>
            <w:pPr>
              <w:adjustRightInd w:val="0"/>
              <w:snapToGrid w:val="0"/>
              <w:spacing w:after="120"/>
              <w:jc w:val="left"/>
              <w:rPr>
                <w:rFonts w:ascii="Times New Roman" w:hAnsi="Times New Roman"/>
                <w:szCs w:val="21"/>
              </w:rPr>
            </w:pPr>
          </w:p>
        </w:tc>
        <w:tc>
          <w:tcPr>
            <w:tcW w:w="1796" w:type="dxa"/>
            <w:shd w:val="clear" w:color="auto" w:fill="auto"/>
            <w:vAlign w:val="center"/>
          </w:tcPr>
          <w:p>
            <w:pPr>
              <w:pStyle w:val="38"/>
              <w:numPr>
                <w:ilvl w:val="0"/>
                <w:numId w:val="3"/>
              </w:numPr>
              <w:adjustRightInd w:val="0"/>
              <w:snapToGrid w:val="0"/>
              <w:spacing w:before="120" w:after="120"/>
              <w:ind w:firstLineChars="0"/>
              <w:rPr>
                <w:rFonts w:ascii="Times New Roman" w:hAnsi="Times New Roman"/>
                <w:szCs w:val="21"/>
                <w:lang w:val="en-GB"/>
              </w:rPr>
            </w:pPr>
            <w:r>
              <w:rPr>
                <w:rFonts w:hint="eastAsia" w:ascii="Times New Roman" w:hAnsi="Times New Roman"/>
                <w:szCs w:val="21"/>
                <w:lang w:val="en-GB"/>
              </w:rPr>
              <w:t>高鸿</w:t>
            </w:r>
          </w:p>
        </w:tc>
        <w:tc>
          <w:tcPr>
            <w:tcW w:w="5153" w:type="dxa"/>
            <w:shd w:val="clear" w:color="auto" w:fill="auto"/>
          </w:tcPr>
          <w:p>
            <w:pPr>
              <w:adjustRightInd w:val="0"/>
              <w:snapToGrid w:val="0"/>
              <w:spacing w:before="120" w:after="120"/>
              <w:rPr>
                <w:rFonts w:ascii="Times New Roman" w:hAnsi="Times New Roman"/>
                <w:szCs w:val="21"/>
              </w:rPr>
            </w:pPr>
            <w:r>
              <w:rPr>
                <w:rFonts w:hint="eastAsia" w:ascii="Times New Roman" w:hAnsi="Times New Roman"/>
                <w:szCs w:val="21"/>
              </w:rPr>
              <w:t>高鸿于</w:t>
            </w:r>
            <w:r>
              <w:rPr>
                <w:rFonts w:ascii="Times New Roman" w:hAnsi="Times New Roman"/>
                <w:szCs w:val="21"/>
              </w:rPr>
              <w:t>2012</w:t>
            </w:r>
            <w:r>
              <w:rPr>
                <w:rFonts w:hint="eastAsia" w:ascii="Times New Roman" w:hAnsi="Times New Roman"/>
                <w:szCs w:val="21"/>
              </w:rPr>
              <w:t>年5月2</w:t>
            </w:r>
            <w:r>
              <w:rPr>
                <w:rFonts w:ascii="Times New Roman" w:hAnsi="Times New Roman"/>
                <w:szCs w:val="21"/>
              </w:rPr>
              <w:t>5</w:t>
            </w:r>
            <w:r>
              <w:rPr>
                <w:rFonts w:hint="eastAsia" w:ascii="Times New Roman" w:hAnsi="Times New Roman"/>
                <w:szCs w:val="21"/>
              </w:rPr>
              <w:t>日在美国成立。高鸿是一家美国商品管理公司，提供国际农产品采购、储存和处理、运输和物流、销售与分销以及风险管理服务。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809" w:type="dxa"/>
            <w:vMerge w:val="restart"/>
            <w:shd w:val="clear" w:color="auto" w:fill="D9D9D9"/>
            <w:vAlign w:val="center"/>
          </w:tcPr>
          <w:p>
            <w:pPr>
              <w:adjustRightInd w:val="0"/>
              <w:snapToGrid w:val="0"/>
              <w:spacing w:after="120"/>
              <w:jc w:val="left"/>
              <w:rPr>
                <w:rFonts w:ascii="Times New Roman" w:hAnsi="Times New Roman"/>
                <w:b/>
                <w:szCs w:val="21"/>
              </w:rPr>
            </w:pPr>
            <w:r>
              <w:rPr>
                <w:rFonts w:hint="eastAsia" w:ascii="Times New Roman" w:hAnsi="Times New Roman"/>
                <w:b/>
                <w:szCs w:val="21"/>
              </w:rPr>
              <w:t>简易案件理由（可以单选，也可以多选）</w:t>
            </w:r>
          </w:p>
        </w:tc>
        <w:tc>
          <w:tcPr>
            <w:tcW w:w="6949" w:type="dxa"/>
            <w:gridSpan w:val="2"/>
            <w:shd w:val="clear" w:color="auto" w:fill="auto"/>
          </w:tcPr>
          <w:p>
            <w:pPr>
              <w:adjustRightInd w:val="0"/>
              <w:snapToGrid w:val="0"/>
              <w:spacing w:after="120"/>
              <w:jc w:val="left"/>
              <w:rPr>
                <w:rFonts w:ascii="Times New Roman" w:hAnsi="Times New Roman"/>
                <w:szCs w:val="21"/>
              </w:rPr>
            </w:pPr>
            <w:r>
              <w:rPr>
                <w:rFonts w:ascii="Times New Roman" w:hAnsi="Times New Roman"/>
                <w:bCs/>
                <w:szCs w:val="21"/>
              </w:rPr>
              <w:sym w:font="Wingdings" w:char="F0FE"/>
            </w:r>
            <w:r>
              <w:rPr>
                <w:rFonts w:ascii="Times New Roman" w:hAnsi="Times New Roman"/>
                <w:szCs w:val="21"/>
              </w:rPr>
              <w:t xml:space="preserve"> 1、在同一相关市场，所有参与集中的经营者所占市场份额之和小于15%。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809" w:type="dxa"/>
            <w:vMerge w:val="continue"/>
            <w:shd w:val="clear" w:color="auto" w:fill="D9D9D9"/>
          </w:tcPr>
          <w:p>
            <w:pPr>
              <w:adjustRightInd w:val="0"/>
              <w:snapToGrid w:val="0"/>
              <w:spacing w:after="120"/>
              <w:jc w:val="left"/>
              <w:rPr>
                <w:rFonts w:ascii="Times New Roman" w:hAnsi="Times New Roman"/>
                <w:szCs w:val="21"/>
              </w:rPr>
            </w:pPr>
          </w:p>
        </w:tc>
        <w:tc>
          <w:tcPr>
            <w:tcW w:w="6949" w:type="dxa"/>
            <w:gridSpan w:val="2"/>
            <w:shd w:val="clear" w:color="auto" w:fill="auto"/>
          </w:tcPr>
          <w:p>
            <w:pPr>
              <w:adjustRightInd w:val="0"/>
              <w:snapToGrid w:val="0"/>
              <w:spacing w:after="120"/>
              <w:jc w:val="left"/>
              <w:rPr>
                <w:rFonts w:ascii="Times New Roman" w:hAnsi="Times New Roman"/>
                <w:szCs w:val="21"/>
              </w:rPr>
            </w:pPr>
            <w:r>
              <w:rPr>
                <w:rFonts w:ascii="Times New Roman" w:hAnsi="Times New Roman"/>
                <w:szCs w:val="21"/>
              </w:rPr>
              <w:t>□ 2、存在上下游关系的参与集中的经营者，在上下游市场所占的市场份额均小于25%。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Merge w:val="continue"/>
            <w:shd w:val="clear" w:color="auto" w:fill="D9D9D9"/>
          </w:tcPr>
          <w:p>
            <w:pPr>
              <w:adjustRightInd w:val="0"/>
              <w:snapToGrid w:val="0"/>
              <w:spacing w:after="120"/>
              <w:jc w:val="left"/>
              <w:rPr>
                <w:rFonts w:ascii="Times New Roman" w:hAnsi="Times New Roman"/>
                <w:szCs w:val="21"/>
              </w:rPr>
            </w:pPr>
          </w:p>
        </w:tc>
        <w:tc>
          <w:tcPr>
            <w:tcW w:w="6949" w:type="dxa"/>
            <w:gridSpan w:val="2"/>
            <w:shd w:val="clear" w:color="auto" w:fill="auto"/>
          </w:tcPr>
          <w:p>
            <w:pPr>
              <w:adjustRightInd w:val="0"/>
              <w:snapToGrid w:val="0"/>
              <w:spacing w:after="120"/>
              <w:jc w:val="left"/>
              <w:rPr>
                <w:rFonts w:ascii="Times New Roman" w:hAnsi="Times New Roman"/>
                <w:szCs w:val="21"/>
              </w:rPr>
            </w:pPr>
            <w:r>
              <w:rPr>
                <w:rFonts w:ascii="Times New Roman" w:hAnsi="Times New Roman"/>
                <w:szCs w:val="21"/>
              </w:rPr>
              <w:t>□ 3、不在同一相关市场、也不存在上下游关系的参与集中的经营者，在与交易有关的每个市场所占的份额均小于25%。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1809" w:type="dxa"/>
            <w:vMerge w:val="continue"/>
            <w:shd w:val="clear" w:color="auto" w:fill="D9D9D9"/>
          </w:tcPr>
          <w:p>
            <w:pPr>
              <w:adjustRightInd w:val="0"/>
              <w:snapToGrid w:val="0"/>
              <w:spacing w:after="120"/>
              <w:jc w:val="left"/>
              <w:rPr>
                <w:rFonts w:ascii="Times New Roman" w:hAnsi="Times New Roman"/>
                <w:szCs w:val="21"/>
              </w:rPr>
            </w:pPr>
          </w:p>
        </w:tc>
        <w:tc>
          <w:tcPr>
            <w:tcW w:w="6949" w:type="dxa"/>
            <w:gridSpan w:val="2"/>
            <w:shd w:val="clear" w:color="auto" w:fill="auto"/>
          </w:tcPr>
          <w:p>
            <w:pPr>
              <w:adjustRightInd w:val="0"/>
              <w:snapToGrid w:val="0"/>
              <w:spacing w:after="120"/>
              <w:jc w:val="left"/>
              <w:rPr>
                <w:rFonts w:ascii="Times New Roman" w:hAnsi="Times New Roman"/>
                <w:szCs w:val="21"/>
              </w:rPr>
            </w:pPr>
            <w:r>
              <w:rPr>
                <w:rFonts w:ascii="Times New Roman" w:hAnsi="Times New Roman"/>
                <w:szCs w:val="21"/>
              </w:rPr>
              <w:t>□ 4、参与集中的经营者在中国境外设立合营企业，合营企业不在中国境内从事经济活动。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1809" w:type="dxa"/>
            <w:vMerge w:val="continue"/>
            <w:shd w:val="clear" w:color="auto" w:fill="D9D9D9"/>
          </w:tcPr>
          <w:p>
            <w:pPr>
              <w:adjustRightInd w:val="0"/>
              <w:snapToGrid w:val="0"/>
              <w:spacing w:after="120"/>
              <w:jc w:val="left"/>
              <w:rPr>
                <w:rFonts w:ascii="Times New Roman" w:hAnsi="Times New Roman"/>
                <w:szCs w:val="21"/>
              </w:rPr>
            </w:pPr>
          </w:p>
        </w:tc>
        <w:tc>
          <w:tcPr>
            <w:tcW w:w="6949" w:type="dxa"/>
            <w:gridSpan w:val="2"/>
            <w:shd w:val="clear" w:color="auto" w:fill="auto"/>
          </w:tcPr>
          <w:p>
            <w:pPr>
              <w:adjustRightInd w:val="0"/>
              <w:snapToGrid w:val="0"/>
              <w:spacing w:after="120"/>
              <w:jc w:val="left"/>
              <w:rPr>
                <w:rFonts w:ascii="Times New Roman" w:hAnsi="Times New Roman"/>
                <w:b/>
                <w:szCs w:val="21"/>
              </w:rPr>
            </w:pPr>
            <w:r>
              <w:rPr>
                <w:rFonts w:ascii="Times New Roman" w:hAnsi="Times New Roman"/>
                <w:szCs w:val="21"/>
              </w:rPr>
              <w:t>□ 5、参与集中的经营者收购境外企业股权或资产的，该境外企业不在中国境内从事经济活动。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809" w:type="dxa"/>
            <w:vMerge w:val="continue"/>
            <w:shd w:val="clear" w:color="auto" w:fill="D9D9D9"/>
          </w:tcPr>
          <w:p>
            <w:pPr>
              <w:adjustRightInd w:val="0"/>
              <w:snapToGrid w:val="0"/>
              <w:spacing w:after="120"/>
              <w:jc w:val="left"/>
              <w:rPr>
                <w:rFonts w:ascii="Times New Roman" w:hAnsi="Times New Roman"/>
                <w:szCs w:val="21"/>
              </w:rPr>
            </w:pPr>
          </w:p>
        </w:tc>
        <w:tc>
          <w:tcPr>
            <w:tcW w:w="6949" w:type="dxa"/>
            <w:gridSpan w:val="2"/>
            <w:shd w:val="clear" w:color="auto" w:fill="auto"/>
          </w:tcPr>
          <w:p>
            <w:pPr>
              <w:adjustRightInd w:val="0"/>
              <w:snapToGrid w:val="0"/>
              <w:spacing w:after="120"/>
              <w:jc w:val="left"/>
              <w:rPr>
                <w:rFonts w:ascii="Times New Roman" w:hAnsi="Times New Roman"/>
                <w:szCs w:val="21"/>
              </w:rPr>
            </w:pPr>
            <w:r>
              <w:rPr>
                <w:rFonts w:ascii="Times New Roman" w:hAnsi="Times New Roman"/>
                <w:szCs w:val="21"/>
              </w:rPr>
              <w:t>□ 6、由两个以上的经营者共同控制的合营企业，通过集中被其中一个或一个以上经营者控制。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shd w:val="clear" w:color="auto" w:fill="D9D9D9"/>
          </w:tcPr>
          <w:p>
            <w:pPr>
              <w:adjustRightInd w:val="0"/>
              <w:snapToGrid w:val="0"/>
              <w:spacing w:after="120"/>
              <w:jc w:val="left"/>
              <w:rPr>
                <w:rFonts w:ascii="Times New Roman" w:hAnsi="Times New Roman"/>
                <w:b/>
                <w:szCs w:val="21"/>
              </w:rPr>
            </w:pPr>
            <w:r>
              <w:rPr>
                <w:rFonts w:hint="eastAsia" w:ascii="Times New Roman" w:hAnsi="Times New Roman"/>
                <w:b/>
                <w:szCs w:val="21"/>
              </w:rPr>
              <w:t>备注</w:t>
            </w:r>
          </w:p>
        </w:tc>
        <w:tc>
          <w:tcPr>
            <w:tcW w:w="6949" w:type="dxa"/>
            <w:gridSpan w:val="2"/>
            <w:shd w:val="clear" w:color="auto" w:fill="auto"/>
          </w:tcPr>
          <w:p>
            <w:pPr>
              <w:pStyle w:val="35"/>
              <w:widowControl/>
              <w:snapToGrid w:val="0"/>
              <w:ind w:firstLine="0" w:firstLineChars="0"/>
              <w:jc w:val="left"/>
              <w:rPr>
                <w:szCs w:val="21"/>
              </w:rPr>
            </w:pPr>
            <w:r>
              <w:rPr>
                <w:szCs w:val="21"/>
              </w:rPr>
              <w:t>相关市场及市场份额</w:t>
            </w:r>
            <w:r>
              <w:rPr>
                <w:rFonts w:hint="eastAsia"/>
                <w:szCs w:val="21"/>
              </w:rPr>
              <w:t>：</w:t>
            </w:r>
          </w:p>
          <w:p>
            <w:pPr>
              <w:pStyle w:val="35"/>
              <w:widowControl/>
              <w:snapToGrid w:val="0"/>
              <w:ind w:firstLine="0" w:firstLineChars="0"/>
              <w:jc w:val="left"/>
              <w:rPr>
                <w:szCs w:val="21"/>
              </w:rPr>
            </w:pPr>
            <w:r>
              <w:rPr>
                <w:rFonts w:hint="eastAsia"/>
                <w:szCs w:val="21"/>
              </w:rPr>
              <w:t>中国</w:t>
            </w:r>
            <w:r>
              <w:rPr>
                <w:rFonts w:hint="eastAsia"/>
                <w:szCs w:val="21"/>
                <w:lang w:eastAsia="zh-CN"/>
              </w:rPr>
              <w:t>进口</w:t>
            </w:r>
            <w:r>
              <w:rPr>
                <w:rFonts w:hint="eastAsia"/>
                <w:szCs w:val="21"/>
              </w:rPr>
              <w:t>大豆贸易市场</w:t>
            </w:r>
          </w:p>
          <w:p>
            <w:pPr>
              <w:pStyle w:val="35"/>
              <w:widowControl/>
              <w:numPr>
                <w:ilvl w:val="0"/>
                <w:numId w:val="4"/>
              </w:numPr>
              <w:snapToGrid w:val="0"/>
              <w:ind w:firstLineChars="0"/>
              <w:jc w:val="left"/>
              <w:rPr>
                <w:szCs w:val="21"/>
              </w:rPr>
            </w:pPr>
            <w:r>
              <w:rPr>
                <w:rFonts w:hint="eastAsia"/>
                <w:szCs w:val="21"/>
              </w:rPr>
              <w:t>蔚特：</w:t>
            </w:r>
            <w:r>
              <w:rPr>
                <w:szCs w:val="21"/>
              </w:rPr>
              <w:t>[0-5]</w:t>
            </w:r>
            <w:r>
              <w:rPr>
                <w:rFonts w:hint="eastAsia"/>
                <w:szCs w:val="21"/>
              </w:rPr>
              <w:t>%</w:t>
            </w:r>
          </w:p>
          <w:p>
            <w:pPr>
              <w:pStyle w:val="35"/>
              <w:widowControl/>
              <w:numPr>
                <w:ilvl w:val="0"/>
                <w:numId w:val="4"/>
              </w:numPr>
              <w:snapToGrid w:val="0"/>
              <w:ind w:firstLineChars="0"/>
              <w:jc w:val="left"/>
              <w:rPr>
                <w:szCs w:val="21"/>
              </w:rPr>
            </w:pPr>
            <w:r>
              <w:rPr>
                <w:rFonts w:hint="eastAsia"/>
                <w:szCs w:val="21"/>
              </w:rPr>
              <w:t>高鸿：[</w:t>
            </w:r>
            <w:r>
              <w:rPr>
                <w:szCs w:val="21"/>
              </w:rPr>
              <w:t>5-10]</w:t>
            </w:r>
            <w:r>
              <w:rPr>
                <w:rFonts w:hint="eastAsia"/>
                <w:szCs w:val="21"/>
              </w:rPr>
              <w:t>%</w:t>
            </w:r>
            <w:bookmarkStart w:id="0" w:name="_GoBack"/>
            <w:bookmarkEnd w:id="0"/>
          </w:p>
          <w:p>
            <w:pPr>
              <w:pStyle w:val="35"/>
              <w:widowControl/>
              <w:numPr>
                <w:ilvl w:val="0"/>
                <w:numId w:val="4"/>
              </w:numPr>
              <w:snapToGrid w:val="0"/>
              <w:ind w:firstLineChars="0"/>
              <w:jc w:val="left"/>
              <w:rPr>
                <w:szCs w:val="21"/>
              </w:rPr>
            </w:pPr>
            <w:r>
              <w:rPr>
                <w:rFonts w:hint="eastAsia"/>
                <w:szCs w:val="21"/>
              </w:rPr>
              <w:t>合计：[</w:t>
            </w:r>
            <w:r>
              <w:rPr>
                <w:szCs w:val="21"/>
              </w:rPr>
              <w:t>5</w:t>
            </w:r>
            <w:r>
              <w:rPr>
                <w:rFonts w:hint="eastAsia"/>
                <w:szCs w:val="21"/>
              </w:rPr>
              <w:t>-</w:t>
            </w:r>
            <w:r>
              <w:rPr>
                <w:szCs w:val="21"/>
              </w:rPr>
              <w:t>10]</w:t>
            </w:r>
            <w:r>
              <w:rPr>
                <w:rFonts w:hint="eastAsia"/>
                <w:szCs w:val="21"/>
              </w:rPr>
              <w:t>%</w:t>
            </w:r>
          </w:p>
        </w:tc>
      </w:tr>
    </w:tbl>
    <w:p>
      <w:pPr>
        <w:jc w:val="left"/>
        <w:rPr>
          <w:rFonts w:ascii="Times New Roman" w:hAnsi="Times New Roman"/>
          <w:sz w:val="24"/>
          <w:szCs w:val="24"/>
        </w:rPr>
      </w:pPr>
    </w:p>
    <w:sectPr>
      <w:footerReference r:id="rId5" w:type="first"/>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libri Light">
    <w:altName w:val="DejaVu Sans"/>
    <w:panose1 w:val="020F0302020204030204"/>
    <w:charset w:val="00"/>
    <w:family w:val="swiss"/>
    <w:pitch w:val="default"/>
    <w:sig w:usb0="00000000" w:usb1="00000000" w:usb2="00000009" w:usb3="00000000" w:csb0="000001FF" w:csb1="00000000"/>
  </w:font>
  <w:font w:name="Tahoma">
    <w:altName w:val="Droid Sans"/>
    <w:panose1 w:val="020B0604030504040204"/>
    <w:charset w:val="00"/>
    <w:family w:val="swiss"/>
    <w:pitch w:val="default"/>
    <w:sig w:usb0="00000000" w:usb1="00000000" w:usb2="00000029" w:usb3="00000000" w:csb0="000101F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Droid Sans">
    <w:panose1 w:val="020B0606030804020204"/>
    <w:charset w:val="00"/>
    <w:family w:val="auto"/>
    <w:pitch w:val="default"/>
    <w:sig w:usb0="E00002EF" w:usb1="4000205B" w:usb2="00000028"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20" w:lineRule="exac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20" w:lineRule="exact"/>
    </w:pPr>
    <w:r>
      <mc:AlternateContent>
        <mc:Choice Requires="wps">
          <w:drawing>
            <wp:anchor distT="0" distB="0" distL="114300" distR="114300" simplePos="0" relativeHeight="251658240" behindDoc="1" locked="0" layoutInCell="1" allowOverlap="1">
              <wp:simplePos x="0" y="0"/>
              <wp:positionH relativeFrom="margin">
                <wp:posOffset>0</wp:posOffset>
              </wp:positionH>
              <wp:positionV relativeFrom="paragraph">
                <wp:posOffset>0</wp:posOffset>
              </wp:positionV>
              <wp:extent cx="2560320" cy="255905"/>
              <wp:effectExtent l="0" t="0" r="1905" b="1270"/>
              <wp:wrapNone/>
              <wp:docPr id="1" name="Text Box 1"/>
              <wp:cNvGraphicFramePr/>
              <a:graphic xmlns:a="http://schemas.openxmlformats.org/drawingml/2006/main">
                <a:graphicData uri="http://schemas.microsoft.com/office/word/2010/wordprocessingShape">
                  <wps:wsp>
                    <wps:cNvSpPr txBox="true">
                      <a:spLocks noChangeArrowheads="true"/>
                    </wps:cNvSpPr>
                    <wps:spPr bwMode="auto">
                      <a:xfrm>
                        <a:off x="0" y="0"/>
                        <a:ext cx="2560320" cy="255905"/>
                      </a:xfrm>
                      <a:prstGeom prst="rect">
                        <a:avLst/>
                      </a:prstGeom>
                      <a:noFill/>
                      <a:ln>
                        <a:noFill/>
                      </a:ln>
                    </wps:spPr>
                    <wps:txbx>
                      <w:txbxContent>
                        <w:p>
                          <w:pPr>
                            <w:pStyle w:val="21"/>
                          </w:pPr>
                          <w:r>
                            <w:fldChar w:fldCharType="begin"/>
                          </w:r>
                          <w:r>
                            <w:instrText xml:space="preserve"> DOCPROPERTY  docId </w:instrText>
                          </w:r>
                          <w:r>
                            <w:fldChar w:fldCharType="separate"/>
                          </w:r>
                          <w:r>
                            <w:t>BEI1084870</w:t>
                          </w:r>
                          <w:r>
                            <w:fldChar w:fldCharType="end"/>
                          </w:r>
                          <w:r>
                            <w:t>/</w:t>
                          </w:r>
                          <w:r>
                            <w:fldChar w:fldCharType="begin"/>
                          </w:r>
                          <w:r>
                            <w:instrText xml:space="preserve"> DOCPROPERTY  docVersion </w:instrText>
                          </w:r>
                          <w:r>
                            <w:fldChar w:fldCharType="separate"/>
                          </w:r>
                          <w:r>
                            <w:t>5</w:t>
                          </w:r>
                          <w:r>
                            <w:fldChar w:fldCharType="end"/>
                          </w:r>
                          <w:r>
                            <w:t xml:space="preserve">   </w:t>
                          </w:r>
                          <w:r>
                            <w:fldChar w:fldCharType="begin"/>
                          </w:r>
                          <w:r>
                            <w:instrText xml:space="preserve"> IF </w:instrText>
                          </w:r>
                          <w:r>
                            <w:fldChar w:fldCharType="begin"/>
                          </w:r>
                          <w:r>
                            <w:instrText xml:space="preserve"> DOCPROPERTY  docIncludeCliMat </w:instrText>
                          </w:r>
                          <w:r>
                            <w:fldChar w:fldCharType="separate"/>
                          </w:r>
                          <w:r>
                            <w:instrText xml:space="preserve">true</w:instrText>
                          </w:r>
                          <w:r>
                            <w:fldChar w:fldCharType="end"/>
                          </w:r>
                          <w:r>
                            <w:instrText xml:space="preserve"> = true </w:instrText>
                          </w:r>
                          <w:r>
                            <w:fldChar w:fldCharType="begin"/>
                          </w:r>
                          <w:r>
                            <w:instrText xml:space="preserve"> DOCPROPERTY  docCliMat </w:instrText>
                          </w:r>
                          <w:r>
                            <w:fldChar w:fldCharType="separate"/>
                          </w:r>
                          <w:r>
                            <w:instrText xml:space="preserve">168072-0001</w:instrText>
                          </w:r>
                          <w:r>
                            <w:fldChar w:fldCharType="end"/>
                          </w:r>
                          <w:r>
                            <w:instrText xml:space="preserve">  </w:instrText>
                          </w:r>
                          <w:r>
                            <w:fldChar w:fldCharType="separate"/>
                          </w:r>
                          <w:r>
                            <w:t>168072-0001</w:t>
                          </w:r>
                          <w:r>
                            <w:fldChar w:fldCharType="end"/>
                          </w:r>
                        </w:p>
                        <w:p>
                          <w:pPr>
                            <w:pStyle w:val="21"/>
                          </w:pPr>
                        </w:p>
                      </w:txbxContent>
                    </wps:txbx>
                    <wps:bodyPr rot="0" vert="horz" wrap="square" lIns="0" tIns="0" rIns="0" bIns="0" anchor="t" anchorCtr="false" upright="true">
                      <a:noAutofit/>
                    </wps:bodyPr>
                  </wps:wsp>
                </a:graphicData>
              </a:graphic>
            </wp:anchor>
          </w:drawing>
        </mc:Choice>
        <mc:Fallback>
          <w:pict>
            <v:shape id="Text Box 1" o:spid="_x0000_s1026" o:spt="202" type="#_x0000_t202" style="position:absolute;left:0pt;margin-left:0pt;margin-top:0pt;height:20.15pt;width:201.6pt;mso-position-horizontal-relative:margin;z-index:-251658240;mso-width-relative:page;mso-height-relative:page;" filled="f" stroked="f" coordsize="21600,21600" o:gfxdata="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FgAAAGRycy9QSwEC&#10;FAAUAAAACACHTuJAutT89dMAAAAEAQAADwAAAAAAAAABACAAAAA4AAAAZHJzL2Rvd25yZXYueG1s&#10;UEsBAhQAFAAAAAgAh07iQPdwHnfnAQAAwwMAAA4AAAAAAAAAAQAgAAAAOAEAAGRycy9lMm9Eb2Mu&#10;eG1sUEsFBgAAAAAGAAYAWQEAAJEFAAAAAA==&#10;">
              <v:fill on="f" focussize="0,0"/>
              <v:stroke on="f"/>
              <v:imagedata o:title=""/>
              <o:lock v:ext="edit" aspectratio="f"/>
              <v:textbox inset="0mm,0mm,0mm,0mm">
                <w:txbxContent>
                  <w:p>
                    <w:pPr>
                      <w:pStyle w:val="21"/>
                    </w:pPr>
                    <w:r>
                      <w:fldChar w:fldCharType="begin"/>
                    </w:r>
                    <w:r>
                      <w:instrText xml:space="preserve"> DOCPROPERTY  docId </w:instrText>
                    </w:r>
                    <w:r>
                      <w:fldChar w:fldCharType="separate"/>
                    </w:r>
                    <w:r>
                      <w:t>BEI1084870</w:t>
                    </w:r>
                    <w:r>
                      <w:fldChar w:fldCharType="end"/>
                    </w:r>
                    <w:r>
                      <w:t>/</w:t>
                    </w:r>
                    <w:r>
                      <w:fldChar w:fldCharType="begin"/>
                    </w:r>
                    <w:r>
                      <w:instrText xml:space="preserve"> DOCPROPERTY  docVersion </w:instrText>
                    </w:r>
                    <w:r>
                      <w:fldChar w:fldCharType="separate"/>
                    </w:r>
                    <w:r>
                      <w:t>5</w:t>
                    </w:r>
                    <w:r>
                      <w:fldChar w:fldCharType="end"/>
                    </w:r>
                    <w:r>
                      <w:t xml:space="preserve">   </w:t>
                    </w:r>
                    <w:r>
                      <w:fldChar w:fldCharType="begin"/>
                    </w:r>
                    <w:r>
                      <w:instrText xml:space="preserve"> IF </w:instrText>
                    </w:r>
                    <w:r>
                      <w:fldChar w:fldCharType="begin"/>
                    </w:r>
                    <w:r>
                      <w:instrText xml:space="preserve"> DOCPROPERTY  docIncludeCliMat </w:instrText>
                    </w:r>
                    <w:r>
                      <w:fldChar w:fldCharType="separate"/>
                    </w:r>
                    <w:r>
                      <w:instrText xml:space="preserve">true</w:instrText>
                    </w:r>
                    <w:r>
                      <w:fldChar w:fldCharType="end"/>
                    </w:r>
                    <w:r>
                      <w:instrText xml:space="preserve"> = true </w:instrText>
                    </w:r>
                    <w:r>
                      <w:fldChar w:fldCharType="begin"/>
                    </w:r>
                    <w:r>
                      <w:instrText xml:space="preserve"> DOCPROPERTY  docCliMat </w:instrText>
                    </w:r>
                    <w:r>
                      <w:fldChar w:fldCharType="separate"/>
                    </w:r>
                    <w:r>
                      <w:instrText xml:space="preserve">168072-0001</w:instrText>
                    </w:r>
                    <w:r>
                      <w:fldChar w:fldCharType="end"/>
                    </w:r>
                    <w:r>
                      <w:instrText xml:space="preserve">  </w:instrText>
                    </w:r>
                    <w:r>
                      <w:fldChar w:fldCharType="separate"/>
                    </w:r>
                    <w:r>
                      <w:t>168072-0001</w:t>
                    </w:r>
                    <w:r>
                      <w:fldChar w:fldCharType="end"/>
                    </w:r>
                  </w:p>
                  <w:p>
                    <w:pPr>
                      <w:pStyle w:val="21"/>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840"/>
      <w:rPr>
        <w:rFonts w:ascii="Times New Roman" w:hAnsi="Times New Roman"/>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450A18"/>
    <w:multiLevelType w:val="multilevel"/>
    <w:tmpl w:val="00450A1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5281BAC"/>
    <w:multiLevelType w:val="multilevel"/>
    <w:tmpl w:val="25281BAC"/>
    <w:lvl w:ilvl="0" w:tentative="0">
      <w:start w:val="1"/>
      <w:numFmt w:val="bullet"/>
      <w:lvlText w:val=""/>
      <w:lvlJc w:val="left"/>
      <w:pPr>
        <w:ind w:left="780" w:hanging="420"/>
      </w:pPr>
      <w:rPr>
        <w:rFonts w:hint="default" w:ascii="Wingdings" w:hAnsi="Wingdings"/>
      </w:rPr>
    </w:lvl>
    <w:lvl w:ilvl="1" w:tentative="0">
      <w:start w:val="1"/>
      <w:numFmt w:val="bullet"/>
      <w:lvlText w:val=""/>
      <w:lvlJc w:val="left"/>
      <w:pPr>
        <w:ind w:left="1200" w:hanging="420"/>
      </w:pPr>
      <w:rPr>
        <w:rFonts w:hint="default" w:ascii="Wingdings" w:hAnsi="Wingdings"/>
      </w:rPr>
    </w:lvl>
    <w:lvl w:ilvl="2" w:tentative="0">
      <w:start w:val="1"/>
      <w:numFmt w:val="bullet"/>
      <w:lvlText w:val=""/>
      <w:lvlJc w:val="left"/>
      <w:pPr>
        <w:ind w:left="1620" w:hanging="420"/>
      </w:pPr>
      <w:rPr>
        <w:rFonts w:hint="default" w:ascii="Wingdings" w:hAnsi="Wingdings"/>
      </w:rPr>
    </w:lvl>
    <w:lvl w:ilvl="3" w:tentative="0">
      <w:start w:val="1"/>
      <w:numFmt w:val="bullet"/>
      <w:lvlText w:val=""/>
      <w:lvlJc w:val="left"/>
      <w:pPr>
        <w:ind w:left="2040" w:hanging="420"/>
      </w:pPr>
      <w:rPr>
        <w:rFonts w:hint="default" w:ascii="Wingdings" w:hAnsi="Wingdings"/>
      </w:rPr>
    </w:lvl>
    <w:lvl w:ilvl="4" w:tentative="0">
      <w:start w:val="1"/>
      <w:numFmt w:val="bullet"/>
      <w:lvlText w:val=""/>
      <w:lvlJc w:val="left"/>
      <w:pPr>
        <w:ind w:left="2460" w:hanging="420"/>
      </w:pPr>
      <w:rPr>
        <w:rFonts w:hint="default" w:ascii="Wingdings" w:hAnsi="Wingdings"/>
      </w:rPr>
    </w:lvl>
    <w:lvl w:ilvl="5" w:tentative="0">
      <w:start w:val="1"/>
      <w:numFmt w:val="bullet"/>
      <w:lvlText w:val=""/>
      <w:lvlJc w:val="left"/>
      <w:pPr>
        <w:ind w:left="2880" w:hanging="420"/>
      </w:pPr>
      <w:rPr>
        <w:rFonts w:hint="default" w:ascii="Wingdings" w:hAnsi="Wingdings"/>
      </w:rPr>
    </w:lvl>
    <w:lvl w:ilvl="6" w:tentative="0">
      <w:start w:val="1"/>
      <w:numFmt w:val="bullet"/>
      <w:lvlText w:val=""/>
      <w:lvlJc w:val="left"/>
      <w:pPr>
        <w:ind w:left="3300" w:hanging="420"/>
      </w:pPr>
      <w:rPr>
        <w:rFonts w:hint="default" w:ascii="Wingdings" w:hAnsi="Wingdings"/>
      </w:rPr>
    </w:lvl>
    <w:lvl w:ilvl="7" w:tentative="0">
      <w:start w:val="1"/>
      <w:numFmt w:val="bullet"/>
      <w:lvlText w:val=""/>
      <w:lvlJc w:val="left"/>
      <w:pPr>
        <w:ind w:left="3720" w:hanging="420"/>
      </w:pPr>
      <w:rPr>
        <w:rFonts w:hint="default" w:ascii="Wingdings" w:hAnsi="Wingdings"/>
      </w:rPr>
    </w:lvl>
    <w:lvl w:ilvl="8" w:tentative="0">
      <w:start w:val="1"/>
      <w:numFmt w:val="bullet"/>
      <w:lvlText w:val=""/>
      <w:lvlJc w:val="left"/>
      <w:pPr>
        <w:ind w:left="4140" w:hanging="420"/>
      </w:pPr>
      <w:rPr>
        <w:rFonts w:hint="default" w:ascii="Wingdings" w:hAnsi="Wingdings"/>
      </w:rPr>
    </w:lvl>
  </w:abstractNum>
  <w:abstractNum w:abstractNumId="2">
    <w:nsid w:val="46852783"/>
    <w:multiLevelType w:val="multilevel"/>
    <w:tmpl w:val="46852783"/>
    <w:lvl w:ilvl="0" w:tentative="0">
      <w:start w:val="1"/>
      <w:numFmt w:val="decimal"/>
      <w:pStyle w:val="24"/>
      <w:lvlText w:val="(%1)"/>
      <w:lvlJc w:val="left"/>
      <w:pPr>
        <w:ind w:hanging="720"/>
      </w:pPr>
      <w:rPr>
        <w:color w:val="auto"/>
        <w:sz w:val="20"/>
      </w:rPr>
    </w:lvl>
    <w:lvl w:ilvl="1" w:tentative="0">
      <w:start w:val="1"/>
      <w:numFmt w:val="none"/>
      <w:lvlText w:val="%2."/>
      <w:lvlJc w:val="left"/>
      <w:pPr>
        <w:ind w:left="2160" w:hanging="360"/>
      </w:pPr>
    </w:lvl>
    <w:lvl w:ilvl="2" w:tentative="0">
      <w:start w:val="1"/>
      <w:numFmt w:val="none"/>
      <w:lvlText w:val="%3."/>
      <w:lvlJc w:val="right"/>
      <w:pPr>
        <w:ind w:left="2880" w:hanging="180"/>
      </w:pPr>
    </w:lvl>
    <w:lvl w:ilvl="3" w:tentative="0">
      <w:start w:val="1"/>
      <w:numFmt w:val="none"/>
      <w:lvlText w:val="%4."/>
      <w:lvlJc w:val="left"/>
      <w:pPr>
        <w:ind w:left="3600" w:hanging="360"/>
      </w:pPr>
    </w:lvl>
    <w:lvl w:ilvl="4" w:tentative="0">
      <w:start w:val="1"/>
      <w:numFmt w:val="lowerLetter"/>
      <w:lvlText w:val="%5."/>
      <w:lvlJc w:val="left"/>
      <w:pPr>
        <w:ind w:left="4320" w:hanging="360"/>
      </w:pPr>
    </w:lvl>
    <w:lvl w:ilvl="5" w:tentative="0">
      <w:start w:val="1"/>
      <w:numFmt w:val="lowerRoman"/>
      <w:lvlText w:val="%6."/>
      <w:lvlJc w:val="right"/>
      <w:pPr>
        <w:ind w:left="5040" w:hanging="180"/>
      </w:pPr>
    </w:lvl>
    <w:lvl w:ilvl="6" w:tentative="0">
      <w:start w:val="1"/>
      <w:numFmt w:val="decimal"/>
      <w:lvlText w:val="%7."/>
      <w:lvlJc w:val="left"/>
      <w:pPr>
        <w:ind w:left="5760" w:hanging="360"/>
      </w:pPr>
    </w:lvl>
    <w:lvl w:ilvl="7" w:tentative="0">
      <w:start w:val="1"/>
      <w:numFmt w:val="lowerLetter"/>
      <w:lvlText w:val="%8."/>
      <w:lvlJc w:val="left"/>
      <w:pPr>
        <w:ind w:left="6480" w:hanging="360"/>
      </w:pPr>
    </w:lvl>
    <w:lvl w:ilvl="8" w:tentative="0">
      <w:start w:val="1"/>
      <w:numFmt w:val="lowerRoman"/>
      <w:lvlText w:val="%9."/>
      <w:lvlJc w:val="right"/>
      <w:pPr>
        <w:ind w:left="7200" w:hanging="180"/>
      </w:pPr>
    </w:lvl>
  </w:abstractNum>
  <w:abstractNum w:abstractNumId="3">
    <w:nsid w:val="661803A2"/>
    <w:multiLevelType w:val="multilevel"/>
    <w:tmpl w:val="661803A2"/>
    <w:lvl w:ilvl="0" w:tentative="0">
      <w:start w:val="1"/>
      <w:numFmt w:val="decimal"/>
      <w:pStyle w:val="27"/>
      <w:lvlText w:val="%1."/>
      <w:lvlJc w:val="left"/>
      <w:pPr>
        <w:tabs>
          <w:tab w:val="left" w:pos="720"/>
        </w:tabs>
        <w:ind w:left="0" w:firstLine="0"/>
      </w:pPr>
      <w:rPr>
        <w:rFonts w:ascii="Times New Roman" w:hAnsi="Times New Roman" w:cs="Times New Roman"/>
        <w:b/>
        <w:i w:val="0"/>
        <w:caps w:val="0"/>
        <w:color w:val="auto"/>
        <w:u w:val="none"/>
      </w:rPr>
    </w:lvl>
    <w:lvl w:ilvl="1" w:tentative="0">
      <w:start w:val="1"/>
      <w:numFmt w:val="decimal"/>
      <w:pStyle w:val="28"/>
      <w:lvlText w:val="%1.%2"/>
      <w:lvlJc w:val="left"/>
      <w:pPr>
        <w:tabs>
          <w:tab w:val="left" w:pos="720"/>
        </w:tabs>
        <w:ind w:left="0" w:firstLine="0"/>
      </w:pPr>
      <w:rPr>
        <w:rFonts w:ascii="Times New Roman" w:hAnsi="Times New Roman" w:cs="Times New Roman"/>
        <w:b w:val="0"/>
        <w:i w:val="0"/>
        <w:caps w:val="0"/>
        <w:color w:val="auto"/>
        <w:u w:val="none"/>
      </w:rPr>
    </w:lvl>
    <w:lvl w:ilvl="2" w:tentative="0">
      <w:start w:val="1"/>
      <w:numFmt w:val="lowerLetter"/>
      <w:pStyle w:val="29"/>
      <w:lvlText w:val="(%3)"/>
      <w:lvlJc w:val="left"/>
      <w:pPr>
        <w:tabs>
          <w:tab w:val="left" w:pos="720"/>
        </w:tabs>
        <w:ind w:left="720" w:hanging="720"/>
      </w:pPr>
      <w:rPr>
        <w:rFonts w:ascii="Times New Roman" w:hAnsi="Times New Roman" w:cs="Times New Roman"/>
        <w:b w:val="0"/>
        <w:i w:val="0"/>
        <w:caps w:val="0"/>
        <w:color w:val="auto"/>
        <w:u w:val="none"/>
      </w:rPr>
    </w:lvl>
    <w:lvl w:ilvl="3" w:tentative="0">
      <w:start w:val="1"/>
      <w:numFmt w:val="lowerRoman"/>
      <w:pStyle w:val="30"/>
      <w:lvlText w:val="(%4)"/>
      <w:lvlJc w:val="right"/>
      <w:pPr>
        <w:tabs>
          <w:tab w:val="left" w:pos="1440"/>
        </w:tabs>
        <w:ind w:left="1440" w:hanging="216"/>
      </w:pPr>
      <w:rPr>
        <w:rFonts w:ascii="Times New Roman" w:hAnsi="Times New Roman" w:cs="Times New Roman"/>
        <w:b w:val="0"/>
        <w:i w:val="0"/>
        <w:caps w:val="0"/>
        <w:color w:val="auto"/>
        <w:u w:val="none"/>
      </w:rPr>
    </w:lvl>
    <w:lvl w:ilvl="4" w:tentative="0">
      <w:start w:val="1"/>
      <w:numFmt w:val="upperLetter"/>
      <w:pStyle w:val="31"/>
      <w:lvlText w:val="(%5)"/>
      <w:lvlJc w:val="left"/>
      <w:pPr>
        <w:tabs>
          <w:tab w:val="left" w:pos="2160"/>
        </w:tabs>
        <w:ind w:left="2160" w:hanging="720"/>
      </w:pPr>
      <w:rPr>
        <w:rFonts w:ascii="Times New Roman" w:hAnsi="Times New Roman" w:cs="Times New Roman"/>
        <w:b w:val="0"/>
        <w:i w:val="0"/>
        <w:caps w:val="0"/>
        <w:color w:val="auto"/>
        <w:u w:val="none"/>
      </w:rPr>
    </w:lvl>
    <w:lvl w:ilvl="5" w:tentative="0">
      <w:start w:val="1"/>
      <w:numFmt w:val="upperRoman"/>
      <w:pStyle w:val="32"/>
      <w:lvlText w:val="(%6)"/>
      <w:lvlJc w:val="right"/>
      <w:pPr>
        <w:tabs>
          <w:tab w:val="left" w:pos="2880"/>
        </w:tabs>
        <w:ind w:left="2880" w:hanging="216"/>
      </w:pPr>
      <w:rPr>
        <w:rFonts w:ascii="Times New Roman" w:hAnsi="Times New Roman" w:cs="Times New Roman"/>
        <w:b w:val="0"/>
        <w:i w:val="0"/>
        <w:caps w:val="0"/>
        <w:color w:val="auto"/>
        <w:u w:val="none"/>
      </w:rPr>
    </w:lvl>
    <w:lvl w:ilvl="6" w:tentative="0">
      <w:start w:val="27"/>
      <w:numFmt w:val="lowerLetter"/>
      <w:pStyle w:val="33"/>
      <w:lvlText w:val="(%7)"/>
      <w:lvlJc w:val="left"/>
      <w:pPr>
        <w:tabs>
          <w:tab w:val="left" w:pos="3600"/>
        </w:tabs>
        <w:ind w:left="3600" w:hanging="720"/>
      </w:pPr>
      <w:rPr>
        <w:rFonts w:ascii="Times New Roman" w:hAnsi="Times New Roman" w:cs="Times New Roman"/>
        <w:b w:val="0"/>
        <w:i w:val="0"/>
        <w:caps w:val="0"/>
        <w:color w:val="auto"/>
        <w:u w:val="none"/>
      </w:rPr>
    </w:lvl>
    <w:lvl w:ilvl="7" w:tentative="0">
      <w:start w:val="1"/>
      <w:numFmt w:val="decimal"/>
      <w:pStyle w:val="34"/>
      <w:lvlText w:val="(%8)"/>
      <w:lvlJc w:val="left"/>
      <w:pPr>
        <w:tabs>
          <w:tab w:val="left" w:pos="4320"/>
        </w:tabs>
        <w:ind w:left="4320" w:hanging="720"/>
      </w:pPr>
      <w:rPr>
        <w:rFonts w:ascii="Times New Roman" w:hAnsi="Times New Roman" w:cs="Times New Roman"/>
        <w:b w:val="0"/>
        <w:i w:val="0"/>
        <w:caps w:val="0"/>
        <w:color w:val="auto"/>
        <w:u w:val="none"/>
      </w:rPr>
    </w:lvl>
    <w:lvl w:ilvl="8" w:tentative="0">
      <w:start w:val="1"/>
      <w:numFmt w:val="lowerRoman"/>
      <w:lvlText w:val="%9)"/>
      <w:lvlJc w:val="left"/>
      <w:pPr>
        <w:tabs>
          <w:tab w:val="left" w:pos="5760"/>
        </w:tabs>
        <w:ind w:left="5760" w:hanging="720"/>
      </w:pPr>
      <w:rPr>
        <w:rFonts w:ascii="Times New Roman" w:hAnsi="Times New Roman" w:cs="Times New Roman"/>
        <w:b w:val="0"/>
        <w:i w:val="0"/>
        <w:caps w:val="0"/>
        <w:color w:val="auto"/>
        <w:u w:val="none"/>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true"/>
  <w:bordersDoNotSurroundFooter w:val="true"/>
  <w:hideSpellingErrors/>
  <w:hideGrammaticalErrors/>
  <w:doNotTrackFormatting/>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authClass" w:val="Fee Earner"/>
    <w:docVar w:name="authCorresp" w:val="Quan Zhou"/>
    <w:docVar w:name="authExtension" w:val="4546"/>
    <w:docVar w:name="authFax" w:val="86 10 6505 7783"/>
    <w:docVar w:name="authId" w:val="QUZHOU"/>
    <w:docVar w:name="authLocation" w:val="Beijing"/>
    <w:docVar w:name="authName" w:val="Zhou, Quan"/>
    <w:docVar w:name="authPhone" w:val="86 10 6535 4546"/>
    <w:docVar w:name="docClass" w:val="-NONE-"/>
    <w:docVar w:name="docClient" w:val="800000"/>
    <w:docVar w:name="docCliMat" w:val="800000-0001"/>
    <w:docVar w:name="docDesc" w:val="Attachment 2 - Public Notice Form for Simple Cases in Concentrations of Undertakings - ENG"/>
    <w:docVar w:name="docId" w:val="BEI933257"/>
    <w:docVar w:name="docIdVer" w:val="BEI933257/2"/>
    <w:docVar w:name="docLanguage" w:val="EN(UK)"/>
    <w:docVar w:name="docMatter" w:val="0001"/>
    <w:docVar w:name="docVersion" w:val="2"/>
    <w:docVar w:name="KEOutsideDoc" w:val="True"/>
    <w:docVar w:name="operClass" w:val="Fee Earner"/>
    <w:docVar w:name="operCorresp" w:val="Kexin Li"/>
    <w:docVar w:name="operEmail" w:val="Kexin.LI@freshfields.com"/>
    <w:docVar w:name="operExtension" w:val="4607"/>
    <w:docVar w:name="operFax" w:val="86 10 6505 7783"/>
    <w:docVar w:name="operId" w:val="KELI"/>
    <w:docVar w:name="operLocation" w:val="Beijing"/>
    <w:docVar w:name="operName" w:val="Li, Kexin"/>
    <w:docVar w:name="operPhone" w:val="86 10 6535 4607"/>
    <w:docVar w:name="zzmp10LastTrailerInserted" w:val="^`~#mp!@X_⌉# ┝┤5&gt;4œmK⌏Ë@⌕MßTpo.⌕m$⌝”¢⌉⌍q!‗⌖⌎éƛ0ij&amp;:Ó¹@?TÊ\ˏBs\]ØfývJ⌟ìtmì³Ïšţ‡⌝Å–Bƀ¼Ø`z$uÎ⌍¦Ý“ O8⌆‼ÈøðÁ(òòå^1Å⌇Ü¦Î\°I⌄E9H6@\º$¦Ŗ…)\Ö¦A è~nsá}ÆTƁ¾Ö97KBUZ⌈t4HL:9[QQ011"/>
    <w:docVar w:name="zzmp10LastTrailerInserted_2832" w:val="^`~#mp!@X_⌉# ┝┤5&gt;4œmK⌏Ë@⌕MßTpo.⌕m$⌝”¢⌉⌍q!‗⌖⌎éƛ0ij&amp;:Ó¹@?TÊ\ˏBs\]ØfývJ⌟ìtmì³Ïšţ‡⌝Å–Bƀ¼Ø`z$uÎ⌍¦Ý“ O8⌆‼ÈøðÁ(òòå^1Å⌇Ü¦Î\°I⌄E9H6@\º$¦Ŗ…)\Ö¦A è~nsá}ÆTƁ¾Ö97KBUZ⌈t4HL:9[QQ011"/>
    <w:docVar w:name="zzmp10mSEGsValidated" w:val="1"/>
    <w:docVar w:name="zzmpLegacyTrailerRemoved" w:val="True"/>
  </w:docVars>
  <w:rsids>
    <w:rsidRoot w:val="00094095"/>
    <w:rsid w:val="00014453"/>
    <w:rsid w:val="00015C83"/>
    <w:rsid w:val="000203F5"/>
    <w:rsid w:val="00025FD7"/>
    <w:rsid w:val="00026458"/>
    <w:rsid w:val="0003713C"/>
    <w:rsid w:val="000375B0"/>
    <w:rsid w:val="000422A3"/>
    <w:rsid w:val="00042C44"/>
    <w:rsid w:val="00047683"/>
    <w:rsid w:val="0005363A"/>
    <w:rsid w:val="00061388"/>
    <w:rsid w:val="000626CD"/>
    <w:rsid w:val="00070BDC"/>
    <w:rsid w:val="00076CCD"/>
    <w:rsid w:val="00076DBE"/>
    <w:rsid w:val="00084C13"/>
    <w:rsid w:val="00090077"/>
    <w:rsid w:val="00094095"/>
    <w:rsid w:val="000949ED"/>
    <w:rsid w:val="000965F2"/>
    <w:rsid w:val="000B37EF"/>
    <w:rsid w:val="000C1478"/>
    <w:rsid w:val="000C3FBF"/>
    <w:rsid w:val="000C5215"/>
    <w:rsid w:val="000C71EE"/>
    <w:rsid w:val="000E3008"/>
    <w:rsid w:val="000E48FA"/>
    <w:rsid w:val="000F198D"/>
    <w:rsid w:val="0010163C"/>
    <w:rsid w:val="001031F1"/>
    <w:rsid w:val="001050F0"/>
    <w:rsid w:val="001073D1"/>
    <w:rsid w:val="00112F35"/>
    <w:rsid w:val="001241A0"/>
    <w:rsid w:val="0012748B"/>
    <w:rsid w:val="0013208A"/>
    <w:rsid w:val="001338B8"/>
    <w:rsid w:val="00137CFF"/>
    <w:rsid w:val="00140D5D"/>
    <w:rsid w:val="00142EEE"/>
    <w:rsid w:val="00146B96"/>
    <w:rsid w:val="00150500"/>
    <w:rsid w:val="0016300B"/>
    <w:rsid w:val="00172D7E"/>
    <w:rsid w:val="001743B1"/>
    <w:rsid w:val="001800B5"/>
    <w:rsid w:val="00183380"/>
    <w:rsid w:val="00184115"/>
    <w:rsid w:val="00191D2A"/>
    <w:rsid w:val="0019686F"/>
    <w:rsid w:val="001B1900"/>
    <w:rsid w:val="001B1FC0"/>
    <w:rsid w:val="001C062B"/>
    <w:rsid w:val="001C5B46"/>
    <w:rsid w:val="001E33DE"/>
    <w:rsid w:val="001F0B61"/>
    <w:rsid w:val="002017D5"/>
    <w:rsid w:val="00202C4C"/>
    <w:rsid w:val="0020418C"/>
    <w:rsid w:val="00205E2F"/>
    <w:rsid w:val="00211BB6"/>
    <w:rsid w:val="00211CA0"/>
    <w:rsid w:val="00220F8E"/>
    <w:rsid w:val="0023513A"/>
    <w:rsid w:val="00240053"/>
    <w:rsid w:val="00242D57"/>
    <w:rsid w:val="00260CE8"/>
    <w:rsid w:val="002610ED"/>
    <w:rsid w:val="00272EF5"/>
    <w:rsid w:val="0028506C"/>
    <w:rsid w:val="00285C21"/>
    <w:rsid w:val="002873C9"/>
    <w:rsid w:val="002930D1"/>
    <w:rsid w:val="002A1FA3"/>
    <w:rsid w:val="002A2AE3"/>
    <w:rsid w:val="002A597A"/>
    <w:rsid w:val="002C6FFE"/>
    <w:rsid w:val="002E4C07"/>
    <w:rsid w:val="002F0260"/>
    <w:rsid w:val="002F0783"/>
    <w:rsid w:val="002F4169"/>
    <w:rsid w:val="00303349"/>
    <w:rsid w:val="00306ED0"/>
    <w:rsid w:val="00325802"/>
    <w:rsid w:val="00327E7D"/>
    <w:rsid w:val="0033370E"/>
    <w:rsid w:val="00347182"/>
    <w:rsid w:val="00347D18"/>
    <w:rsid w:val="00363DFE"/>
    <w:rsid w:val="0036760D"/>
    <w:rsid w:val="003722A9"/>
    <w:rsid w:val="003731FA"/>
    <w:rsid w:val="00375CF7"/>
    <w:rsid w:val="003801AB"/>
    <w:rsid w:val="00380694"/>
    <w:rsid w:val="00381473"/>
    <w:rsid w:val="003943E0"/>
    <w:rsid w:val="003B3DA2"/>
    <w:rsid w:val="003C4E66"/>
    <w:rsid w:val="003C595E"/>
    <w:rsid w:val="003D3507"/>
    <w:rsid w:val="003D5A30"/>
    <w:rsid w:val="003D6FB5"/>
    <w:rsid w:val="003E153C"/>
    <w:rsid w:val="003E30DF"/>
    <w:rsid w:val="003E47FF"/>
    <w:rsid w:val="003F1EBF"/>
    <w:rsid w:val="003F1FF9"/>
    <w:rsid w:val="003F3C60"/>
    <w:rsid w:val="003F44EE"/>
    <w:rsid w:val="00400110"/>
    <w:rsid w:val="00403BBA"/>
    <w:rsid w:val="004057F2"/>
    <w:rsid w:val="0040682C"/>
    <w:rsid w:val="0040698D"/>
    <w:rsid w:val="00412A56"/>
    <w:rsid w:val="00416FDF"/>
    <w:rsid w:val="00417057"/>
    <w:rsid w:val="00425433"/>
    <w:rsid w:val="00426BAE"/>
    <w:rsid w:val="0043715C"/>
    <w:rsid w:val="00437297"/>
    <w:rsid w:val="004440B9"/>
    <w:rsid w:val="00450084"/>
    <w:rsid w:val="00450964"/>
    <w:rsid w:val="00456391"/>
    <w:rsid w:val="0046114E"/>
    <w:rsid w:val="00462174"/>
    <w:rsid w:val="004836CF"/>
    <w:rsid w:val="004840F8"/>
    <w:rsid w:val="00487DB9"/>
    <w:rsid w:val="0049205B"/>
    <w:rsid w:val="0049589B"/>
    <w:rsid w:val="004A268B"/>
    <w:rsid w:val="004A4ADD"/>
    <w:rsid w:val="004A7507"/>
    <w:rsid w:val="004B1338"/>
    <w:rsid w:val="004B4594"/>
    <w:rsid w:val="004C48BB"/>
    <w:rsid w:val="004F0065"/>
    <w:rsid w:val="004F6179"/>
    <w:rsid w:val="00500496"/>
    <w:rsid w:val="00500694"/>
    <w:rsid w:val="00510064"/>
    <w:rsid w:val="00510FD0"/>
    <w:rsid w:val="0051481B"/>
    <w:rsid w:val="00514B71"/>
    <w:rsid w:val="005302A2"/>
    <w:rsid w:val="0053096C"/>
    <w:rsid w:val="00533ECE"/>
    <w:rsid w:val="00536032"/>
    <w:rsid w:val="00541741"/>
    <w:rsid w:val="005432B8"/>
    <w:rsid w:val="00545339"/>
    <w:rsid w:val="00546452"/>
    <w:rsid w:val="0054693E"/>
    <w:rsid w:val="005545CC"/>
    <w:rsid w:val="00555F32"/>
    <w:rsid w:val="00565CD2"/>
    <w:rsid w:val="005671E0"/>
    <w:rsid w:val="00570149"/>
    <w:rsid w:val="0057311D"/>
    <w:rsid w:val="00573212"/>
    <w:rsid w:val="00577457"/>
    <w:rsid w:val="0058041D"/>
    <w:rsid w:val="00585876"/>
    <w:rsid w:val="0058784E"/>
    <w:rsid w:val="0059308C"/>
    <w:rsid w:val="005A15EE"/>
    <w:rsid w:val="005A62D3"/>
    <w:rsid w:val="005B3BC7"/>
    <w:rsid w:val="005C7229"/>
    <w:rsid w:val="005D5123"/>
    <w:rsid w:val="005D7069"/>
    <w:rsid w:val="005E3BAB"/>
    <w:rsid w:val="005E715A"/>
    <w:rsid w:val="005F0540"/>
    <w:rsid w:val="005F0BFD"/>
    <w:rsid w:val="005F1AB5"/>
    <w:rsid w:val="005F588E"/>
    <w:rsid w:val="006015DB"/>
    <w:rsid w:val="00601672"/>
    <w:rsid w:val="0060370D"/>
    <w:rsid w:val="00603FD7"/>
    <w:rsid w:val="00604B38"/>
    <w:rsid w:val="00613BC4"/>
    <w:rsid w:val="00615B44"/>
    <w:rsid w:val="00631656"/>
    <w:rsid w:val="006341B0"/>
    <w:rsid w:val="0064207A"/>
    <w:rsid w:val="00661A5F"/>
    <w:rsid w:val="006651C8"/>
    <w:rsid w:val="00665C3B"/>
    <w:rsid w:val="00671A18"/>
    <w:rsid w:val="006866E1"/>
    <w:rsid w:val="006A0707"/>
    <w:rsid w:val="006A32BF"/>
    <w:rsid w:val="006A3A30"/>
    <w:rsid w:val="006A6F82"/>
    <w:rsid w:val="006A7AE5"/>
    <w:rsid w:val="006B55C8"/>
    <w:rsid w:val="006B7DC1"/>
    <w:rsid w:val="006C70AE"/>
    <w:rsid w:val="006D55DE"/>
    <w:rsid w:val="006D6EFC"/>
    <w:rsid w:val="006D6F75"/>
    <w:rsid w:val="006E08C4"/>
    <w:rsid w:val="006F19DD"/>
    <w:rsid w:val="007030BC"/>
    <w:rsid w:val="00705339"/>
    <w:rsid w:val="007155EC"/>
    <w:rsid w:val="007242B6"/>
    <w:rsid w:val="00726AFC"/>
    <w:rsid w:val="007312B9"/>
    <w:rsid w:val="00731B09"/>
    <w:rsid w:val="0073476C"/>
    <w:rsid w:val="00740BB3"/>
    <w:rsid w:val="007463D9"/>
    <w:rsid w:val="00751668"/>
    <w:rsid w:val="0076757F"/>
    <w:rsid w:val="00770467"/>
    <w:rsid w:val="00785AF2"/>
    <w:rsid w:val="00786C11"/>
    <w:rsid w:val="00787114"/>
    <w:rsid w:val="00787C22"/>
    <w:rsid w:val="00787D1C"/>
    <w:rsid w:val="007954CF"/>
    <w:rsid w:val="007B0347"/>
    <w:rsid w:val="007B2F71"/>
    <w:rsid w:val="007B4DFD"/>
    <w:rsid w:val="007C54D4"/>
    <w:rsid w:val="007D569F"/>
    <w:rsid w:val="007F377D"/>
    <w:rsid w:val="0080038C"/>
    <w:rsid w:val="00802224"/>
    <w:rsid w:val="00804314"/>
    <w:rsid w:val="00806647"/>
    <w:rsid w:val="0080791E"/>
    <w:rsid w:val="008105C5"/>
    <w:rsid w:val="008204A9"/>
    <w:rsid w:val="00822FA5"/>
    <w:rsid w:val="00823082"/>
    <w:rsid w:val="00824B17"/>
    <w:rsid w:val="0082712D"/>
    <w:rsid w:val="0083163B"/>
    <w:rsid w:val="008324A1"/>
    <w:rsid w:val="008404D8"/>
    <w:rsid w:val="0084086E"/>
    <w:rsid w:val="008429E0"/>
    <w:rsid w:val="00847B7C"/>
    <w:rsid w:val="0085025C"/>
    <w:rsid w:val="00851AC3"/>
    <w:rsid w:val="008550A4"/>
    <w:rsid w:val="00863098"/>
    <w:rsid w:val="0087474B"/>
    <w:rsid w:val="00882D06"/>
    <w:rsid w:val="008856BE"/>
    <w:rsid w:val="008857F4"/>
    <w:rsid w:val="00886BF8"/>
    <w:rsid w:val="008875DC"/>
    <w:rsid w:val="008A414F"/>
    <w:rsid w:val="008A4D82"/>
    <w:rsid w:val="008B34FA"/>
    <w:rsid w:val="008B584C"/>
    <w:rsid w:val="008C2E34"/>
    <w:rsid w:val="008C569C"/>
    <w:rsid w:val="008C702E"/>
    <w:rsid w:val="008D0758"/>
    <w:rsid w:val="008D34AE"/>
    <w:rsid w:val="008E7B8C"/>
    <w:rsid w:val="008F16FE"/>
    <w:rsid w:val="008F1FAC"/>
    <w:rsid w:val="009019C2"/>
    <w:rsid w:val="0090289E"/>
    <w:rsid w:val="0090631B"/>
    <w:rsid w:val="00924663"/>
    <w:rsid w:val="00926020"/>
    <w:rsid w:val="00927F7C"/>
    <w:rsid w:val="009327EE"/>
    <w:rsid w:val="00934AC6"/>
    <w:rsid w:val="00937574"/>
    <w:rsid w:val="00941072"/>
    <w:rsid w:val="00945EFB"/>
    <w:rsid w:val="00951672"/>
    <w:rsid w:val="00960308"/>
    <w:rsid w:val="00961DBF"/>
    <w:rsid w:val="009676CF"/>
    <w:rsid w:val="00974176"/>
    <w:rsid w:val="00974C0F"/>
    <w:rsid w:val="00975BE0"/>
    <w:rsid w:val="00977773"/>
    <w:rsid w:val="00977A52"/>
    <w:rsid w:val="00980013"/>
    <w:rsid w:val="00980643"/>
    <w:rsid w:val="009876EC"/>
    <w:rsid w:val="00990ADB"/>
    <w:rsid w:val="00991915"/>
    <w:rsid w:val="00991EFA"/>
    <w:rsid w:val="009A0F42"/>
    <w:rsid w:val="009A1438"/>
    <w:rsid w:val="009A38FC"/>
    <w:rsid w:val="009B005C"/>
    <w:rsid w:val="009B48CA"/>
    <w:rsid w:val="009B6A33"/>
    <w:rsid w:val="009D09CD"/>
    <w:rsid w:val="009D2279"/>
    <w:rsid w:val="009D3997"/>
    <w:rsid w:val="009E39E2"/>
    <w:rsid w:val="009E505E"/>
    <w:rsid w:val="009F3240"/>
    <w:rsid w:val="00A00F06"/>
    <w:rsid w:val="00A0242D"/>
    <w:rsid w:val="00A06C4D"/>
    <w:rsid w:val="00A10CC8"/>
    <w:rsid w:val="00A20E75"/>
    <w:rsid w:val="00A31E0A"/>
    <w:rsid w:val="00A639D5"/>
    <w:rsid w:val="00A67CAB"/>
    <w:rsid w:val="00A774C9"/>
    <w:rsid w:val="00A80F21"/>
    <w:rsid w:val="00A87F30"/>
    <w:rsid w:val="00A912CE"/>
    <w:rsid w:val="00AA2F52"/>
    <w:rsid w:val="00AB0B88"/>
    <w:rsid w:val="00AB29C1"/>
    <w:rsid w:val="00AB2D2F"/>
    <w:rsid w:val="00AB749D"/>
    <w:rsid w:val="00AC4866"/>
    <w:rsid w:val="00AC7A2D"/>
    <w:rsid w:val="00AD054E"/>
    <w:rsid w:val="00AD0BF0"/>
    <w:rsid w:val="00AD366F"/>
    <w:rsid w:val="00AD3D1C"/>
    <w:rsid w:val="00AE00E9"/>
    <w:rsid w:val="00AE39B6"/>
    <w:rsid w:val="00AE6017"/>
    <w:rsid w:val="00AE643B"/>
    <w:rsid w:val="00AE674F"/>
    <w:rsid w:val="00AE7CB3"/>
    <w:rsid w:val="00AF1070"/>
    <w:rsid w:val="00AF1D3B"/>
    <w:rsid w:val="00AF2BE7"/>
    <w:rsid w:val="00AF37B7"/>
    <w:rsid w:val="00B022E9"/>
    <w:rsid w:val="00B0338D"/>
    <w:rsid w:val="00B06562"/>
    <w:rsid w:val="00B14A80"/>
    <w:rsid w:val="00B2551E"/>
    <w:rsid w:val="00B32184"/>
    <w:rsid w:val="00B3343E"/>
    <w:rsid w:val="00B33441"/>
    <w:rsid w:val="00B41684"/>
    <w:rsid w:val="00B426FA"/>
    <w:rsid w:val="00B44A7A"/>
    <w:rsid w:val="00B609C8"/>
    <w:rsid w:val="00B61194"/>
    <w:rsid w:val="00B6232E"/>
    <w:rsid w:val="00B719A6"/>
    <w:rsid w:val="00B73AD1"/>
    <w:rsid w:val="00B73B00"/>
    <w:rsid w:val="00B81619"/>
    <w:rsid w:val="00B82B21"/>
    <w:rsid w:val="00B84C2C"/>
    <w:rsid w:val="00B853C3"/>
    <w:rsid w:val="00B86A8B"/>
    <w:rsid w:val="00B91EDD"/>
    <w:rsid w:val="00BA1596"/>
    <w:rsid w:val="00BA1811"/>
    <w:rsid w:val="00BA18CC"/>
    <w:rsid w:val="00BA1ED9"/>
    <w:rsid w:val="00BA4EBD"/>
    <w:rsid w:val="00BA54DB"/>
    <w:rsid w:val="00BA74F0"/>
    <w:rsid w:val="00BB127C"/>
    <w:rsid w:val="00BB18C0"/>
    <w:rsid w:val="00BB747D"/>
    <w:rsid w:val="00BC51F8"/>
    <w:rsid w:val="00BC6627"/>
    <w:rsid w:val="00BC69B3"/>
    <w:rsid w:val="00BE1275"/>
    <w:rsid w:val="00BE163D"/>
    <w:rsid w:val="00BE6CE9"/>
    <w:rsid w:val="00BF5016"/>
    <w:rsid w:val="00BF514E"/>
    <w:rsid w:val="00BF5213"/>
    <w:rsid w:val="00BF57A0"/>
    <w:rsid w:val="00BF7486"/>
    <w:rsid w:val="00C03A0C"/>
    <w:rsid w:val="00C04950"/>
    <w:rsid w:val="00C053D3"/>
    <w:rsid w:val="00C06376"/>
    <w:rsid w:val="00C06FBB"/>
    <w:rsid w:val="00C10D6B"/>
    <w:rsid w:val="00C22133"/>
    <w:rsid w:val="00C23867"/>
    <w:rsid w:val="00C242D7"/>
    <w:rsid w:val="00C33435"/>
    <w:rsid w:val="00C34EE1"/>
    <w:rsid w:val="00C37748"/>
    <w:rsid w:val="00C438B7"/>
    <w:rsid w:val="00C53CEE"/>
    <w:rsid w:val="00C552EA"/>
    <w:rsid w:val="00C56E8F"/>
    <w:rsid w:val="00C60178"/>
    <w:rsid w:val="00C608A0"/>
    <w:rsid w:val="00C61413"/>
    <w:rsid w:val="00C738D0"/>
    <w:rsid w:val="00C76D5F"/>
    <w:rsid w:val="00C77F2C"/>
    <w:rsid w:val="00C80A71"/>
    <w:rsid w:val="00C81BB1"/>
    <w:rsid w:val="00C83802"/>
    <w:rsid w:val="00C84A74"/>
    <w:rsid w:val="00C87D17"/>
    <w:rsid w:val="00C97FA6"/>
    <w:rsid w:val="00CA3232"/>
    <w:rsid w:val="00CA44FE"/>
    <w:rsid w:val="00CC0669"/>
    <w:rsid w:val="00CC13A5"/>
    <w:rsid w:val="00CD1484"/>
    <w:rsid w:val="00CD35CF"/>
    <w:rsid w:val="00CF22DA"/>
    <w:rsid w:val="00CF2B04"/>
    <w:rsid w:val="00CF4E3D"/>
    <w:rsid w:val="00D00A9E"/>
    <w:rsid w:val="00D24C2E"/>
    <w:rsid w:val="00D36670"/>
    <w:rsid w:val="00D41044"/>
    <w:rsid w:val="00D4428B"/>
    <w:rsid w:val="00D54635"/>
    <w:rsid w:val="00D6021E"/>
    <w:rsid w:val="00D61DDD"/>
    <w:rsid w:val="00D63186"/>
    <w:rsid w:val="00D64F0A"/>
    <w:rsid w:val="00D719DA"/>
    <w:rsid w:val="00D77D59"/>
    <w:rsid w:val="00D810C2"/>
    <w:rsid w:val="00D81679"/>
    <w:rsid w:val="00D8430E"/>
    <w:rsid w:val="00D90741"/>
    <w:rsid w:val="00D933B6"/>
    <w:rsid w:val="00DA1B50"/>
    <w:rsid w:val="00DA4922"/>
    <w:rsid w:val="00DA5E6A"/>
    <w:rsid w:val="00DB0E43"/>
    <w:rsid w:val="00DB40F0"/>
    <w:rsid w:val="00DB7528"/>
    <w:rsid w:val="00DC40E5"/>
    <w:rsid w:val="00DC568E"/>
    <w:rsid w:val="00DD52FE"/>
    <w:rsid w:val="00DD59C0"/>
    <w:rsid w:val="00DD7D65"/>
    <w:rsid w:val="00DE68B9"/>
    <w:rsid w:val="00DE776C"/>
    <w:rsid w:val="00DF1860"/>
    <w:rsid w:val="00DF2C87"/>
    <w:rsid w:val="00DF4C9A"/>
    <w:rsid w:val="00DF68F0"/>
    <w:rsid w:val="00E00456"/>
    <w:rsid w:val="00E00666"/>
    <w:rsid w:val="00E031C6"/>
    <w:rsid w:val="00E05350"/>
    <w:rsid w:val="00E104AA"/>
    <w:rsid w:val="00E26210"/>
    <w:rsid w:val="00E31FDD"/>
    <w:rsid w:val="00E32848"/>
    <w:rsid w:val="00E3639B"/>
    <w:rsid w:val="00E3658E"/>
    <w:rsid w:val="00E37F56"/>
    <w:rsid w:val="00E41E3D"/>
    <w:rsid w:val="00E46701"/>
    <w:rsid w:val="00E514E9"/>
    <w:rsid w:val="00E63B34"/>
    <w:rsid w:val="00E65E47"/>
    <w:rsid w:val="00E66E51"/>
    <w:rsid w:val="00E71C30"/>
    <w:rsid w:val="00E7591F"/>
    <w:rsid w:val="00E8098C"/>
    <w:rsid w:val="00E80D53"/>
    <w:rsid w:val="00E901D8"/>
    <w:rsid w:val="00E931D2"/>
    <w:rsid w:val="00EA45B5"/>
    <w:rsid w:val="00EA59D7"/>
    <w:rsid w:val="00EB1320"/>
    <w:rsid w:val="00EB566C"/>
    <w:rsid w:val="00EC4072"/>
    <w:rsid w:val="00EC478E"/>
    <w:rsid w:val="00EC6878"/>
    <w:rsid w:val="00ED1361"/>
    <w:rsid w:val="00ED1B71"/>
    <w:rsid w:val="00ED7755"/>
    <w:rsid w:val="00EE601C"/>
    <w:rsid w:val="00EF032C"/>
    <w:rsid w:val="00F002CC"/>
    <w:rsid w:val="00F058AB"/>
    <w:rsid w:val="00F0648E"/>
    <w:rsid w:val="00F27D17"/>
    <w:rsid w:val="00F30B82"/>
    <w:rsid w:val="00F359ED"/>
    <w:rsid w:val="00F37758"/>
    <w:rsid w:val="00F43980"/>
    <w:rsid w:val="00F4418F"/>
    <w:rsid w:val="00F47401"/>
    <w:rsid w:val="00F47530"/>
    <w:rsid w:val="00F5424E"/>
    <w:rsid w:val="00F6008E"/>
    <w:rsid w:val="00F63AE9"/>
    <w:rsid w:val="00F64ED5"/>
    <w:rsid w:val="00F66C85"/>
    <w:rsid w:val="00F7296F"/>
    <w:rsid w:val="00F750FB"/>
    <w:rsid w:val="00F768B7"/>
    <w:rsid w:val="00F81571"/>
    <w:rsid w:val="00F86728"/>
    <w:rsid w:val="00F87C1F"/>
    <w:rsid w:val="00F920C7"/>
    <w:rsid w:val="00F930E4"/>
    <w:rsid w:val="00FB17F7"/>
    <w:rsid w:val="00FB2154"/>
    <w:rsid w:val="00FB4C2B"/>
    <w:rsid w:val="00FB7430"/>
    <w:rsid w:val="00FB7F1B"/>
    <w:rsid w:val="00FC0261"/>
    <w:rsid w:val="00FD2510"/>
    <w:rsid w:val="00FD60B8"/>
    <w:rsid w:val="00FE0C90"/>
    <w:rsid w:val="00FE1172"/>
    <w:rsid w:val="00FE1D3A"/>
    <w:rsid w:val="00FE5493"/>
    <w:rsid w:val="00FE765F"/>
    <w:rsid w:val="FAE7B4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qFormat="1" w:unhideWhenUsed="0" w:uiPriority="0" w:semiHidden="0" w:name="footnote reference"/>
    <w:lsdException w:qFormat="1" w:unhideWhenUsed="0" w:uiPriority="0" w:semiHidden="0" w:name="annotation reference"/>
    <w:lsdException w:uiPriority="0" w:name="line number"/>
    <w:lsdException w:uiPriority="0" w:name="page number"/>
    <w:lsdException w:qFormat="1" w:unhideWhenUsed="0" w:uiPriority="0" w:name="endnote reference"/>
    <w:lsdException w:qFormat="1" w:unhideWhenUsed="0"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ocked="1"/>
    <w:lsdException w:qFormat="1" w:unhideWhenUsed="0" w:uiPriority="0" w:semiHidden="0" w:name="Emphasis" w:locked="1"/>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36"/>
    <w:qFormat/>
    <w:locked/>
    <w:uiPriority w:val="0"/>
    <w:pPr>
      <w:keepNext/>
      <w:spacing w:before="240" w:after="60"/>
      <w:outlineLvl w:val="0"/>
    </w:pPr>
    <w:rPr>
      <w:rFonts w:ascii="Calibri Light" w:hAnsi="Calibri Light" w:eastAsia="Times New Roman"/>
      <w:b/>
      <w:bCs/>
      <w:kern w:val="32"/>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5"/>
    <w:qFormat/>
    <w:uiPriority w:val="0"/>
    <w:pPr>
      <w:jc w:val="left"/>
    </w:pPr>
  </w:style>
  <w:style w:type="paragraph" w:styleId="4">
    <w:name w:val="endnote text"/>
    <w:basedOn w:val="1"/>
    <w:link w:val="18"/>
    <w:semiHidden/>
    <w:qFormat/>
    <w:uiPriority w:val="0"/>
    <w:pPr>
      <w:snapToGrid w:val="0"/>
      <w:jc w:val="left"/>
    </w:pPr>
  </w:style>
  <w:style w:type="paragraph" w:styleId="5">
    <w:name w:val="Balloon Text"/>
    <w:basedOn w:val="1"/>
    <w:link w:val="22"/>
    <w:qFormat/>
    <w:uiPriority w:val="0"/>
    <w:rPr>
      <w:rFonts w:ascii="Tahoma" w:hAnsi="Tahoma" w:cs="Tahoma"/>
      <w:sz w:val="16"/>
      <w:szCs w:val="16"/>
    </w:rPr>
  </w:style>
  <w:style w:type="paragraph" w:styleId="6">
    <w:name w:val="footer"/>
    <w:basedOn w:val="1"/>
    <w:link w:val="20"/>
    <w:qFormat/>
    <w:uiPriority w:val="0"/>
    <w:pPr>
      <w:tabs>
        <w:tab w:val="center" w:pos="4680"/>
        <w:tab w:val="right" w:pos="9360"/>
      </w:tabs>
    </w:pPr>
  </w:style>
  <w:style w:type="paragraph" w:styleId="7">
    <w:name w:val="header"/>
    <w:basedOn w:val="1"/>
    <w:link w:val="19"/>
    <w:qFormat/>
    <w:uiPriority w:val="99"/>
    <w:pPr>
      <w:tabs>
        <w:tab w:val="center" w:pos="4680"/>
        <w:tab w:val="right" w:pos="9360"/>
      </w:tabs>
    </w:pPr>
  </w:style>
  <w:style w:type="paragraph" w:styleId="8">
    <w:name w:val="footnote text"/>
    <w:basedOn w:val="1"/>
    <w:link w:val="23"/>
    <w:qFormat/>
    <w:uiPriority w:val="0"/>
    <w:rPr>
      <w:sz w:val="20"/>
      <w:szCs w:val="20"/>
    </w:rPr>
  </w:style>
  <w:style w:type="paragraph" w:styleId="9">
    <w:name w:val="annotation subject"/>
    <w:basedOn w:val="3"/>
    <w:next w:val="3"/>
    <w:link w:val="26"/>
    <w:qFormat/>
    <w:uiPriority w:val="0"/>
    <w:rPr>
      <w:b/>
      <w:bCs/>
    </w:rPr>
  </w:style>
  <w:style w:type="table" w:styleId="11">
    <w:name w:val="Table Grid"/>
    <w:basedOn w:val="1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endnote reference"/>
    <w:semiHidden/>
    <w:qFormat/>
    <w:uiPriority w:val="0"/>
    <w:rPr>
      <w:rFonts w:cs="Times New Roman"/>
      <w:vertAlign w:val="superscript"/>
    </w:rPr>
  </w:style>
  <w:style w:type="character" w:styleId="14">
    <w:name w:val="FollowedHyperlink"/>
    <w:qFormat/>
    <w:uiPriority w:val="0"/>
    <w:rPr>
      <w:color w:val="800080"/>
      <w:u w:val="single"/>
    </w:rPr>
  </w:style>
  <w:style w:type="character" w:styleId="15">
    <w:name w:val="Hyperlink"/>
    <w:qFormat/>
    <w:uiPriority w:val="0"/>
    <w:rPr>
      <w:color w:val="0000FF"/>
      <w:u w:val="single"/>
    </w:rPr>
  </w:style>
  <w:style w:type="character" w:styleId="16">
    <w:name w:val="annotation reference"/>
    <w:qFormat/>
    <w:uiPriority w:val="0"/>
    <w:rPr>
      <w:sz w:val="21"/>
      <w:szCs w:val="21"/>
    </w:rPr>
  </w:style>
  <w:style w:type="character" w:styleId="17">
    <w:name w:val="footnote reference"/>
    <w:qFormat/>
    <w:uiPriority w:val="0"/>
    <w:rPr>
      <w:vertAlign w:val="superscript"/>
    </w:rPr>
  </w:style>
  <w:style w:type="character" w:customStyle="1" w:styleId="18">
    <w:name w:val="尾注文本 字符"/>
    <w:link w:val="4"/>
    <w:semiHidden/>
    <w:qFormat/>
    <w:locked/>
    <w:uiPriority w:val="0"/>
    <w:rPr>
      <w:rFonts w:cs="Times New Roman"/>
    </w:rPr>
  </w:style>
  <w:style w:type="character" w:customStyle="1" w:styleId="19">
    <w:name w:val="页眉 字符"/>
    <w:link w:val="7"/>
    <w:qFormat/>
    <w:uiPriority w:val="99"/>
    <w:rPr>
      <w:kern w:val="2"/>
      <w:sz w:val="21"/>
      <w:szCs w:val="22"/>
    </w:rPr>
  </w:style>
  <w:style w:type="character" w:customStyle="1" w:styleId="20">
    <w:name w:val="页脚 字符"/>
    <w:link w:val="6"/>
    <w:qFormat/>
    <w:uiPriority w:val="0"/>
    <w:rPr>
      <w:kern w:val="2"/>
      <w:sz w:val="21"/>
      <w:szCs w:val="22"/>
    </w:rPr>
  </w:style>
  <w:style w:type="paragraph" w:customStyle="1" w:styleId="21">
    <w:name w:val="MacPac Trailer"/>
    <w:qFormat/>
    <w:uiPriority w:val="0"/>
    <w:pPr>
      <w:widowControl w:val="0"/>
      <w:spacing w:line="170" w:lineRule="exact"/>
    </w:pPr>
    <w:rPr>
      <w:rFonts w:ascii="Times New Roman" w:hAnsi="Times New Roman" w:eastAsia="Times New Roman" w:cs="Times New Roman"/>
      <w:sz w:val="14"/>
      <w:szCs w:val="22"/>
      <w:lang w:val="en-US" w:eastAsia="en-US" w:bidi="ar-SA"/>
    </w:rPr>
  </w:style>
  <w:style w:type="character" w:customStyle="1" w:styleId="22">
    <w:name w:val="批注框文本 字符"/>
    <w:link w:val="5"/>
    <w:qFormat/>
    <w:uiPriority w:val="0"/>
    <w:rPr>
      <w:rFonts w:ascii="Tahoma" w:hAnsi="Tahoma" w:cs="Tahoma"/>
      <w:kern w:val="2"/>
      <w:sz w:val="16"/>
      <w:szCs w:val="16"/>
    </w:rPr>
  </w:style>
  <w:style w:type="character" w:customStyle="1" w:styleId="23">
    <w:name w:val="脚注文本 字符"/>
    <w:link w:val="8"/>
    <w:qFormat/>
    <w:uiPriority w:val="0"/>
    <w:rPr>
      <w:kern w:val="2"/>
    </w:rPr>
  </w:style>
  <w:style w:type="paragraph" w:customStyle="1" w:styleId="24">
    <w:name w:val="Paragraph Number (Rz)"/>
    <w:basedOn w:val="1"/>
    <w:qFormat/>
    <w:uiPriority w:val="0"/>
    <w:pPr>
      <w:widowControl/>
      <w:numPr>
        <w:ilvl w:val="0"/>
        <w:numId w:val="1"/>
      </w:numPr>
      <w:adjustRightInd w:val="0"/>
      <w:spacing w:after="180" w:line="280" w:lineRule="exact"/>
    </w:pPr>
    <w:rPr>
      <w:rFonts w:ascii="Times New Roman" w:hAnsi="Times New Roman" w:eastAsia="Times New Roman"/>
      <w:kern w:val="0"/>
      <w:sz w:val="24"/>
      <w:szCs w:val="24"/>
      <w:lang w:val="en-GB" w:eastAsia="en-US"/>
    </w:rPr>
  </w:style>
  <w:style w:type="character" w:customStyle="1" w:styleId="25">
    <w:name w:val="批注文字 字符"/>
    <w:link w:val="3"/>
    <w:qFormat/>
    <w:uiPriority w:val="0"/>
    <w:rPr>
      <w:kern w:val="2"/>
      <w:sz w:val="21"/>
      <w:szCs w:val="22"/>
    </w:rPr>
  </w:style>
  <w:style w:type="character" w:customStyle="1" w:styleId="26">
    <w:name w:val="批注主题 字符"/>
    <w:link w:val="9"/>
    <w:qFormat/>
    <w:uiPriority w:val="0"/>
    <w:rPr>
      <w:b/>
      <w:bCs/>
      <w:kern w:val="2"/>
      <w:sz w:val="21"/>
      <w:szCs w:val="22"/>
    </w:rPr>
  </w:style>
  <w:style w:type="paragraph" w:customStyle="1" w:styleId="27">
    <w:name w:val="FWB_L1"/>
    <w:basedOn w:val="1"/>
    <w:next w:val="28"/>
    <w:qFormat/>
    <w:uiPriority w:val="0"/>
    <w:pPr>
      <w:keepNext/>
      <w:keepLines/>
      <w:widowControl/>
      <w:numPr>
        <w:ilvl w:val="0"/>
        <w:numId w:val="2"/>
      </w:numPr>
      <w:spacing w:after="240"/>
      <w:jc w:val="left"/>
      <w:outlineLvl w:val="0"/>
    </w:pPr>
    <w:rPr>
      <w:rFonts w:ascii="Times New Roman" w:hAnsi="Times New Roman" w:eastAsia="Times New Roman"/>
      <w:b/>
      <w:smallCaps/>
      <w:kern w:val="0"/>
      <w:sz w:val="24"/>
      <w:szCs w:val="20"/>
      <w:lang w:eastAsia="en-US"/>
    </w:rPr>
  </w:style>
  <w:style w:type="paragraph" w:customStyle="1" w:styleId="28">
    <w:name w:val="FWB_L2"/>
    <w:basedOn w:val="27"/>
    <w:qFormat/>
    <w:uiPriority w:val="0"/>
    <w:pPr>
      <w:keepNext w:val="0"/>
      <w:keepLines w:val="0"/>
      <w:numPr>
        <w:ilvl w:val="1"/>
      </w:numPr>
      <w:jc w:val="both"/>
      <w:outlineLvl w:val="9"/>
    </w:pPr>
    <w:rPr>
      <w:b w:val="0"/>
      <w:smallCaps w:val="0"/>
    </w:rPr>
  </w:style>
  <w:style w:type="paragraph" w:customStyle="1" w:styleId="29">
    <w:name w:val="FWB_L3"/>
    <w:basedOn w:val="28"/>
    <w:qFormat/>
    <w:uiPriority w:val="0"/>
    <w:pPr>
      <w:numPr>
        <w:ilvl w:val="2"/>
      </w:numPr>
    </w:pPr>
  </w:style>
  <w:style w:type="paragraph" w:customStyle="1" w:styleId="30">
    <w:name w:val="FWB_L4"/>
    <w:basedOn w:val="29"/>
    <w:qFormat/>
    <w:uiPriority w:val="0"/>
    <w:pPr>
      <w:numPr>
        <w:ilvl w:val="3"/>
      </w:numPr>
    </w:pPr>
  </w:style>
  <w:style w:type="paragraph" w:customStyle="1" w:styleId="31">
    <w:name w:val="FWB_L5"/>
    <w:basedOn w:val="30"/>
    <w:qFormat/>
    <w:uiPriority w:val="0"/>
    <w:pPr>
      <w:numPr>
        <w:ilvl w:val="4"/>
      </w:numPr>
      <w:tabs>
        <w:tab w:val="left" w:pos="1440"/>
      </w:tabs>
      <w:ind w:left="1440" w:hanging="216"/>
    </w:pPr>
  </w:style>
  <w:style w:type="paragraph" w:customStyle="1" w:styleId="32">
    <w:name w:val="FWB_L6"/>
    <w:basedOn w:val="31"/>
    <w:qFormat/>
    <w:uiPriority w:val="0"/>
    <w:pPr>
      <w:numPr>
        <w:ilvl w:val="5"/>
      </w:numPr>
    </w:pPr>
  </w:style>
  <w:style w:type="paragraph" w:customStyle="1" w:styleId="33">
    <w:name w:val="FWB_L7"/>
    <w:basedOn w:val="32"/>
    <w:qFormat/>
    <w:uiPriority w:val="0"/>
    <w:pPr>
      <w:numPr>
        <w:ilvl w:val="6"/>
      </w:numPr>
    </w:pPr>
  </w:style>
  <w:style w:type="paragraph" w:customStyle="1" w:styleId="34">
    <w:name w:val="FWB_L8"/>
    <w:basedOn w:val="33"/>
    <w:qFormat/>
    <w:uiPriority w:val="0"/>
    <w:pPr>
      <w:numPr>
        <w:ilvl w:val="7"/>
      </w:numPr>
    </w:pPr>
  </w:style>
  <w:style w:type="paragraph" w:customStyle="1" w:styleId="35">
    <w:name w:val="彩色列表 - 强调文字颜色 11"/>
    <w:basedOn w:val="1"/>
    <w:qFormat/>
    <w:uiPriority w:val="34"/>
    <w:pPr>
      <w:ind w:firstLine="420" w:firstLineChars="200"/>
    </w:pPr>
    <w:rPr>
      <w:rFonts w:ascii="Times New Roman" w:hAnsi="Times New Roman"/>
      <w:szCs w:val="24"/>
    </w:rPr>
  </w:style>
  <w:style w:type="character" w:customStyle="1" w:styleId="36">
    <w:name w:val="标题 1 字符"/>
    <w:link w:val="2"/>
    <w:qFormat/>
    <w:uiPriority w:val="0"/>
    <w:rPr>
      <w:rFonts w:ascii="Calibri Light" w:hAnsi="Calibri Light" w:eastAsia="Times New Roman" w:cs="Times New Roman"/>
      <w:b/>
      <w:bCs/>
      <w:kern w:val="32"/>
      <w:sz w:val="32"/>
      <w:szCs w:val="32"/>
      <w:lang w:val="en-US" w:eastAsia="zh-CN"/>
    </w:rPr>
  </w:style>
  <w:style w:type="paragraph" w:customStyle="1" w:styleId="37">
    <w:name w:val="AMLNotify Cont 1"/>
    <w:basedOn w:val="1"/>
    <w:qFormat/>
    <w:uiPriority w:val="0"/>
    <w:pPr>
      <w:widowControl/>
      <w:spacing w:after="240"/>
    </w:pPr>
    <w:rPr>
      <w:rFonts w:ascii="Times New Roman" w:hAnsi="Times New Roman" w:eastAsia="Times New Roman"/>
      <w:kern w:val="0"/>
      <w:sz w:val="24"/>
      <w:szCs w:val="20"/>
      <w:lang w:eastAsia="en-GB"/>
    </w:rPr>
  </w:style>
  <w:style w:type="paragraph" w:styleId="3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101</Words>
  <Characters>581</Characters>
  <Lines>4</Lines>
  <Paragraphs>1</Paragraphs>
  <TotalTime>12</TotalTime>
  <ScaleCrop>false</ScaleCrop>
  <LinksUpToDate>false</LinksUpToDate>
  <CharactersWithSpaces>681</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2022-03-18T12:12:00Z</dcterms:created>
  <dc:creator>Liu, Derek</dc:creator>
  <cp:lastModifiedBy>greatwall</cp:lastModifiedBy>
  <cp:lastPrinted>1901-01-01T00:00:00Z</cp:lastPrinted>
  <dcterms:modified xsi:type="dcterms:W3CDTF">2022-04-02T13:54:38Z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uthCorresp">
    <vt:lpwstr>Quan Zhou</vt:lpwstr>
  </property>
  <property fmtid="{D5CDD505-2E9C-101B-9397-08002B2CF9AE}" pid="3" name="authEmail">
    <vt:lpwstr/>
  </property>
  <property fmtid="{D5CDD505-2E9C-101B-9397-08002B2CF9AE}" pid="4" name="authExtension">
    <vt:lpwstr>4546</vt:lpwstr>
  </property>
  <property fmtid="{D5CDD505-2E9C-101B-9397-08002B2CF9AE}" pid="5" name="authFax">
    <vt:lpwstr>86 10 6505 7783</vt:lpwstr>
  </property>
  <property fmtid="{D5CDD505-2E9C-101B-9397-08002B2CF9AE}" pid="6" name="authId">
    <vt:lpwstr>QUZHOU</vt:lpwstr>
  </property>
  <property fmtid="{D5CDD505-2E9C-101B-9397-08002B2CF9AE}" pid="7" name="authInitials">
    <vt:lpwstr/>
  </property>
  <property fmtid="{D5CDD505-2E9C-101B-9397-08002B2CF9AE}" pid="8" name="authLocation">
    <vt:lpwstr>Beijing</vt:lpwstr>
  </property>
  <property fmtid="{D5CDD505-2E9C-101B-9397-08002B2CF9AE}" pid="9" name="authName">
    <vt:lpwstr>Zhou, Quan</vt:lpwstr>
  </property>
  <property fmtid="{D5CDD505-2E9C-101B-9397-08002B2CF9AE}" pid="10" name="authPhone">
    <vt:lpwstr>86 10 6535 4546</vt:lpwstr>
  </property>
  <property fmtid="{D5CDD505-2E9C-101B-9397-08002B2CF9AE}" pid="11" name="docClass">
    <vt:lpwstr>-NONE-</vt:lpwstr>
  </property>
  <property fmtid="{D5CDD505-2E9C-101B-9397-08002B2CF9AE}" pid="12" name="docClient">
    <vt:lpwstr>800000</vt:lpwstr>
  </property>
  <property fmtid="{D5CDD505-2E9C-101B-9397-08002B2CF9AE}" pid="13" name="docCliMat">
    <vt:lpwstr>168072-0001</vt:lpwstr>
  </property>
  <property fmtid="{D5CDD505-2E9C-101B-9397-08002B2CF9AE}" pid="14" name="docDesc">
    <vt:lpwstr>Attachment 2 - Public Notice Form for Simple Cases in Concentrations of Undertakings - ENG</vt:lpwstr>
  </property>
  <property fmtid="{D5CDD505-2E9C-101B-9397-08002B2CF9AE}" pid="15" name="docGlobPracGroup">
    <vt:lpwstr/>
  </property>
  <property fmtid="{D5CDD505-2E9C-101B-9397-08002B2CF9AE}" pid="16" name="docGlobSectGroup">
    <vt:lpwstr/>
  </property>
  <property fmtid="{D5CDD505-2E9C-101B-9397-08002B2CF9AE}" pid="17" name="docId">
    <vt:lpwstr>BEI1084870</vt:lpwstr>
  </property>
  <property fmtid="{D5CDD505-2E9C-101B-9397-08002B2CF9AE}" pid="18" name="docIdVer">
    <vt:lpwstr>BEI933257/2</vt:lpwstr>
  </property>
  <property fmtid="{D5CDD505-2E9C-101B-9397-08002B2CF9AE}" pid="19" name="docIncludeCliMat">
    <vt:lpwstr>true</vt:lpwstr>
  </property>
  <property fmtid="{D5CDD505-2E9C-101B-9397-08002B2CF9AE}" pid="20" name="docLanguage">
    <vt:lpwstr>EN(UK)</vt:lpwstr>
  </property>
  <property fmtid="{D5CDD505-2E9C-101B-9397-08002B2CF9AE}" pid="21" name="docMatter">
    <vt:lpwstr>0001</vt:lpwstr>
  </property>
  <property fmtid="{D5CDD505-2E9C-101B-9397-08002B2CF9AE}" pid="22" name="docOrganisation">
    <vt:lpwstr/>
  </property>
  <property fmtid="{D5CDD505-2E9C-101B-9397-08002B2CF9AE}" pid="23" name="docSubClass">
    <vt:lpwstr/>
  </property>
  <property fmtid="{D5CDD505-2E9C-101B-9397-08002B2CF9AE}" pid="24" name="docVersion">
    <vt:lpwstr>5</vt:lpwstr>
  </property>
  <property fmtid="{D5CDD505-2E9C-101B-9397-08002B2CF9AE}" pid="25" name="operCorresp">
    <vt:lpwstr>Kexin Li</vt:lpwstr>
  </property>
  <property fmtid="{D5CDD505-2E9C-101B-9397-08002B2CF9AE}" pid="26" name="operEmail">
    <vt:lpwstr>Kexin.LI@freshfields.com</vt:lpwstr>
  </property>
  <property fmtid="{D5CDD505-2E9C-101B-9397-08002B2CF9AE}" pid="27" name="operExtension">
    <vt:lpwstr>4607</vt:lpwstr>
  </property>
  <property fmtid="{D5CDD505-2E9C-101B-9397-08002B2CF9AE}" pid="28" name="operFax">
    <vt:lpwstr>86 10 6505 7783</vt:lpwstr>
  </property>
  <property fmtid="{D5CDD505-2E9C-101B-9397-08002B2CF9AE}" pid="29" name="operId">
    <vt:lpwstr>KELI</vt:lpwstr>
  </property>
  <property fmtid="{D5CDD505-2E9C-101B-9397-08002B2CF9AE}" pid="30" name="operInitials">
    <vt:lpwstr/>
  </property>
  <property fmtid="{D5CDD505-2E9C-101B-9397-08002B2CF9AE}" pid="31" name="operLocation">
    <vt:lpwstr>Beijing</vt:lpwstr>
  </property>
  <property fmtid="{D5CDD505-2E9C-101B-9397-08002B2CF9AE}" pid="32" name="operName">
    <vt:lpwstr>Li, Kexin</vt:lpwstr>
  </property>
  <property fmtid="{D5CDD505-2E9C-101B-9397-08002B2CF9AE}" pid="33" name="operPhone">
    <vt:lpwstr>86 10 6535 4607</vt:lpwstr>
  </property>
  <property fmtid="{D5CDD505-2E9C-101B-9397-08002B2CF9AE}" pid="34" name="KSOProductBuildVer">
    <vt:lpwstr>2052-11.8.2.9864</vt:lpwstr>
  </property>
</Properties>
</file>