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snapToGrid w:val="0"/>
        <w:spacing w:after="120"/>
        <w:jc w:val="center"/>
        <w:rPr>
          <w:rFonts w:ascii="Times New Roman" w:eastAsia="华文楷体" w:hAnsi="Times New Roman"/>
          <w:b/>
          <w:bCs/>
          <w:sz w:val="24"/>
          <w:szCs w:val="24"/>
        </w:rPr>
      </w:pPr>
      <w:r>
        <w:rPr>
          <w:rFonts w:ascii="Times New Roman" w:eastAsia="华文楷体" w:hAnsi="Times New Roman"/>
          <w:b/>
          <w:bCs/>
          <w:sz w:val="24"/>
          <w:szCs w:val="24"/>
        </w:rPr>
        <w:t>经营者集中简易案件公示表</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2236"/>
        <w:gridCol w:w="4713"/>
      </w:tblGrid>
      <w:tr>
        <w:tc>
          <w:tcPr>
            <w:tcW w:w="1809" w:type="dxa"/>
            <w:shd w:val="clear" w:color="auto" w:fill="D9D9D9"/>
            <w:vAlign w:val="center"/>
          </w:tcPr>
          <w:p>
            <w:pPr>
              <w:snapToGrid w:val="0"/>
              <w:spacing w:after="120"/>
              <w:jc w:val="center"/>
              <w:rPr>
                <w:rFonts w:ascii="Times New Roman" w:eastAsia="华文楷体" w:hAnsi="Times New Roman"/>
                <w:kern w:val="0"/>
                <w:sz w:val="24"/>
                <w:szCs w:val="24"/>
              </w:rPr>
            </w:pPr>
            <w:r>
              <w:rPr>
                <w:rFonts w:ascii="Times New Roman" w:eastAsia="华文楷体" w:hAnsi="Times New Roman"/>
                <w:kern w:val="0"/>
                <w:sz w:val="24"/>
                <w:szCs w:val="24"/>
              </w:rPr>
              <w:t>案件名称</w:t>
            </w:r>
          </w:p>
        </w:tc>
        <w:tc>
          <w:tcPr>
            <w:tcW w:w="6949" w:type="dxa"/>
            <w:gridSpan w:val="2"/>
            <w:shd w:val="clear" w:color="auto" w:fill="auto"/>
            <w:vAlign w:val="center"/>
          </w:tcPr>
          <w:p>
            <w:pPr>
              <w:snapToGrid w:val="0"/>
              <w:spacing w:after="120"/>
              <w:rPr>
                <w:rFonts w:ascii="Times New Roman" w:eastAsia="华文楷体" w:hAnsi="Times New Roman"/>
                <w:kern w:val="0"/>
                <w:sz w:val="24"/>
                <w:szCs w:val="24"/>
              </w:rPr>
            </w:pPr>
            <w:r>
              <w:rPr>
                <w:rFonts w:ascii="Times New Roman" w:eastAsia="华文楷体" w:hAnsi="Times New Roman" w:hint="eastAsia"/>
                <w:sz w:val="24"/>
                <w:szCs w:val="24"/>
              </w:rPr>
              <w:t>魁北克储蓄投资集团通过合同取得</w:t>
            </w:r>
            <w:r>
              <w:rPr>
                <w:rFonts w:ascii="Times New Roman" w:eastAsia="华文楷体" w:hAnsi="Times New Roman"/>
                <w:sz w:val="24"/>
                <w:szCs w:val="24"/>
              </w:rPr>
              <w:t>WCX AHT</w:t>
            </w:r>
            <w:r>
              <w:rPr>
                <w:rFonts w:ascii="Times New Roman" w:eastAsia="华文楷体" w:hAnsi="Times New Roman" w:hint="eastAsia"/>
                <w:sz w:val="24"/>
                <w:szCs w:val="24"/>
              </w:rPr>
              <w:t>私人有限公司等四家公司的控制权案</w:t>
            </w:r>
          </w:p>
        </w:tc>
      </w:tr>
      <w:tr>
        <w:trPr>
          <w:trHeight w:val="993"/>
        </w:trPr>
        <w:tc>
          <w:tcPr>
            <w:tcW w:w="1809" w:type="dxa"/>
            <w:shd w:val="clear" w:color="auto" w:fill="D9D9D9"/>
            <w:vAlign w:val="center"/>
          </w:tcPr>
          <w:p>
            <w:pPr>
              <w:snapToGrid w:val="0"/>
              <w:spacing w:after="120"/>
              <w:jc w:val="center"/>
              <w:rPr>
                <w:rFonts w:ascii="Times New Roman" w:eastAsia="华文楷体" w:hAnsi="Times New Roman"/>
                <w:kern w:val="0"/>
                <w:sz w:val="24"/>
                <w:szCs w:val="24"/>
              </w:rPr>
            </w:pPr>
            <w:r>
              <w:rPr>
                <w:rFonts w:ascii="Times New Roman" w:eastAsia="华文楷体" w:hAnsi="Times New Roman"/>
                <w:kern w:val="0"/>
                <w:sz w:val="24"/>
                <w:szCs w:val="24"/>
              </w:rPr>
              <w:t>交易概况</w:t>
            </w:r>
          </w:p>
          <w:p>
            <w:pPr>
              <w:snapToGrid w:val="0"/>
              <w:spacing w:after="120"/>
              <w:jc w:val="center"/>
              <w:rPr>
                <w:rFonts w:ascii="Times New Roman" w:eastAsia="华文楷体" w:hAnsi="Times New Roman"/>
                <w:kern w:val="0"/>
                <w:sz w:val="24"/>
                <w:szCs w:val="24"/>
              </w:rPr>
            </w:pPr>
            <w:r>
              <w:rPr>
                <w:rFonts w:ascii="Times New Roman" w:eastAsia="华文楷体" w:hAnsi="Times New Roman"/>
                <w:kern w:val="0"/>
                <w:sz w:val="24"/>
                <w:szCs w:val="24"/>
              </w:rPr>
              <w:t>（限</w:t>
            </w:r>
            <w:r>
              <w:rPr>
                <w:rFonts w:ascii="Times New Roman" w:eastAsia="华文楷体" w:hAnsi="Times New Roman"/>
                <w:kern w:val="0"/>
                <w:sz w:val="24"/>
                <w:szCs w:val="24"/>
              </w:rPr>
              <w:t>200</w:t>
            </w:r>
            <w:r>
              <w:rPr>
                <w:rFonts w:ascii="Times New Roman" w:eastAsia="华文楷体" w:hAnsi="Times New Roman"/>
                <w:kern w:val="0"/>
                <w:sz w:val="24"/>
                <w:szCs w:val="24"/>
              </w:rPr>
              <w:t>字内）</w:t>
            </w:r>
          </w:p>
        </w:tc>
        <w:tc>
          <w:tcPr>
            <w:tcW w:w="6949" w:type="dxa"/>
            <w:gridSpan w:val="2"/>
          </w:tcPr>
          <w:p>
            <w:pPr>
              <w:snapToGrid w:val="0"/>
              <w:spacing w:after="120"/>
              <w:rPr>
                <w:rFonts w:ascii="Times New Roman" w:eastAsia="华文楷体" w:hAnsi="Times New Roman"/>
                <w:kern w:val="0"/>
                <w:sz w:val="24"/>
                <w:szCs w:val="24"/>
              </w:rPr>
            </w:pPr>
            <w:r>
              <w:rPr>
                <w:rFonts w:ascii="Times New Roman" w:eastAsia="华文楷体" w:hAnsi="Times New Roman" w:hint="eastAsia"/>
                <w:kern w:val="0"/>
                <w:sz w:val="24"/>
                <w:szCs w:val="24"/>
              </w:rPr>
              <w:t>本交易涉及魁北克储蓄投资集团（简称“</w:t>
            </w:r>
            <w:r>
              <w:rPr>
                <w:rFonts w:ascii="Times New Roman" w:eastAsia="华文楷体" w:hAnsi="Times New Roman"/>
                <w:b/>
                <w:bCs/>
                <w:kern w:val="0"/>
                <w:sz w:val="24"/>
                <w:szCs w:val="24"/>
              </w:rPr>
              <w:t>CDPQ</w:t>
            </w:r>
            <w:r>
              <w:rPr>
                <w:rFonts w:ascii="Times New Roman" w:eastAsia="华文楷体" w:hAnsi="Times New Roman" w:hint="eastAsia"/>
                <w:kern w:val="0"/>
                <w:sz w:val="24"/>
                <w:szCs w:val="24"/>
              </w:rPr>
              <w:t>”）通过合同的方式间接取得</w:t>
            </w:r>
            <w:r>
              <w:rPr>
                <w:rFonts w:ascii="Times New Roman" w:eastAsia="华文楷体" w:hAnsi="Times New Roman" w:hint="eastAsia"/>
                <w:sz w:val="24"/>
                <w:szCs w:val="24"/>
              </w:rPr>
              <w:t>WCX AHT</w:t>
            </w:r>
            <w:r>
              <w:rPr>
                <w:rFonts w:ascii="Times New Roman" w:eastAsia="华文楷体" w:hAnsi="Times New Roman" w:hint="eastAsia"/>
                <w:sz w:val="24"/>
                <w:szCs w:val="24"/>
              </w:rPr>
              <w:t>私人有限公司、</w:t>
            </w:r>
            <w:r>
              <w:rPr>
                <w:rFonts w:ascii="Times New Roman" w:eastAsia="华文楷体" w:hAnsi="Times New Roman" w:hint="eastAsia"/>
                <w:sz w:val="24"/>
                <w:szCs w:val="24"/>
              </w:rPr>
              <w:t>WCX</w:t>
            </w:r>
            <w:r>
              <w:rPr>
                <w:rFonts w:ascii="Times New Roman" w:eastAsia="华文楷体" w:hAnsi="Times New Roman" w:hint="eastAsia"/>
                <w:sz w:val="24"/>
                <w:szCs w:val="24"/>
              </w:rPr>
              <w:t>资产控股信托、</w:t>
            </w:r>
            <w:r>
              <w:rPr>
                <w:rFonts w:ascii="Times New Roman" w:eastAsia="华文楷体" w:hAnsi="Times New Roman" w:hint="eastAsia"/>
                <w:sz w:val="24"/>
                <w:szCs w:val="24"/>
              </w:rPr>
              <w:t>WCX PHT</w:t>
            </w:r>
            <w:r>
              <w:rPr>
                <w:rFonts w:ascii="Times New Roman" w:eastAsia="华文楷体" w:hAnsi="Times New Roman" w:hint="eastAsia"/>
                <w:sz w:val="24"/>
                <w:szCs w:val="24"/>
              </w:rPr>
              <w:t>私人有限公司以及</w:t>
            </w:r>
            <w:r>
              <w:rPr>
                <w:rFonts w:ascii="Times New Roman" w:eastAsia="华文楷体" w:hAnsi="Times New Roman" w:hint="eastAsia"/>
                <w:sz w:val="24"/>
                <w:szCs w:val="24"/>
              </w:rPr>
              <w:t>WCX</w:t>
            </w:r>
            <w:r>
              <w:rPr>
                <w:rFonts w:ascii="Times New Roman" w:eastAsia="华文楷体" w:hAnsi="Times New Roman" w:hint="eastAsia"/>
                <w:sz w:val="24"/>
                <w:szCs w:val="24"/>
              </w:rPr>
              <w:t>项目控股信托（合称“</w:t>
            </w:r>
            <w:r>
              <w:rPr>
                <w:rFonts w:ascii="Times New Roman" w:eastAsia="华文楷体" w:hAnsi="Times New Roman" w:hint="eastAsia"/>
                <w:b/>
                <w:bCs/>
                <w:sz w:val="24"/>
                <w:szCs w:val="24"/>
              </w:rPr>
              <w:t>目标公司</w:t>
            </w:r>
            <w:r>
              <w:rPr>
                <w:rFonts w:ascii="Times New Roman" w:eastAsia="华文楷体" w:hAnsi="Times New Roman" w:hint="eastAsia"/>
                <w:sz w:val="24"/>
                <w:szCs w:val="24"/>
              </w:rPr>
              <w:t>”）</w:t>
            </w:r>
            <w:r>
              <w:rPr>
                <w:rFonts w:ascii="Times New Roman" w:eastAsia="华文楷体" w:hAnsi="Times New Roman" w:hint="eastAsia"/>
                <w:kern w:val="0"/>
                <w:sz w:val="24"/>
                <w:szCs w:val="24"/>
              </w:rPr>
              <w:t>共同控制权事宜。本交易完成后，目标公司将由</w:t>
            </w:r>
            <w:r>
              <w:rPr>
                <w:rFonts w:ascii="Times New Roman" w:eastAsia="华文楷体" w:hAnsi="Times New Roman" w:hint="eastAsia"/>
                <w:kern w:val="0"/>
                <w:sz w:val="24"/>
                <w:szCs w:val="24"/>
              </w:rPr>
              <w:t>Transurban</w:t>
            </w:r>
            <w:r>
              <w:rPr>
                <w:rFonts w:ascii="Times New Roman" w:eastAsia="华文楷体" w:hAnsi="Times New Roman" w:hint="eastAsia"/>
                <w:kern w:val="0"/>
                <w:sz w:val="24"/>
                <w:szCs w:val="24"/>
              </w:rPr>
              <w:t>控股有限公司（简称“</w:t>
            </w:r>
            <w:r>
              <w:rPr>
                <w:rFonts w:ascii="Times New Roman" w:eastAsia="华文楷体" w:hAnsi="Times New Roman"/>
                <w:b/>
                <w:bCs/>
                <w:kern w:val="0"/>
                <w:sz w:val="24"/>
                <w:szCs w:val="24"/>
              </w:rPr>
              <w:t>Transurban</w:t>
            </w:r>
            <w:r>
              <w:rPr>
                <w:rFonts w:ascii="Times New Roman" w:eastAsia="华文楷体" w:hAnsi="Times New Roman" w:hint="eastAsia"/>
                <w:b/>
                <w:bCs/>
                <w:kern w:val="0"/>
                <w:sz w:val="24"/>
                <w:szCs w:val="24"/>
              </w:rPr>
              <w:t>公司</w:t>
            </w:r>
            <w:r>
              <w:rPr>
                <w:rFonts w:ascii="Times New Roman" w:eastAsia="华文楷体" w:hAnsi="Times New Roman" w:hint="eastAsia"/>
                <w:kern w:val="0"/>
                <w:sz w:val="24"/>
                <w:szCs w:val="24"/>
              </w:rPr>
              <w:t>”）、</w:t>
            </w:r>
            <w:r>
              <w:rPr>
                <w:rFonts w:ascii="Times New Roman" w:eastAsia="华文楷体" w:hAnsi="Times New Roman" w:hint="eastAsia"/>
                <w:sz w:val="24"/>
                <w:szCs w:val="24"/>
              </w:rPr>
              <w:t>加拿大养老金计划投资委员会（</w:t>
            </w:r>
            <w:r>
              <w:rPr>
                <w:rFonts w:ascii="Times New Roman" w:eastAsia="华文楷体" w:hAnsi="Times New Roman" w:hint="eastAsia"/>
                <w:kern w:val="0"/>
                <w:sz w:val="24"/>
                <w:szCs w:val="24"/>
              </w:rPr>
              <w:t>简称</w:t>
            </w:r>
            <w:r>
              <w:rPr>
                <w:rFonts w:ascii="Times New Roman" w:eastAsia="华文楷体" w:hAnsi="Times New Roman" w:hint="eastAsia"/>
                <w:sz w:val="24"/>
                <w:szCs w:val="24"/>
              </w:rPr>
              <w:t>“</w:t>
            </w:r>
            <w:r>
              <w:rPr>
                <w:rFonts w:ascii="Times New Roman" w:eastAsia="华文楷体" w:hAnsi="Times New Roman" w:hint="eastAsia"/>
                <w:b/>
                <w:bCs/>
                <w:sz w:val="24"/>
                <w:szCs w:val="24"/>
              </w:rPr>
              <w:t>CPP Investments</w:t>
            </w:r>
            <w:r>
              <w:rPr>
                <w:rFonts w:ascii="Times New Roman" w:eastAsia="华文楷体" w:hAnsi="Times New Roman" w:hint="eastAsia"/>
                <w:sz w:val="24"/>
                <w:szCs w:val="24"/>
              </w:rPr>
              <w:t>”）、</w:t>
            </w:r>
            <w:proofErr w:type="spellStart"/>
            <w:r>
              <w:rPr>
                <w:rFonts w:ascii="Times New Roman" w:eastAsia="华文楷体" w:hAnsi="Times New Roman" w:hint="eastAsia"/>
                <w:kern w:val="0"/>
                <w:sz w:val="24"/>
                <w:szCs w:val="24"/>
              </w:rPr>
              <w:t>AustralianSuper</w:t>
            </w:r>
            <w:proofErr w:type="spellEnd"/>
            <w:r>
              <w:rPr>
                <w:rFonts w:ascii="Times New Roman" w:eastAsia="华文楷体" w:hAnsi="Times New Roman" w:hint="eastAsia"/>
                <w:kern w:val="0"/>
                <w:sz w:val="24"/>
                <w:szCs w:val="24"/>
              </w:rPr>
              <w:t>私人有限公司（作为</w:t>
            </w:r>
            <w:proofErr w:type="spellStart"/>
            <w:r>
              <w:rPr>
                <w:rFonts w:ascii="Times New Roman" w:eastAsia="华文楷体" w:hAnsi="Times New Roman" w:hint="eastAsia"/>
                <w:kern w:val="0"/>
                <w:sz w:val="24"/>
                <w:szCs w:val="24"/>
              </w:rPr>
              <w:t>AustralianSuper</w:t>
            </w:r>
            <w:proofErr w:type="spellEnd"/>
            <w:r>
              <w:rPr>
                <w:rFonts w:ascii="Times New Roman" w:eastAsia="华文楷体" w:hAnsi="Times New Roman" w:hint="eastAsia"/>
                <w:kern w:val="0"/>
                <w:sz w:val="24"/>
                <w:szCs w:val="24"/>
              </w:rPr>
              <w:t>基金的受托人，简称“</w:t>
            </w:r>
            <w:proofErr w:type="spellStart"/>
            <w:r>
              <w:rPr>
                <w:rFonts w:ascii="Times New Roman" w:eastAsia="华文楷体" w:hAnsi="Times New Roman" w:hint="eastAsia"/>
                <w:b/>
                <w:bCs/>
                <w:kern w:val="0"/>
                <w:sz w:val="24"/>
                <w:szCs w:val="24"/>
              </w:rPr>
              <w:t>AustralianSuper</w:t>
            </w:r>
            <w:proofErr w:type="spellEnd"/>
            <w:r>
              <w:rPr>
                <w:rFonts w:ascii="Times New Roman" w:eastAsia="华文楷体" w:hAnsi="Times New Roman" w:hint="eastAsia"/>
                <w:b/>
                <w:bCs/>
                <w:kern w:val="0"/>
                <w:sz w:val="24"/>
                <w:szCs w:val="24"/>
              </w:rPr>
              <w:t>公司</w:t>
            </w:r>
            <w:r>
              <w:rPr>
                <w:rFonts w:ascii="Times New Roman" w:eastAsia="华文楷体" w:hAnsi="Times New Roman" w:hint="eastAsia"/>
                <w:kern w:val="0"/>
                <w:sz w:val="24"/>
                <w:szCs w:val="24"/>
              </w:rPr>
              <w:t>”）和</w:t>
            </w:r>
            <w:r>
              <w:rPr>
                <w:rFonts w:ascii="Times New Roman" w:eastAsia="华文楷体" w:hAnsi="Times New Roman"/>
                <w:kern w:val="0"/>
                <w:sz w:val="24"/>
                <w:szCs w:val="24"/>
              </w:rPr>
              <w:t>CDPQ</w:t>
            </w:r>
            <w:r>
              <w:rPr>
                <w:rFonts w:ascii="Times New Roman" w:eastAsia="华文楷体" w:hAnsi="Times New Roman" w:hint="eastAsia"/>
                <w:kern w:val="0"/>
                <w:sz w:val="24"/>
                <w:szCs w:val="24"/>
              </w:rPr>
              <w:t>间接共同控制。</w:t>
            </w:r>
          </w:p>
        </w:tc>
      </w:tr>
      <w:tr>
        <w:trPr>
          <w:trHeight w:val="468"/>
        </w:trPr>
        <w:tc>
          <w:tcPr>
            <w:tcW w:w="1809" w:type="dxa"/>
            <w:vMerge w:val="restart"/>
            <w:shd w:val="clear" w:color="auto" w:fill="D9D9D9"/>
            <w:vAlign w:val="center"/>
          </w:tcPr>
          <w:p>
            <w:pPr>
              <w:snapToGrid w:val="0"/>
              <w:spacing w:after="120"/>
              <w:jc w:val="center"/>
              <w:rPr>
                <w:rFonts w:ascii="Times New Roman" w:eastAsia="华文楷体" w:hAnsi="Times New Roman"/>
                <w:kern w:val="0"/>
                <w:sz w:val="24"/>
                <w:szCs w:val="24"/>
              </w:rPr>
            </w:pPr>
            <w:r>
              <w:rPr>
                <w:rFonts w:ascii="Times New Roman" w:eastAsia="华文楷体" w:hAnsi="Times New Roman"/>
                <w:kern w:val="0"/>
                <w:sz w:val="24"/>
                <w:szCs w:val="24"/>
              </w:rPr>
              <w:t>参与集中的</w:t>
            </w:r>
          </w:p>
          <w:p>
            <w:pPr>
              <w:snapToGrid w:val="0"/>
              <w:spacing w:after="120"/>
              <w:jc w:val="center"/>
              <w:rPr>
                <w:rFonts w:ascii="Times New Roman" w:eastAsia="华文楷体" w:hAnsi="Times New Roman"/>
                <w:kern w:val="0"/>
                <w:sz w:val="24"/>
                <w:szCs w:val="24"/>
              </w:rPr>
            </w:pPr>
            <w:r>
              <w:rPr>
                <w:rFonts w:ascii="Times New Roman" w:eastAsia="华文楷体" w:hAnsi="Times New Roman"/>
                <w:kern w:val="0"/>
                <w:sz w:val="24"/>
                <w:szCs w:val="24"/>
              </w:rPr>
              <w:t>经营者简介</w:t>
            </w:r>
          </w:p>
        </w:tc>
        <w:tc>
          <w:tcPr>
            <w:tcW w:w="2236" w:type="dxa"/>
          </w:tcPr>
          <w:p>
            <w:pPr>
              <w:snapToGrid w:val="0"/>
              <w:spacing w:after="120"/>
              <w:jc w:val="left"/>
              <w:rPr>
                <w:rFonts w:ascii="Times New Roman" w:eastAsia="华文楷体" w:hAnsi="Times New Roman"/>
                <w:kern w:val="0"/>
                <w:sz w:val="24"/>
                <w:szCs w:val="24"/>
              </w:rPr>
            </w:pPr>
            <w:r>
              <w:rPr>
                <w:rFonts w:ascii="Times New Roman" w:eastAsia="仿宋_GB2312" w:hAnsi="Times New Roman"/>
                <w:sz w:val="24"/>
                <w:szCs w:val="24"/>
              </w:rPr>
              <w:t>1.</w:t>
            </w:r>
            <w:r>
              <w:rPr>
                <w:rFonts w:ascii="Times New Roman" w:eastAsia="仿宋_GB2312" w:hAnsi="Times New Roman"/>
                <w:b/>
                <w:bCs/>
                <w:i/>
                <w:iCs/>
                <w:sz w:val="24"/>
                <w:szCs w:val="24"/>
              </w:rPr>
              <w:t xml:space="preserve"> </w:t>
            </w:r>
            <w:r>
              <w:rPr>
                <w:rFonts w:ascii="Times New Roman" w:eastAsia="仿宋_GB2312" w:hAnsi="Times New Roman"/>
                <w:sz w:val="24"/>
                <w:szCs w:val="24"/>
              </w:rPr>
              <w:t>CDPQ</w:t>
            </w:r>
          </w:p>
        </w:tc>
        <w:tc>
          <w:tcPr>
            <w:tcW w:w="4713" w:type="dxa"/>
            <w:vAlign w:val="center"/>
          </w:tcPr>
          <w:p>
            <w:pPr>
              <w:snapToGrid w:val="0"/>
              <w:spacing w:after="120"/>
              <w:rPr>
                <w:rFonts w:ascii="Times New Roman" w:eastAsia="华文楷体" w:hAnsi="Times New Roman"/>
                <w:kern w:val="0"/>
                <w:sz w:val="24"/>
                <w:szCs w:val="24"/>
              </w:rPr>
            </w:pPr>
            <w:r>
              <w:rPr>
                <w:rFonts w:ascii="Times New Roman" w:eastAsia="华文楷体" w:hAnsi="Times New Roman" w:hint="eastAsia"/>
                <w:kern w:val="0"/>
                <w:sz w:val="24"/>
                <w:szCs w:val="24"/>
              </w:rPr>
              <w:t>CDPQ</w:t>
            </w:r>
            <w:r>
              <w:rPr>
                <w:rFonts w:ascii="Times New Roman" w:eastAsia="华文楷体" w:hAnsi="Times New Roman" w:hint="eastAsia"/>
                <w:kern w:val="0"/>
                <w:sz w:val="24"/>
                <w:szCs w:val="24"/>
              </w:rPr>
              <w:t>设立于</w:t>
            </w:r>
            <w:r>
              <w:rPr>
                <w:rFonts w:ascii="Times New Roman" w:eastAsia="华文楷体" w:hAnsi="Times New Roman" w:hint="eastAsia"/>
                <w:kern w:val="0"/>
                <w:sz w:val="24"/>
                <w:szCs w:val="24"/>
              </w:rPr>
              <w:t>1965</w:t>
            </w:r>
            <w:r>
              <w:rPr>
                <w:rFonts w:ascii="Times New Roman" w:eastAsia="华文楷体" w:hAnsi="Times New Roman" w:hint="eastAsia"/>
                <w:kern w:val="0"/>
                <w:sz w:val="24"/>
                <w:szCs w:val="24"/>
              </w:rPr>
              <w:t>年，是根据加拿大魁北克省国民议会的一项法案并受该法案监管的法人，</w:t>
            </w:r>
            <w:r>
              <w:rPr>
                <w:rFonts w:ascii="Times New Roman" w:eastAsia="华文楷体" w:hAnsi="Times New Roman" w:hint="eastAsia"/>
                <w:kern w:val="0"/>
                <w:sz w:val="24"/>
                <w:szCs w:val="24"/>
              </w:rPr>
              <w:t>CDPQ</w:t>
            </w:r>
            <w:r>
              <w:rPr>
                <w:rFonts w:ascii="Times New Roman" w:eastAsia="华文楷体" w:hAnsi="Times New Roman" w:hint="eastAsia"/>
                <w:kern w:val="0"/>
                <w:sz w:val="24"/>
                <w:szCs w:val="24"/>
              </w:rPr>
              <w:t>没有股本或股东。</w:t>
            </w:r>
            <w:r>
              <w:rPr>
                <w:rFonts w:ascii="Times New Roman" w:eastAsia="华文楷体" w:hAnsi="Times New Roman" w:hint="eastAsia"/>
                <w:kern w:val="0"/>
                <w:sz w:val="24"/>
                <w:szCs w:val="24"/>
              </w:rPr>
              <w:t>CDPQ</w:t>
            </w:r>
            <w:r>
              <w:rPr>
                <w:rFonts w:ascii="Times New Roman" w:eastAsia="华文楷体" w:hAnsi="Times New Roman" w:hint="eastAsia"/>
                <w:kern w:val="0"/>
                <w:sz w:val="24"/>
                <w:szCs w:val="24"/>
              </w:rPr>
              <w:t>是一家长期机构投资人，主要管理魁北克省公共和准公共养老金和保险计划的资金。</w:t>
            </w:r>
            <w:r>
              <w:rPr>
                <w:rFonts w:ascii="Times New Roman" w:eastAsia="华文楷体" w:hAnsi="Times New Roman" w:hint="eastAsia"/>
                <w:kern w:val="0"/>
                <w:sz w:val="24"/>
                <w:szCs w:val="24"/>
              </w:rPr>
              <w:t>CDPQ</w:t>
            </w:r>
            <w:r>
              <w:rPr>
                <w:rFonts w:ascii="Times New Roman" w:eastAsia="华文楷体" w:hAnsi="Times New Roman" w:hint="eastAsia"/>
                <w:kern w:val="0"/>
                <w:sz w:val="24"/>
                <w:szCs w:val="24"/>
              </w:rPr>
              <w:t>在全球范围内将这些资金投资于三种主要资产类型：股票、固定收益和不动产。</w:t>
            </w:r>
            <w:r>
              <w:rPr>
                <w:rFonts w:ascii="Times New Roman" w:eastAsia="华文楷体" w:hAnsi="Times New Roman" w:hint="eastAsia"/>
                <w:kern w:val="0"/>
                <w:sz w:val="24"/>
                <w:szCs w:val="24"/>
              </w:rPr>
              <w:t>CDPQ</w:t>
            </w:r>
            <w:r>
              <w:rPr>
                <w:rFonts w:ascii="Times New Roman" w:eastAsia="华文楷体" w:hAnsi="Times New Roman" w:hint="eastAsia"/>
                <w:kern w:val="0"/>
                <w:sz w:val="24"/>
                <w:szCs w:val="24"/>
              </w:rPr>
              <w:t>无最终控制人。</w:t>
            </w:r>
          </w:p>
        </w:tc>
      </w:tr>
      <w:tr>
        <w:trPr>
          <w:trHeight w:val="404"/>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2236" w:type="dxa"/>
          </w:tcPr>
          <w:p>
            <w:pPr>
              <w:snapToGrid w:val="0"/>
              <w:spacing w:after="120"/>
              <w:rPr>
                <w:rFonts w:ascii="Times New Roman" w:eastAsia="华文楷体" w:hAnsi="Times New Roman"/>
                <w:kern w:val="0"/>
                <w:sz w:val="24"/>
                <w:szCs w:val="24"/>
              </w:rPr>
            </w:pPr>
            <w:r>
              <w:rPr>
                <w:rFonts w:ascii="Times New Roman" w:eastAsia="仿宋_GB2312" w:hAnsi="Times New Roman"/>
                <w:sz w:val="24"/>
                <w:szCs w:val="24"/>
              </w:rPr>
              <w:t xml:space="preserve">2. </w:t>
            </w:r>
            <w:r>
              <w:rPr>
                <w:rFonts w:ascii="Times New Roman" w:eastAsia="华文楷体" w:hAnsi="Times New Roman" w:hint="eastAsia"/>
                <w:sz w:val="24"/>
                <w:szCs w:val="24"/>
              </w:rPr>
              <w:t>Transurban</w:t>
            </w:r>
            <w:r>
              <w:rPr>
                <w:rFonts w:ascii="Times New Roman" w:eastAsia="华文楷体" w:hAnsi="Times New Roman" w:hint="eastAsia"/>
                <w:sz w:val="24"/>
                <w:szCs w:val="24"/>
              </w:rPr>
              <w:t>公司</w:t>
            </w:r>
          </w:p>
        </w:tc>
        <w:tc>
          <w:tcPr>
            <w:tcW w:w="4713" w:type="dxa"/>
          </w:tcPr>
          <w:p>
            <w:pPr>
              <w:snapToGrid w:val="0"/>
              <w:spacing w:after="120"/>
              <w:rPr>
                <w:rFonts w:ascii="Times New Roman" w:eastAsia="华文楷体" w:hAnsi="Times New Roman"/>
                <w:sz w:val="24"/>
                <w:szCs w:val="24"/>
              </w:rPr>
            </w:pPr>
            <w:r>
              <w:rPr>
                <w:rFonts w:ascii="Times New Roman" w:eastAsia="华文楷体" w:hAnsi="Times New Roman" w:hint="eastAsia"/>
                <w:kern w:val="0"/>
                <w:sz w:val="24"/>
                <w:szCs w:val="24"/>
              </w:rPr>
              <w:t>Transurban</w:t>
            </w:r>
            <w:r>
              <w:rPr>
                <w:rFonts w:ascii="Times New Roman" w:eastAsia="华文楷体" w:hAnsi="Times New Roman" w:hint="eastAsia"/>
                <w:kern w:val="0"/>
                <w:sz w:val="24"/>
                <w:szCs w:val="24"/>
              </w:rPr>
              <w:t>公司</w:t>
            </w:r>
            <w:r>
              <w:rPr>
                <w:rFonts w:ascii="Times New Roman" w:eastAsia="华文楷体" w:hAnsi="Times New Roman" w:hint="eastAsia"/>
                <w:sz w:val="24"/>
                <w:szCs w:val="24"/>
              </w:rPr>
              <w:t>注册于</w:t>
            </w:r>
            <w:r>
              <w:rPr>
                <w:rFonts w:ascii="Times New Roman" w:eastAsia="华文楷体" w:hAnsi="Times New Roman" w:hint="eastAsia"/>
                <w:sz w:val="24"/>
                <w:szCs w:val="24"/>
              </w:rPr>
              <w:t>2</w:t>
            </w:r>
            <w:r>
              <w:rPr>
                <w:rFonts w:ascii="Times New Roman" w:eastAsia="华文楷体" w:hAnsi="Times New Roman"/>
                <w:sz w:val="24"/>
                <w:szCs w:val="24"/>
              </w:rPr>
              <w:t>001</w:t>
            </w:r>
            <w:r>
              <w:rPr>
                <w:rFonts w:ascii="Times New Roman" w:eastAsia="华文楷体" w:hAnsi="Times New Roman" w:hint="eastAsia"/>
                <w:sz w:val="24"/>
                <w:szCs w:val="24"/>
              </w:rPr>
              <w:t>年，在澳大利亚登记注册。</w:t>
            </w:r>
            <w:r>
              <w:rPr>
                <w:rFonts w:ascii="Times New Roman" w:eastAsia="华文楷体" w:hAnsi="Times New Roman" w:hint="eastAsia"/>
                <w:sz w:val="24"/>
                <w:szCs w:val="24"/>
              </w:rPr>
              <w:t>Tran</w:t>
            </w:r>
            <w:r>
              <w:rPr>
                <w:rFonts w:ascii="Times New Roman" w:eastAsia="华文楷体" w:hAnsi="Times New Roman"/>
                <w:sz w:val="24"/>
                <w:szCs w:val="24"/>
              </w:rPr>
              <w:t>surban</w:t>
            </w:r>
            <w:r>
              <w:rPr>
                <w:rFonts w:ascii="Times New Roman" w:eastAsia="华文楷体" w:hAnsi="Times New Roman" w:hint="eastAsia"/>
                <w:sz w:val="24"/>
                <w:szCs w:val="24"/>
              </w:rPr>
              <w:t>是一家上市的澳大利亚道路运营商，在澳大利亚（墨尔本、悉尼和布里斯班）、加拿大和美国管理和开发城市收费公路网络。</w:t>
            </w:r>
            <w:r>
              <w:rPr>
                <w:rFonts w:ascii="Times New Roman" w:eastAsia="华文楷体" w:hAnsi="Times New Roman" w:hint="eastAsia"/>
                <w:sz w:val="24"/>
                <w:szCs w:val="24"/>
              </w:rPr>
              <w:t>Transurban</w:t>
            </w:r>
            <w:r>
              <w:rPr>
                <w:rFonts w:ascii="Times New Roman" w:eastAsia="华文楷体" w:hAnsi="Times New Roman" w:hint="eastAsia"/>
                <w:sz w:val="24"/>
                <w:szCs w:val="24"/>
              </w:rPr>
              <w:t>公司无最终控制人。</w:t>
            </w:r>
          </w:p>
        </w:tc>
      </w:tr>
      <w:tr>
        <w:trPr>
          <w:trHeight w:val="404"/>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2236" w:type="dxa"/>
          </w:tcPr>
          <w:p>
            <w:pPr>
              <w:snapToGrid w:val="0"/>
              <w:spacing w:after="120"/>
              <w:rPr>
                <w:rFonts w:ascii="Times New Roman" w:eastAsia="仿宋_GB2312" w:hAnsi="Times New Roman"/>
                <w:sz w:val="24"/>
                <w:szCs w:val="24"/>
              </w:rPr>
            </w:pPr>
            <w:r>
              <w:rPr>
                <w:rFonts w:ascii="Times New Roman" w:eastAsia="仿宋_GB2312" w:hAnsi="Times New Roman"/>
                <w:sz w:val="24"/>
                <w:szCs w:val="24"/>
              </w:rPr>
              <w:t>3.</w:t>
            </w:r>
            <w:r>
              <w:rPr>
                <w:rFonts w:ascii="Times New Roman" w:eastAsia="仿宋_GB2312" w:hAnsi="Times New Roman"/>
                <w:b/>
                <w:bCs/>
                <w:i/>
                <w:iCs/>
                <w:sz w:val="24"/>
                <w:szCs w:val="24"/>
              </w:rPr>
              <w:t xml:space="preserve"> </w:t>
            </w:r>
            <w:r>
              <w:rPr>
                <w:rFonts w:ascii="Times New Roman" w:eastAsia="仿宋_GB2312" w:hAnsi="Times New Roman"/>
                <w:sz w:val="24"/>
                <w:szCs w:val="24"/>
              </w:rPr>
              <w:t>CPP Investments</w:t>
            </w:r>
          </w:p>
        </w:tc>
        <w:tc>
          <w:tcPr>
            <w:tcW w:w="4713" w:type="dxa"/>
            <w:vAlign w:val="center"/>
          </w:tcPr>
          <w:p>
            <w:pPr>
              <w:snapToGrid w:val="0"/>
              <w:spacing w:after="120"/>
              <w:rPr>
                <w:rFonts w:ascii="Times New Roman" w:eastAsia="华文楷体" w:hAnsi="Times New Roman"/>
                <w:sz w:val="24"/>
                <w:szCs w:val="24"/>
              </w:rPr>
            </w:pPr>
            <w:r>
              <w:rPr>
                <w:rFonts w:ascii="Times New Roman" w:eastAsia="华文楷体" w:hAnsi="Times New Roman" w:hint="eastAsia"/>
                <w:kern w:val="0"/>
                <w:sz w:val="24"/>
                <w:szCs w:val="24"/>
              </w:rPr>
              <w:t>CPP</w:t>
            </w:r>
            <w:r>
              <w:rPr>
                <w:rFonts w:ascii="Times New Roman" w:eastAsia="华文楷体" w:hAnsi="Times New Roman"/>
                <w:kern w:val="0"/>
                <w:sz w:val="24"/>
                <w:szCs w:val="24"/>
              </w:rPr>
              <w:t xml:space="preserve"> </w:t>
            </w:r>
            <w:r>
              <w:rPr>
                <w:rFonts w:ascii="Times New Roman" w:eastAsia="华文楷体" w:hAnsi="Times New Roman" w:hint="eastAsia"/>
                <w:kern w:val="0"/>
                <w:sz w:val="24"/>
                <w:szCs w:val="24"/>
              </w:rPr>
              <w:t>Investments</w:t>
            </w:r>
            <w:r>
              <w:rPr>
                <w:rFonts w:ascii="Times New Roman" w:eastAsia="华文楷体" w:hAnsi="Times New Roman" w:hint="eastAsia"/>
                <w:kern w:val="0"/>
                <w:sz w:val="24"/>
                <w:szCs w:val="24"/>
              </w:rPr>
              <w:t>设立于</w:t>
            </w:r>
            <w:r>
              <w:rPr>
                <w:rFonts w:ascii="Times New Roman" w:eastAsia="华文楷体" w:hAnsi="Times New Roman" w:hint="eastAsia"/>
                <w:kern w:val="0"/>
                <w:sz w:val="24"/>
                <w:szCs w:val="24"/>
              </w:rPr>
              <w:t>1</w:t>
            </w:r>
            <w:r>
              <w:rPr>
                <w:rFonts w:ascii="Times New Roman" w:eastAsia="华文楷体" w:hAnsi="Times New Roman"/>
                <w:kern w:val="0"/>
                <w:sz w:val="24"/>
                <w:szCs w:val="24"/>
              </w:rPr>
              <w:t>997</w:t>
            </w:r>
            <w:r>
              <w:rPr>
                <w:rFonts w:ascii="Times New Roman" w:eastAsia="华文楷体" w:hAnsi="Times New Roman" w:hint="eastAsia"/>
                <w:kern w:val="0"/>
                <w:sz w:val="24"/>
                <w:szCs w:val="24"/>
              </w:rPr>
              <w:t>年，在加拿大登记注册，是一家专业投资管理机构，代表约</w:t>
            </w:r>
            <w:r>
              <w:rPr>
                <w:rFonts w:ascii="Times New Roman" w:eastAsia="华文楷体" w:hAnsi="Times New Roman" w:hint="eastAsia"/>
                <w:kern w:val="0"/>
                <w:sz w:val="24"/>
                <w:szCs w:val="24"/>
              </w:rPr>
              <w:t>2000</w:t>
            </w:r>
            <w:r>
              <w:rPr>
                <w:rFonts w:ascii="Times New Roman" w:eastAsia="华文楷体" w:hAnsi="Times New Roman" w:hint="eastAsia"/>
                <w:kern w:val="0"/>
                <w:sz w:val="24"/>
                <w:szCs w:val="24"/>
              </w:rPr>
              <w:t>万加拿大出资人和受益人以加拿大养老金计划无需用于支付当前福利的资金进行投资。</w:t>
            </w:r>
            <w:r>
              <w:rPr>
                <w:rFonts w:ascii="Times New Roman" w:eastAsia="华文楷体" w:hAnsi="Times New Roman" w:hint="eastAsia"/>
                <w:kern w:val="0"/>
                <w:sz w:val="24"/>
                <w:szCs w:val="24"/>
              </w:rPr>
              <w:t>CPP</w:t>
            </w:r>
            <w:r>
              <w:rPr>
                <w:rFonts w:ascii="Times New Roman" w:eastAsia="华文楷体" w:hAnsi="Times New Roman"/>
                <w:kern w:val="0"/>
                <w:sz w:val="24"/>
                <w:szCs w:val="24"/>
              </w:rPr>
              <w:t xml:space="preserve"> </w:t>
            </w:r>
            <w:r>
              <w:rPr>
                <w:rFonts w:ascii="Times New Roman" w:eastAsia="华文楷体" w:hAnsi="Times New Roman" w:hint="eastAsia"/>
                <w:kern w:val="0"/>
                <w:sz w:val="24"/>
                <w:szCs w:val="24"/>
              </w:rPr>
              <w:t>Investments</w:t>
            </w:r>
            <w:r>
              <w:rPr>
                <w:rFonts w:ascii="Times New Roman" w:eastAsia="华文楷体" w:hAnsi="Times New Roman" w:hint="eastAsia"/>
                <w:kern w:val="0"/>
                <w:sz w:val="24"/>
                <w:szCs w:val="24"/>
              </w:rPr>
              <w:t>总部位于加拿大安大略省多伦多市，并在中国香港、伦敦、卢森堡、孟买、纽约、旧金山、圣保罗和悉尼设有办事处。</w:t>
            </w:r>
            <w:r>
              <w:rPr>
                <w:rFonts w:ascii="Times New Roman" w:eastAsia="华文楷体" w:hAnsi="Times New Roman" w:hint="eastAsia"/>
                <w:kern w:val="0"/>
                <w:sz w:val="24"/>
                <w:szCs w:val="24"/>
              </w:rPr>
              <w:t>CPP</w:t>
            </w:r>
            <w:r>
              <w:rPr>
                <w:rFonts w:ascii="Times New Roman" w:eastAsia="华文楷体" w:hAnsi="Times New Roman"/>
                <w:kern w:val="0"/>
                <w:sz w:val="24"/>
                <w:szCs w:val="24"/>
              </w:rPr>
              <w:t xml:space="preserve"> </w:t>
            </w:r>
            <w:r>
              <w:rPr>
                <w:rFonts w:ascii="Times New Roman" w:eastAsia="华文楷体" w:hAnsi="Times New Roman" w:hint="eastAsia"/>
                <w:kern w:val="0"/>
                <w:sz w:val="24"/>
                <w:szCs w:val="24"/>
              </w:rPr>
              <w:t>Investments</w:t>
            </w:r>
            <w:r>
              <w:rPr>
                <w:rFonts w:ascii="Times New Roman" w:eastAsia="华文楷体" w:hAnsi="Times New Roman" w:hint="eastAsia"/>
                <w:kern w:val="0"/>
                <w:sz w:val="24"/>
                <w:szCs w:val="24"/>
              </w:rPr>
              <w:t>无最终控制人。</w:t>
            </w:r>
          </w:p>
        </w:tc>
      </w:tr>
      <w:tr>
        <w:trPr>
          <w:trHeight w:val="404"/>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2236" w:type="dxa"/>
          </w:tcPr>
          <w:p>
            <w:pPr>
              <w:snapToGrid w:val="0"/>
              <w:spacing w:after="120"/>
              <w:rPr>
                <w:rFonts w:ascii="Times New Roman" w:eastAsia="仿宋_GB2312" w:hAnsi="Times New Roman"/>
                <w:sz w:val="24"/>
                <w:szCs w:val="24"/>
              </w:rPr>
            </w:pPr>
            <w:r>
              <w:rPr>
                <w:rFonts w:ascii="Times New Roman" w:eastAsia="仿宋_GB2312" w:hAnsi="Times New Roman"/>
                <w:sz w:val="24"/>
                <w:szCs w:val="24"/>
              </w:rPr>
              <w:t xml:space="preserve">4. </w:t>
            </w:r>
            <w:proofErr w:type="spellStart"/>
            <w:r>
              <w:rPr>
                <w:rFonts w:ascii="Times New Roman" w:eastAsia="仿宋_GB2312" w:hAnsi="Times New Roman"/>
                <w:sz w:val="24"/>
                <w:szCs w:val="24"/>
              </w:rPr>
              <w:t>AustralianSuper</w:t>
            </w:r>
            <w:proofErr w:type="spellEnd"/>
            <w:r>
              <w:rPr>
                <w:rFonts w:ascii="华文楷体" w:eastAsia="华文楷体" w:hAnsi="华文楷体" w:hint="eastAsia"/>
                <w:sz w:val="24"/>
                <w:szCs w:val="24"/>
              </w:rPr>
              <w:t>公司</w:t>
            </w:r>
          </w:p>
        </w:tc>
        <w:tc>
          <w:tcPr>
            <w:tcW w:w="4713" w:type="dxa"/>
          </w:tcPr>
          <w:p>
            <w:pPr>
              <w:snapToGrid w:val="0"/>
              <w:spacing w:after="120"/>
              <w:rPr>
                <w:rFonts w:ascii="Times New Roman" w:eastAsia="华文楷体" w:hAnsi="Times New Roman"/>
                <w:sz w:val="24"/>
                <w:szCs w:val="24"/>
              </w:rPr>
            </w:pPr>
            <w:proofErr w:type="spellStart"/>
            <w:r>
              <w:rPr>
                <w:rFonts w:ascii="Times New Roman" w:eastAsia="华文楷体" w:hAnsi="Times New Roman" w:hint="eastAsia"/>
                <w:sz w:val="24"/>
                <w:szCs w:val="24"/>
              </w:rPr>
              <w:t>AustralianSuper</w:t>
            </w:r>
            <w:proofErr w:type="spellEnd"/>
            <w:r>
              <w:rPr>
                <w:rFonts w:ascii="Times New Roman" w:eastAsia="华文楷体" w:hAnsi="Times New Roman" w:hint="eastAsia"/>
                <w:sz w:val="24"/>
                <w:szCs w:val="24"/>
              </w:rPr>
              <w:t>公司设立于</w:t>
            </w:r>
            <w:r>
              <w:rPr>
                <w:rFonts w:ascii="Times New Roman" w:eastAsia="华文楷体" w:hAnsi="Times New Roman" w:hint="eastAsia"/>
                <w:sz w:val="24"/>
                <w:szCs w:val="24"/>
              </w:rPr>
              <w:t>2</w:t>
            </w:r>
            <w:r>
              <w:rPr>
                <w:rFonts w:ascii="Times New Roman" w:eastAsia="华文楷体" w:hAnsi="Times New Roman"/>
                <w:sz w:val="24"/>
                <w:szCs w:val="24"/>
              </w:rPr>
              <w:t>000</w:t>
            </w:r>
            <w:r>
              <w:rPr>
                <w:rFonts w:ascii="Times New Roman" w:eastAsia="华文楷体" w:hAnsi="Times New Roman" w:hint="eastAsia"/>
                <w:sz w:val="24"/>
                <w:szCs w:val="24"/>
              </w:rPr>
              <w:t>年，在澳大利亚登记注册，是一家总部位于墨尔本的行业养老基金，为其成员提供退休和保</w:t>
            </w:r>
            <w:r>
              <w:rPr>
                <w:rFonts w:ascii="Times New Roman" w:eastAsia="华文楷体" w:hAnsi="Times New Roman" w:hint="eastAsia"/>
                <w:sz w:val="24"/>
                <w:szCs w:val="24"/>
              </w:rPr>
              <w:lastRenderedPageBreak/>
              <w:t>险福利。</w:t>
            </w:r>
            <w:proofErr w:type="spellStart"/>
            <w:r>
              <w:rPr>
                <w:rFonts w:ascii="Times New Roman" w:eastAsia="华文楷体" w:hAnsi="Times New Roman" w:hint="eastAsia"/>
                <w:sz w:val="24"/>
                <w:szCs w:val="24"/>
              </w:rPr>
              <w:t>AustralianSuper</w:t>
            </w:r>
            <w:proofErr w:type="spellEnd"/>
            <w:r>
              <w:rPr>
                <w:rFonts w:ascii="Times New Roman" w:eastAsia="华文楷体" w:hAnsi="Times New Roman" w:hint="eastAsia"/>
                <w:sz w:val="24"/>
                <w:szCs w:val="24"/>
              </w:rPr>
              <w:t>公司无最终控制人。</w:t>
            </w:r>
          </w:p>
        </w:tc>
      </w:tr>
      <w:tr>
        <w:trPr>
          <w:trHeight w:val="404"/>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2236" w:type="dxa"/>
          </w:tcPr>
          <w:p>
            <w:pPr>
              <w:snapToGrid w:val="0"/>
              <w:spacing w:after="120"/>
              <w:rPr>
                <w:rFonts w:ascii="Times New Roman" w:eastAsia="仿宋_GB2312" w:hAnsi="Times New Roman"/>
                <w:sz w:val="24"/>
                <w:szCs w:val="24"/>
              </w:rPr>
            </w:pPr>
            <w:r>
              <w:rPr>
                <w:rFonts w:ascii="Times New Roman" w:eastAsia="仿宋_GB2312" w:hAnsi="Times New Roman"/>
                <w:sz w:val="24"/>
                <w:szCs w:val="24"/>
              </w:rPr>
              <w:t xml:space="preserve">5. </w:t>
            </w:r>
            <w:r>
              <w:rPr>
                <w:rFonts w:ascii="华文楷体" w:eastAsia="华文楷体" w:hAnsi="华文楷体" w:hint="eastAsia"/>
                <w:sz w:val="24"/>
                <w:szCs w:val="24"/>
              </w:rPr>
              <w:t>目标公司</w:t>
            </w:r>
          </w:p>
        </w:tc>
        <w:tc>
          <w:tcPr>
            <w:tcW w:w="4713" w:type="dxa"/>
          </w:tcPr>
          <w:p>
            <w:pPr>
              <w:snapToGrid w:val="0"/>
              <w:spacing w:after="120"/>
              <w:rPr>
                <w:rFonts w:ascii="Times New Roman" w:eastAsia="华文楷体" w:hAnsi="Times New Roman"/>
                <w:sz w:val="24"/>
                <w:szCs w:val="24"/>
              </w:rPr>
            </w:pPr>
            <w:r>
              <w:rPr>
                <w:rFonts w:ascii="Times New Roman" w:eastAsia="华文楷体" w:hAnsi="Times New Roman" w:hint="eastAsia"/>
                <w:sz w:val="24"/>
                <w:szCs w:val="24"/>
              </w:rPr>
              <w:t>目标公司由四个实体组成，其中</w:t>
            </w:r>
            <w:r>
              <w:rPr>
                <w:rFonts w:ascii="Times New Roman" w:eastAsia="华文楷体" w:hAnsi="Times New Roman" w:hint="eastAsia"/>
                <w:sz w:val="24"/>
                <w:szCs w:val="24"/>
              </w:rPr>
              <w:t>WCX AHT</w:t>
            </w:r>
            <w:r>
              <w:rPr>
                <w:rFonts w:ascii="Times New Roman" w:eastAsia="华文楷体" w:hAnsi="Times New Roman" w:hint="eastAsia"/>
                <w:sz w:val="24"/>
                <w:szCs w:val="24"/>
              </w:rPr>
              <w:t>私人有限公司和</w:t>
            </w:r>
            <w:r>
              <w:rPr>
                <w:rFonts w:ascii="Times New Roman" w:eastAsia="华文楷体" w:hAnsi="Times New Roman" w:hint="eastAsia"/>
                <w:sz w:val="24"/>
                <w:szCs w:val="24"/>
              </w:rPr>
              <w:t>WCX PHT</w:t>
            </w:r>
            <w:r>
              <w:rPr>
                <w:rFonts w:ascii="Times New Roman" w:eastAsia="华文楷体" w:hAnsi="Times New Roman" w:hint="eastAsia"/>
                <w:sz w:val="24"/>
                <w:szCs w:val="24"/>
              </w:rPr>
              <w:t>私人有限公司于</w:t>
            </w:r>
            <w:r>
              <w:rPr>
                <w:rFonts w:ascii="Times New Roman" w:eastAsia="华文楷体" w:hAnsi="Times New Roman" w:hint="eastAsia"/>
                <w:sz w:val="24"/>
                <w:szCs w:val="24"/>
              </w:rPr>
              <w:t>2018</w:t>
            </w:r>
            <w:r>
              <w:rPr>
                <w:rFonts w:ascii="Times New Roman" w:eastAsia="华文楷体" w:hAnsi="Times New Roman" w:hint="eastAsia"/>
                <w:sz w:val="24"/>
                <w:szCs w:val="24"/>
              </w:rPr>
              <w:t>年在澳大利亚注册，</w:t>
            </w:r>
            <w:r>
              <w:rPr>
                <w:rFonts w:ascii="Times New Roman" w:eastAsia="华文楷体" w:hAnsi="Times New Roman" w:hint="eastAsia"/>
                <w:sz w:val="24"/>
                <w:szCs w:val="24"/>
              </w:rPr>
              <w:t>WCX</w:t>
            </w:r>
            <w:r>
              <w:rPr>
                <w:rFonts w:ascii="Times New Roman" w:eastAsia="华文楷体" w:hAnsi="Times New Roman" w:hint="eastAsia"/>
                <w:sz w:val="24"/>
                <w:szCs w:val="24"/>
              </w:rPr>
              <w:t>资产控股信托和</w:t>
            </w:r>
            <w:r>
              <w:rPr>
                <w:rFonts w:ascii="Times New Roman" w:eastAsia="华文楷体" w:hAnsi="Times New Roman" w:hint="eastAsia"/>
                <w:sz w:val="24"/>
                <w:szCs w:val="24"/>
              </w:rPr>
              <w:t>WCX</w:t>
            </w:r>
            <w:r>
              <w:rPr>
                <w:rFonts w:ascii="Times New Roman" w:eastAsia="华文楷体" w:hAnsi="Times New Roman" w:hint="eastAsia"/>
                <w:sz w:val="24"/>
                <w:szCs w:val="24"/>
              </w:rPr>
              <w:t>项目控股信托于</w:t>
            </w:r>
            <w:r>
              <w:rPr>
                <w:rFonts w:ascii="Times New Roman" w:eastAsia="华文楷体" w:hAnsi="Times New Roman" w:hint="eastAsia"/>
                <w:sz w:val="24"/>
                <w:szCs w:val="24"/>
              </w:rPr>
              <w:t>2018</w:t>
            </w:r>
            <w:r>
              <w:rPr>
                <w:rFonts w:ascii="Times New Roman" w:eastAsia="华文楷体" w:hAnsi="Times New Roman" w:hint="eastAsia"/>
                <w:sz w:val="24"/>
                <w:szCs w:val="24"/>
              </w:rPr>
              <w:t>年在澳大利亚设立。目标公司在澳大利亚新南威尔士州悉尼市从事部分收费公路的开发、维护、运营和营销。项目建成后，目标公司的业务将涉及约</w:t>
            </w:r>
            <w:r>
              <w:rPr>
                <w:rFonts w:ascii="Times New Roman" w:eastAsia="华文楷体" w:hAnsi="Times New Roman"/>
                <w:sz w:val="24"/>
                <w:szCs w:val="24"/>
              </w:rPr>
              <w:t>33</w:t>
            </w:r>
            <w:r>
              <w:rPr>
                <w:rFonts w:ascii="Times New Roman" w:eastAsia="华文楷体" w:hAnsi="Times New Roman" w:hint="eastAsia"/>
                <w:sz w:val="24"/>
                <w:szCs w:val="24"/>
              </w:rPr>
              <w:t>公里相互连接的公路和道路升级，</w:t>
            </w:r>
            <w:r>
              <w:rPr>
                <w:rFonts w:ascii="Times New Roman" w:eastAsia="华文楷体" w:hAnsi="Times New Roman" w:hint="eastAsia"/>
                <w:sz w:val="24"/>
                <w:szCs w:val="24"/>
              </w:rPr>
              <w:t>M4</w:t>
            </w:r>
            <w:r>
              <w:rPr>
                <w:rFonts w:ascii="Times New Roman" w:eastAsia="华文楷体" w:hAnsi="Times New Roman" w:hint="eastAsia"/>
                <w:sz w:val="24"/>
                <w:szCs w:val="24"/>
              </w:rPr>
              <w:t>公路将从帕拉玛塔改善并延长至悉尼机场，悉尼的</w:t>
            </w:r>
            <w:r>
              <w:rPr>
                <w:rFonts w:ascii="Times New Roman" w:eastAsia="华文楷体" w:hAnsi="Times New Roman" w:hint="eastAsia"/>
                <w:sz w:val="24"/>
                <w:szCs w:val="24"/>
              </w:rPr>
              <w:t>M5</w:t>
            </w:r>
            <w:r>
              <w:rPr>
                <w:rFonts w:ascii="Times New Roman" w:eastAsia="华文楷体" w:hAnsi="Times New Roman" w:hint="eastAsia"/>
                <w:sz w:val="24"/>
                <w:szCs w:val="24"/>
              </w:rPr>
              <w:t>东段公路将延长至两倍。目标公司</w:t>
            </w:r>
            <w:proofErr w:type="gramStart"/>
            <w:r>
              <w:rPr>
                <w:rFonts w:ascii="Times New Roman" w:eastAsia="华文楷体" w:hAnsi="Times New Roman" w:hint="eastAsia"/>
                <w:sz w:val="24"/>
                <w:szCs w:val="24"/>
              </w:rPr>
              <w:t>无最终</w:t>
            </w:r>
            <w:proofErr w:type="gramEnd"/>
            <w:r>
              <w:rPr>
                <w:rFonts w:ascii="Times New Roman" w:eastAsia="华文楷体" w:hAnsi="Times New Roman" w:hint="eastAsia"/>
                <w:sz w:val="24"/>
                <w:szCs w:val="24"/>
              </w:rPr>
              <w:t>控制人。</w:t>
            </w:r>
          </w:p>
        </w:tc>
      </w:tr>
      <w:tr>
        <w:trPr>
          <w:trHeight w:val="279"/>
        </w:trPr>
        <w:tc>
          <w:tcPr>
            <w:tcW w:w="1809" w:type="dxa"/>
            <w:vMerge w:val="restart"/>
            <w:shd w:val="clear" w:color="auto" w:fill="D9D9D9"/>
            <w:vAlign w:val="center"/>
          </w:tcPr>
          <w:p>
            <w:pPr>
              <w:snapToGrid w:val="0"/>
              <w:spacing w:after="120"/>
              <w:jc w:val="center"/>
              <w:rPr>
                <w:rFonts w:ascii="Times New Roman" w:eastAsia="华文楷体" w:hAnsi="Times New Roman"/>
                <w:kern w:val="0"/>
                <w:sz w:val="24"/>
                <w:szCs w:val="24"/>
              </w:rPr>
            </w:pPr>
            <w:r>
              <w:rPr>
                <w:rFonts w:ascii="Times New Roman" w:eastAsia="华文楷体" w:hAnsi="Times New Roman"/>
                <w:kern w:val="0"/>
                <w:sz w:val="24"/>
                <w:szCs w:val="24"/>
              </w:rPr>
              <w:t>简易案件理由（可以单选，也可以多选）</w:t>
            </w:r>
          </w:p>
        </w:tc>
        <w:tc>
          <w:tcPr>
            <w:tcW w:w="6949" w:type="dxa"/>
            <w:gridSpan w:val="2"/>
            <w:vAlign w:val="center"/>
          </w:tcPr>
          <w:p>
            <w:pPr>
              <w:snapToGrid w:val="0"/>
              <w:spacing w:after="120"/>
              <w:rPr>
                <w:rFonts w:ascii="Times New Roman" w:eastAsia="华文楷体" w:hAnsi="Times New Roman"/>
                <w:kern w:val="0"/>
                <w:sz w:val="24"/>
                <w:szCs w:val="24"/>
              </w:rPr>
            </w:pPr>
            <w:r>
              <w:rPr>
                <w:rFonts w:ascii="Times New Roman" w:eastAsia="华文楷体" w:hAnsi="Times New Roman"/>
                <w:kern w:val="0"/>
                <w:sz w:val="24"/>
                <w:szCs w:val="24"/>
              </w:rPr>
              <w:sym w:font="Wingdings" w:char="F0A8"/>
            </w:r>
            <w:r>
              <w:rPr>
                <w:rFonts w:ascii="Times New Roman" w:eastAsia="华文楷体" w:hAnsi="Times New Roman"/>
                <w:kern w:val="0"/>
                <w:sz w:val="24"/>
                <w:szCs w:val="24"/>
              </w:rPr>
              <w:t xml:space="preserve"> 1.</w:t>
            </w:r>
            <w:r>
              <w:rPr>
                <w:rFonts w:ascii="Times New Roman" w:eastAsia="华文楷体" w:hAnsi="Times New Roman"/>
                <w:kern w:val="0"/>
                <w:sz w:val="24"/>
                <w:szCs w:val="24"/>
              </w:rPr>
              <w:t>在同一相关市场，所有参与集中的经营者所占市场份额之和小于</w:t>
            </w:r>
            <w:r>
              <w:rPr>
                <w:rFonts w:ascii="Times New Roman" w:eastAsia="华文楷体" w:hAnsi="Times New Roman"/>
                <w:kern w:val="0"/>
                <w:sz w:val="24"/>
                <w:szCs w:val="24"/>
              </w:rPr>
              <w:t>15%</w:t>
            </w:r>
            <w:r>
              <w:rPr>
                <w:rFonts w:ascii="Times New Roman" w:eastAsia="华文楷体" w:hAnsi="Times New Roman"/>
                <w:kern w:val="0"/>
                <w:sz w:val="24"/>
                <w:szCs w:val="24"/>
              </w:rPr>
              <w:t>。</w:t>
            </w:r>
          </w:p>
        </w:tc>
      </w:tr>
      <w:tr>
        <w:trPr>
          <w:trHeight w:val="330"/>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6949" w:type="dxa"/>
            <w:gridSpan w:val="2"/>
            <w:vAlign w:val="center"/>
          </w:tcPr>
          <w:p>
            <w:pPr>
              <w:snapToGrid w:val="0"/>
              <w:spacing w:after="120"/>
              <w:rPr>
                <w:rFonts w:ascii="Times New Roman" w:eastAsia="华文楷体" w:hAnsi="Times New Roman"/>
                <w:kern w:val="0"/>
                <w:sz w:val="24"/>
                <w:szCs w:val="24"/>
              </w:rPr>
            </w:pPr>
            <w:r>
              <w:rPr>
                <w:rFonts w:ascii="Times New Roman" w:eastAsia="华文楷体" w:hAnsi="Times New Roman"/>
                <w:kern w:val="0"/>
                <w:sz w:val="24"/>
                <w:szCs w:val="24"/>
              </w:rPr>
              <w:sym w:font="Wingdings" w:char="F0A8"/>
            </w:r>
            <w:r>
              <w:rPr>
                <w:rFonts w:ascii="Times New Roman" w:eastAsia="华文楷体" w:hAnsi="Times New Roman"/>
                <w:kern w:val="0"/>
                <w:sz w:val="24"/>
                <w:szCs w:val="24"/>
              </w:rPr>
              <w:t xml:space="preserve"> 2.</w:t>
            </w:r>
            <w:r>
              <w:rPr>
                <w:rFonts w:ascii="Times New Roman" w:eastAsia="华文楷体" w:hAnsi="Times New Roman"/>
                <w:kern w:val="0"/>
                <w:sz w:val="24"/>
                <w:szCs w:val="24"/>
              </w:rPr>
              <w:t>存在上下游关系的参与集中的经营者，在上下游市场所占的市场份额均小于</w:t>
            </w:r>
            <w:r>
              <w:rPr>
                <w:rFonts w:ascii="Times New Roman" w:eastAsia="华文楷体" w:hAnsi="Times New Roman"/>
                <w:kern w:val="0"/>
                <w:sz w:val="24"/>
                <w:szCs w:val="24"/>
              </w:rPr>
              <w:t>25%</w:t>
            </w:r>
            <w:r>
              <w:rPr>
                <w:rFonts w:ascii="Times New Roman" w:eastAsia="华文楷体" w:hAnsi="Times New Roman"/>
                <w:kern w:val="0"/>
                <w:sz w:val="24"/>
                <w:szCs w:val="24"/>
              </w:rPr>
              <w:t>。</w:t>
            </w:r>
          </w:p>
        </w:tc>
      </w:tr>
      <w:tr>
        <w:trPr>
          <w:trHeight w:val="285"/>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6949" w:type="dxa"/>
            <w:gridSpan w:val="2"/>
            <w:vAlign w:val="center"/>
          </w:tcPr>
          <w:p>
            <w:pPr>
              <w:snapToGrid w:val="0"/>
              <w:spacing w:after="120"/>
              <w:rPr>
                <w:rFonts w:ascii="Times New Roman" w:eastAsia="华文楷体" w:hAnsi="Times New Roman"/>
                <w:kern w:val="0"/>
                <w:sz w:val="24"/>
                <w:szCs w:val="24"/>
              </w:rPr>
            </w:pPr>
            <w:r>
              <w:rPr>
                <w:rFonts w:ascii="Times New Roman" w:eastAsia="华文楷体" w:hAnsi="Times New Roman"/>
                <w:kern w:val="0"/>
                <w:sz w:val="24"/>
                <w:szCs w:val="24"/>
              </w:rPr>
              <w:sym w:font="Wingdings" w:char="F0A8"/>
            </w:r>
            <w:r>
              <w:rPr>
                <w:rFonts w:ascii="Times New Roman" w:eastAsia="华文楷体" w:hAnsi="Times New Roman"/>
                <w:kern w:val="0"/>
                <w:sz w:val="24"/>
                <w:szCs w:val="24"/>
              </w:rPr>
              <w:t xml:space="preserve"> 3.</w:t>
            </w:r>
            <w:r>
              <w:rPr>
                <w:rFonts w:ascii="Times New Roman" w:eastAsia="华文楷体" w:hAnsi="Times New Roman"/>
                <w:kern w:val="0"/>
                <w:sz w:val="24"/>
                <w:szCs w:val="24"/>
              </w:rPr>
              <w:t>不在同一相关市场、也不存在上下游关系的参与集中的经营者，在与交易有关的每个市场所占的份额均小于</w:t>
            </w:r>
            <w:r>
              <w:rPr>
                <w:rFonts w:ascii="Times New Roman" w:eastAsia="华文楷体" w:hAnsi="Times New Roman"/>
                <w:kern w:val="0"/>
                <w:sz w:val="24"/>
                <w:szCs w:val="24"/>
              </w:rPr>
              <w:t>25%</w:t>
            </w:r>
            <w:r>
              <w:rPr>
                <w:rFonts w:ascii="Times New Roman" w:eastAsia="华文楷体" w:hAnsi="Times New Roman"/>
                <w:kern w:val="0"/>
                <w:sz w:val="24"/>
                <w:szCs w:val="24"/>
              </w:rPr>
              <w:t>。</w:t>
            </w:r>
          </w:p>
        </w:tc>
      </w:tr>
      <w:tr>
        <w:trPr>
          <w:trHeight w:val="870"/>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6949" w:type="dxa"/>
            <w:gridSpan w:val="2"/>
            <w:vAlign w:val="center"/>
          </w:tcPr>
          <w:p>
            <w:pPr>
              <w:snapToGrid w:val="0"/>
              <w:spacing w:after="120"/>
              <w:rPr>
                <w:rFonts w:ascii="Times New Roman" w:eastAsia="华文楷体" w:hAnsi="Times New Roman"/>
                <w:kern w:val="0"/>
                <w:sz w:val="24"/>
                <w:szCs w:val="24"/>
              </w:rPr>
            </w:pPr>
            <w:r>
              <w:rPr>
                <w:rFonts w:ascii="Times New Roman" w:eastAsia="华文楷体" w:hAnsi="Times New Roman"/>
                <w:kern w:val="0"/>
                <w:sz w:val="24"/>
                <w:szCs w:val="24"/>
              </w:rPr>
              <w:sym w:font="Wingdings" w:char="F0A8"/>
            </w:r>
            <w:r>
              <w:rPr>
                <w:rFonts w:ascii="Times New Roman" w:eastAsia="华文楷体" w:hAnsi="Times New Roman"/>
                <w:kern w:val="0"/>
                <w:sz w:val="24"/>
                <w:szCs w:val="24"/>
              </w:rPr>
              <w:t xml:space="preserve"> 4.</w:t>
            </w:r>
            <w:r>
              <w:rPr>
                <w:rFonts w:ascii="Times New Roman" w:eastAsia="华文楷体" w:hAnsi="Times New Roman"/>
                <w:kern w:val="0"/>
                <w:sz w:val="24"/>
                <w:szCs w:val="24"/>
              </w:rPr>
              <w:t>参与集中的经营者在中国境外设立合营企业，合营企业不在中国境内从事经济活动。</w:t>
            </w:r>
          </w:p>
        </w:tc>
      </w:tr>
      <w:tr>
        <w:trPr>
          <w:trHeight w:val="264"/>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6949" w:type="dxa"/>
            <w:gridSpan w:val="2"/>
            <w:vAlign w:val="center"/>
          </w:tcPr>
          <w:p>
            <w:pPr>
              <w:snapToGrid w:val="0"/>
              <w:spacing w:after="120"/>
              <w:rPr>
                <w:rFonts w:ascii="Times New Roman" w:eastAsia="华文楷体" w:hAnsi="Times New Roman"/>
                <w:kern w:val="0"/>
                <w:sz w:val="24"/>
                <w:szCs w:val="24"/>
              </w:rPr>
            </w:pPr>
            <w:r>
              <w:rPr>
                <w:rFonts w:ascii="Times New Roman" w:eastAsia="华文楷体" w:hAnsi="Times New Roman"/>
                <w:kern w:val="0"/>
                <w:sz w:val="24"/>
                <w:szCs w:val="24"/>
              </w:rPr>
              <w:sym w:font="Wingdings" w:char="F0FE"/>
            </w:r>
            <w:r>
              <w:rPr>
                <w:rFonts w:ascii="Times New Roman" w:eastAsia="华文楷体" w:hAnsi="Times New Roman"/>
                <w:kern w:val="0"/>
                <w:sz w:val="24"/>
                <w:szCs w:val="24"/>
              </w:rPr>
              <w:t xml:space="preserve"> 5.</w:t>
            </w:r>
            <w:r>
              <w:rPr>
                <w:rFonts w:ascii="Times New Roman" w:eastAsia="华文楷体" w:hAnsi="Times New Roman"/>
                <w:kern w:val="0"/>
                <w:sz w:val="24"/>
                <w:szCs w:val="24"/>
              </w:rPr>
              <w:t>参与集中的经营者收购境外企业股权或资产的，该境外企业不在中国境内从事经济活动。</w:t>
            </w:r>
          </w:p>
        </w:tc>
      </w:tr>
      <w:tr>
        <w:trPr>
          <w:trHeight w:val="345"/>
        </w:trPr>
        <w:tc>
          <w:tcPr>
            <w:tcW w:w="1809" w:type="dxa"/>
            <w:vMerge/>
            <w:shd w:val="clear" w:color="auto" w:fill="D9D9D9"/>
            <w:vAlign w:val="center"/>
          </w:tcPr>
          <w:p>
            <w:pPr>
              <w:snapToGrid w:val="0"/>
              <w:spacing w:after="120"/>
              <w:jc w:val="center"/>
              <w:rPr>
                <w:rFonts w:ascii="Times New Roman" w:eastAsia="华文楷体" w:hAnsi="Times New Roman"/>
                <w:kern w:val="0"/>
                <w:sz w:val="24"/>
                <w:szCs w:val="24"/>
              </w:rPr>
            </w:pPr>
          </w:p>
        </w:tc>
        <w:tc>
          <w:tcPr>
            <w:tcW w:w="6949" w:type="dxa"/>
            <w:gridSpan w:val="2"/>
            <w:vAlign w:val="center"/>
          </w:tcPr>
          <w:p>
            <w:pPr>
              <w:snapToGrid w:val="0"/>
              <w:spacing w:after="120"/>
              <w:rPr>
                <w:rFonts w:ascii="Times New Roman" w:eastAsia="华文楷体" w:hAnsi="Times New Roman"/>
                <w:kern w:val="0"/>
                <w:sz w:val="24"/>
                <w:szCs w:val="24"/>
              </w:rPr>
            </w:pPr>
            <w:r>
              <w:rPr>
                <w:rFonts w:ascii="Times New Roman" w:eastAsia="华文楷体" w:hAnsi="Times New Roman"/>
                <w:kern w:val="0"/>
                <w:sz w:val="24"/>
                <w:szCs w:val="24"/>
              </w:rPr>
              <w:sym w:font="Wingdings" w:char="F0A8"/>
            </w:r>
            <w:r>
              <w:rPr>
                <w:rFonts w:ascii="Times New Roman" w:eastAsia="华文楷体" w:hAnsi="Times New Roman"/>
                <w:kern w:val="0"/>
                <w:sz w:val="24"/>
                <w:szCs w:val="24"/>
              </w:rPr>
              <w:t xml:space="preserve"> 6.</w:t>
            </w:r>
            <w:r>
              <w:rPr>
                <w:rFonts w:ascii="Times New Roman" w:eastAsia="华文楷体" w:hAnsi="Times New Roman"/>
                <w:kern w:val="0"/>
                <w:sz w:val="24"/>
                <w:szCs w:val="24"/>
              </w:rPr>
              <w:t>由两个以上的经营者共同控制的合营企业，通过集中被其中一个或一个以上经营者控制。</w:t>
            </w:r>
          </w:p>
        </w:tc>
      </w:tr>
      <w:tr>
        <w:tc>
          <w:tcPr>
            <w:tcW w:w="1809" w:type="dxa"/>
            <w:shd w:val="clear" w:color="auto" w:fill="D9D9D9"/>
            <w:vAlign w:val="center"/>
          </w:tcPr>
          <w:p>
            <w:pPr>
              <w:snapToGrid w:val="0"/>
              <w:spacing w:after="120"/>
              <w:jc w:val="center"/>
              <w:rPr>
                <w:rFonts w:ascii="Times New Roman" w:eastAsia="华文楷体" w:hAnsi="Times New Roman"/>
                <w:kern w:val="0"/>
                <w:sz w:val="24"/>
                <w:szCs w:val="24"/>
              </w:rPr>
            </w:pPr>
            <w:r>
              <w:rPr>
                <w:rFonts w:ascii="Times New Roman" w:eastAsia="华文楷体" w:hAnsi="Times New Roman"/>
                <w:kern w:val="0"/>
                <w:sz w:val="24"/>
                <w:szCs w:val="24"/>
              </w:rPr>
              <w:t>备注</w:t>
            </w:r>
          </w:p>
        </w:tc>
        <w:tc>
          <w:tcPr>
            <w:tcW w:w="6949" w:type="dxa"/>
            <w:gridSpan w:val="2"/>
          </w:tcPr>
          <w:p>
            <w:pPr>
              <w:snapToGrid w:val="0"/>
              <w:spacing w:after="120"/>
              <w:rPr>
                <w:rFonts w:ascii="Times New Roman" w:eastAsia="华文楷体" w:hAnsi="Times New Roman"/>
                <w:sz w:val="24"/>
                <w:szCs w:val="24"/>
              </w:rPr>
            </w:pPr>
            <w:r>
              <w:rPr>
                <w:rFonts w:ascii="Times New Roman" w:eastAsia="华文楷体" w:hAnsi="Times New Roman" w:hint="eastAsia"/>
                <w:sz w:val="24"/>
                <w:szCs w:val="24"/>
              </w:rPr>
              <w:t>申报方申请简易案件的理由是基于第</w:t>
            </w:r>
            <w:r>
              <w:rPr>
                <w:rFonts w:ascii="Times New Roman" w:eastAsia="华文楷体" w:hAnsi="Times New Roman" w:hint="eastAsia"/>
                <w:sz w:val="24"/>
                <w:szCs w:val="24"/>
              </w:rPr>
              <w:t>5</w:t>
            </w:r>
            <w:r>
              <w:rPr>
                <w:rFonts w:ascii="Times New Roman" w:eastAsia="华文楷体" w:hAnsi="Times New Roman" w:hint="eastAsia"/>
                <w:sz w:val="24"/>
                <w:szCs w:val="24"/>
              </w:rPr>
              <w:t>项，无须在备注中说明相关市场和市场份额。</w:t>
            </w:r>
          </w:p>
        </w:tc>
      </w:tr>
    </w:tbl>
    <w:p>
      <w:pPr>
        <w:snapToGrid w:val="0"/>
        <w:spacing w:after="120"/>
        <w:rPr>
          <w:rFonts w:ascii="Times New Roman" w:hAnsi="Times New Roman"/>
        </w:rPr>
      </w:pPr>
    </w:p>
    <w:sectPr>
      <w:footerReference w:type="default" r:id="rId6"/>
      <w:footerReference w:type="firs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a7"/>
      <w:spacing w:line="2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a7"/>
      <w:spacing w:line="20" w:lineRule="exact"/>
    </w:pPr>
    <w:r>
      <w:rPr>
        <w:noProof/>
        <w:lang w:eastAsia="en-GB"/>
      </w:rPr>
      <w:pict>
        <v:shapetype id="_x0000_t202" coordsize="21600,21600" o:spt="202" path="m,l,21600r21600,l21600,xe">
          <v:stroke joinstyle="miter"/>
          <v:path gradientshapeok="t" o:connecttype="rect"/>
        </v:shapetype>
        <v:shape id="zzmpTrailer_2832_1B" o:spid="_x0000_s1026" type="#_x0000_t202" style="position:absolute;left:0;text-align:left;margin-left:0;margin-top:-9.95pt;width:201.6pt;height:20.1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" filled="f" stroked="f">
          <v:textbox inset="0,0,0,0">
            <w:txbxContent>
              <w:p>
                <w:pPr>
                  <w:pStyle w:val="MacPacTrailer"/>
                </w:pPr>
                <w:fldSimple w:instr=" DOCPROPERTY  docId ">
                  <w:r>
                    <w:t>-</w:t>
                  </w:r>
                </w:fldSimple>
                <w:r>
                  <w:fldChar w:fldCharType="begin"/>
                </w:r>
                <w:r>
                  <w:instrText xml:space="preserve"> IF </w:instrText>
                </w:r>
                <w:fldSimple w:instr=" DOCPROPERTY  docIncludeVersion ">
                  <w:r>
                    <w:instrText>true</w:instrText>
                  </w:r>
                </w:fldSimple>
                <w:r>
                  <w:instrText xml:space="preserve"> = true "/</w:instrText>
                </w:r>
                <w:fldSimple w:instr=" DOCPROPERTY  docVersion ">
                  <w:r>
                    <w:instrText>0</w:instrText>
                  </w:r>
                </w:fldSimple>
                <w:r>
                  <w:instrText>"</w:instrText>
                </w:r>
                <w:r>
                  <w:fldChar w:fldCharType="separate"/>
                </w:r>
                <w:r>
                  <w:rPr>
                    <w:noProof/>
                  </w:rPr>
                  <w:t>/0</w:t>
                </w:r>
                <w:r>
                  <w:fldChar w:fldCharType="end"/>
                </w:r>
                <w:r>
                  <w:t xml:space="preserve">   </w:t>
                </w:r>
                <w:r>
                  <w:fldChar w:fldCharType="begin"/>
                </w:r>
                <w:r>
                  <w:instrText xml:space="preserve"> IF </w:instrText>
                </w:r>
                <w:fldSimple w:instr=" DOCPROPERTY  docIncludeCliMat ">
                  <w:r>
                    <w:instrText>true</w:instrText>
                  </w:r>
                </w:fldSimple>
                <w:r>
                  <w:instrText xml:space="preserve"> = true </w:instrText>
                </w:r>
                <w:r>
                  <w:fldChar w:fldCharType="begin"/>
                </w:r>
                <w:r>
                  <w:instrText xml:space="preserve"> DOCPROPERTY  docCliMat </w:instrText>
                </w:r>
                <w:r>
                  <w:fldChar w:fldCharType="end"/>
                </w:r>
                <w:r>
                  <w:instrText xml:space="preserve">  </w:instrText>
                </w:r>
                <w:r>
                  <w:fldChar w:fldCharType="end"/>
                </w:r>
              </w:p>
              <w:p>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
        <w:separator/>
      </w:r>
    </w:p>
  </w:footnote>
  <w:footnote w:type="continuationSeparator" w:id="0">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NDY1tjQwtzQ2NDVX0lEKTi0uzszPAykwrAUA1XblkiwAAAA="/>
    <w:docVar w:name="ForteTempFile" w:val="C:\Users\a-cretford\AppData\Local\Temp\9\3da74179-3a33-42f6-aff9-f766e26957b2.docx"/>
    <w:docVar w:name="zzmp10LastTrailerInserted" w:val="^`~#mp!@2$.#+┗┨7;8{ŗmE⌐”D⌞ ã!p½₰bCÈ^‡¿T§¤!¨Ã^ÑÉPÕ5±ØKÞ@¸ï⌊¡Ãwy⌑ÛAG¦Ä&amp;]ÐÐ⌄÷á⌅․Ô4H&quot;⌠=⌚«)\ť$‥⌞⌊:ô´æ3&gt;$G•†À„Æ²$~æ_j´ŤO{*Ì4ƖÏ@sŗÂ!*¼‽₰½⌐\⌜®ˠ-`.»℥øSæ4}â­ÍŤ;&lt;èò-'⌗¯}jPëªb‗⌑ì⌖[ºƂJŕ¹SÒ“⌟”żgËBÈ⌃ŖŤ⌚^V:OÆ‡6ÛqYÍ⌚⌉VöUß⌇k⌄°Ä&gt;ñÝ⌑ÊdqË⌐Á⌒ò⌐×V~3Ï⌇«}TYÊQV011"/>
    <w:docVar w:name="zzmp10LastTrailerInserted_2832" w:val="^`~#mp!@2$.#+┗┨7;8{ŗmE⌐”D⌞ ã!p½₰bCÈ^‡¿T§¤!¨Ã^ÑÉPÕ5±ØKÞ@¸ï⌊¡Ãwy⌑ÛAG¦Ä&amp;]ÐÐ⌄÷á⌅․Ô4H&quot;⌠=⌚«)\ť$‥⌞⌊:ô´æ3&gt;$G•†À„Æ²$~æ_j´ŤO{*Ì4ƖÏ@sŗÂ!*¼‽₰½⌐\⌜®ˠ-`.»℥øSæ4}â­ÍŤ;&lt;èò-'⌗¯}jPëªb‗⌑ì⌖[ºƂJŕ¹SÒ“⌟”żgËBÈ⌃ŖŤ⌚^V:OÆ‡6ÛqYÍ⌚⌉VöUß⌇k⌄°Ä&gt;ñÝ⌑ÊdqË⌐Á⌒ò⌐×V~3Ï⌇«}TYÊQV011"/>
    <w:docVar w:name="zzmp10mSEGsValidated" w:val="1"/>
    <w:docVar w:name="zzmpCompatibilityMode" w:val="15"/>
    <w:docVar w:name="zzmpLegacyTrailerRemoved" w:val="True"/>
  </w:docVar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A70EC15-DA8B-41DD-A93C-25EB305AA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华文楷体" w:hAnsi="Times New Roman" w:cs="Calibri"/>
        <w:sz w:val="24"/>
        <w:szCs w:val="24"/>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0" w:line="240" w:lineRule="auto"/>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rFonts w:ascii="Segoe UI" w:hAnsi="Segoe UI" w:cs="Segoe UI"/>
      <w:sz w:val="18"/>
      <w:szCs w:val="18"/>
    </w:rPr>
  </w:style>
  <w:style w:type="character" w:customStyle="1" w:styleId="a4">
    <w:name w:val="批注框文本 字符"/>
    <w:basedOn w:val="a0"/>
    <w:link w:val="a3"/>
    <w:uiPriority w:val="99"/>
    <w:semiHidden/>
    <w:rPr>
      <w:rFonts w:ascii="Segoe UI" w:eastAsia="宋体" w:hAnsi="Segoe UI" w:cs="Segoe UI"/>
      <w:kern w:val="2"/>
      <w:sz w:val="18"/>
      <w:szCs w:val="18"/>
    </w:rPr>
  </w:style>
  <w:style w:type="paragraph" w:styleId="a5">
    <w:name w:val="header"/>
    <w:basedOn w:val="a"/>
    <w:link w:val="a6"/>
    <w:uiPriority w:val="99"/>
    <w:unhideWhenUsed/>
    <w:pPr>
      <w:tabs>
        <w:tab w:val="center" w:pos="4320"/>
        <w:tab w:val="right" w:pos="8640"/>
      </w:tabs>
    </w:pPr>
  </w:style>
  <w:style w:type="character" w:customStyle="1" w:styleId="a6">
    <w:name w:val="页眉 字符"/>
    <w:basedOn w:val="a0"/>
    <w:link w:val="a5"/>
    <w:uiPriority w:val="99"/>
    <w:rPr>
      <w:rFonts w:ascii="Calibri" w:eastAsia="宋体" w:hAnsi="Calibri" w:cs="Times New Roman"/>
      <w:kern w:val="2"/>
      <w:sz w:val="21"/>
      <w:szCs w:val="22"/>
    </w:rPr>
  </w:style>
  <w:style w:type="paragraph" w:styleId="a7">
    <w:name w:val="footer"/>
    <w:basedOn w:val="a"/>
    <w:link w:val="a8"/>
    <w:uiPriority w:val="99"/>
    <w:unhideWhenUsed/>
    <w:pPr>
      <w:tabs>
        <w:tab w:val="center" w:pos="4320"/>
        <w:tab w:val="right" w:pos="8640"/>
      </w:tabs>
    </w:pPr>
  </w:style>
  <w:style w:type="character" w:customStyle="1" w:styleId="a8">
    <w:name w:val="页脚 字符"/>
    <w:basedOn w:val="a0"/>
    <w:link w:val="a7"/>
    <w:uiPriority w:val="99"/>
    <w:rPr>
      <w:rFonts w:ascii="Calibri" w:eastAsia="宋体" w:hAnsi="Calibri" w:cs="Times New Roman"/>
      <w:kern w:val="2"/>
      <w:sz w:val="21"/>
      <w:szCs w:val="22"/>
    </w:rPr>
  </w:style>
  <w:style w:type="paragraph" w:customStyle="1" w:styleId="MacPacTrailer">
    <w:name w:val="MacPac Trailer"/>
    <w:pPr>
      <w:widowControl w:val="0"/>
      <w:spacing w:line="170" w:lineRule="exact"/>
    </w:pPr>
    <w:rPr>
      <w:sz w:val="14"/>
      <w:szCs w:val="22"/>
    </w:rPr>
  </w:style>
  <w:style w:type="character" w:styleId="a9">
    <w:name w:val="Placeholder Text"/>
    <w:basedOn w:val="a0"/>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226</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FreshfieldsBruckhausDeringer</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Freshfields Bruckhaus Deringer</dc:creator>
  <cp:keywords/>
  <dc:description/>
  <cp:lastModifiedBy>立方</cp:lastModifiedBy>
  <cp:revision>12</cp:revision>
  <dcterms:created xsi:type="dcterms:W3CDTF">2022-02-15T03:49:00Z</dcterms:created>
  <dcterms:modified xsi:type="dcterms:W3CDTF">2022-02-28T03:46:00Z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vt:lpwstr>
  </property>
  <property fmtid="{D5CDD505-2E9C-101B-9397-08002B2CF9AE}" pid="3" name="docVersion">
    <vt:lpwstr>0</vt:lpwstr>
  </property>
  <property fmtid="{D5CDD505-2E9C-101B-9397-08002B2CF9AE}" pid="4" name="docCliMat">
    <vt:lpwstr/>
  </property>
  <property fmtid="{D5CDD505-2E9C-101B-9397-08002B2CF9AE}" pid="5" name="docIncludeCliMat">
    <vt:lpwstr>true</vt:lpwstr>
  </property>
  <property fmtid="{D5CDD505-2E9C-101B-9397-08002B2CF9AE}" pid="6" name="docIncludeVersion">
    <vt:lpwstr>true</vt:lpwstr>
  </property>
</Properties>
</file>