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line="440" w:lineRule="exact"/>
        <w:jc w:val="center"/>
        <w:rPr>
          <w:rFonts w:ascii="Times New Roman" w:hAnsi="Times New Roman"/>
          <w:b/>
          <w:bCs/>
          <w:sz w:val="24"/>
          <w:szCs w:val="24"/>
        </w:rPr>
      </w:pPr>
      <w:r>
        <w:rPr>
          <w:rFonts w:ascii="Times New Roman" w:hAnsi="Times New Roman"/>
          <w:b/>
          <w:bCs/>
          <w:sz w:val="24"/>
          <w:szCs w:val="24"/>
        </w:rPr>
        <w:t>经营者集中简易案件公示表</w:t>
      </w:r>
    </w:p>
    <w:p>
      <w:pPr>
        <w:spacing w:line="440" w:lineRule="exact"/>
        <w:jc w:val="center"/>
        <w:rPr>
          <w:rFonts w:ascii="Times New Roman" w:hAnsi="Times New Roman"/>
          <w:sz w:val="28"/>
          <w:szCs w:val="28"/>
        </w:rPr>
      </w:pPr>
    </w:p>
    <w:tbl>
      <w:tblPr>
        <w:tblStyle w:val="9"/>
        <w:tblW w:w="8359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809"/>
        <w:gridCol w:w="1796"/>
        <w:gridCol w:w="4754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809" w:type="dxa"/>
            <w:shd w:val="clear" w:color="auto" w:fill="D9D9D9"/>
            <w:vAlign w:val="center"/>
          </w:tcPr>
          <w:p>
            <w:pPr>
              <w:spacing w:before="156" w:beforeLines="50" w:after="156" w:afterLines="50" w:line="500" w:lineRule="exact"/>
              <w:rPr>
                <w:rFonts w:ascii="Times New Roman" w:hAnsi="Times New Roman"/>
                <w:b/>
                <w:bCs/>
                <w:szCs w:val="21"/>
              </w:rPr>
            </w:pPr>
            <w:r>
              <w:rPr>
                <w:rFonts w:ascii="Times New Roman" w:hAnsi="Times New Roman"/>
                <w:b/>
                <w:bCs/>
                <w:szCs w:val="21"/>
              </w:rPr>
              <w:t>案件名称</w:t>
            </w:r>
          </w:p>
        </w:tc>
        <w:tc>
          <w:tcPr>
            <w:tcW w:w="6550" w:type="dxa"/>
            <w:gridSpan w:val="2"/>
            <w:shd w:val="clear" w:color="auto" w:fill="auto"/>
            <w:vAlign w:val="center"/>
          </w:tcPr>
          <w:p>
            <w:pPr>
              <w:spacing w:before="156" w:beforeLines="50" w:after="156" w:afterLines="50"/>
              <w:rPr>
                <w:rFonts w:ascii="Times New Roman" w:hAnsi="Times New Roman"/>
                <w:szCs w:val="21"/>
              </w:rPr>
            </w:pPr>
            <w:bookmarkStart w:id="0" w:name="_Hlk91247331"/>
            <w:r>
              <w:rPr>
                <w:rFonts w:hint="eastAsia" w:ascii="Times New Roman" w:hAnsi="Times New Roman"/>
                <w:bCs/>
                <w:color w:val="000000"/>
                <w:szCs w:val="21"/>
              </w:rPr>
              <w:t>鞍钢能源科技有限公司</w:t>
            </w:r>
            <w:bookmarkEnd w:id="0"/>
            <w:r>
              <w:rPr>
                <w:rFonts w:hint="eastAsia" w:ascii="Times New Roman" w:hAnsi="Times New Roman"/>
                <w:bCs/>
                <w:color w:val="000000"/>
                <w:szCs w:val="21"/>
              </w:rPr>
              <w:t>与</w:t>
            </w:r>
            <w:bookmarkStart w:id="1" w:name="_Hlk91247348"/>
            <w:r>
              <w:rPr>
                <w:rFonts w:hint="eastAsia" w:ascii="Times New Roman" w:hAnsi="Times New Roman"/>
                <w:bCs/>
                <w:color w:val="000000"/>
                <w:szCs w:val="21"/>
              </w:rPr>
              <w:t>空气化工产品（中国）投资有限公司</w:t>
            </w:r>
            <w:bookmarkEnd w:id="1"/>
            <w:r>
              <w:rPr>
                <w:rFonts w:hint="eastAsia" w:ascii="Times New Roman" w:hAnsi="Times New Roman"/>
                <w:bCs/>
                <w:color w:val="000000"/>
                <w:szCs w:val="21"/>
              </w:rPr>
              <w:t>新设合营企业案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93" w:hRule="atLeast"/>
        </w:trPr>
        <w:tc>
          <w:tcPr>
            <w:tcW w:w="1809" w:type="dxa"/>
            <w:shd w:val="clear" w:color="auto" w:fill="D9D9D9"/>
            <w:vAlign w:val="center"/>
          </w:tcPr>
          <w:p>
            <w:pPr>
              <w:spacing w:before="156" w:beforeLines="50" w:after="156" w:afterLines="50" w:line="500" w:lineRule="exact"/>
              <w:rPr>
                <w:rFonts w:ascii="Times New Roman" w:hAnsi="Times New Roman"/>
                <w:b/>
                <w:bCs/>
                <w:szCs w:val="21"/>
              </w:rPr>
            </w:pPr>
            <w:r>
              <w:rPr>
                <w:rFonts w:ascii="Times New Roman" w:hAnsi="Times New Roman"/>
                <w:b/>
                <w:bCs/>
                <w:szCs w:val="21"/>
              </w:rPr>
              <w:t>交易概况（限200字内）</w:t>
            </w:r>
          </w:p>
        </w:tc>
        <w:tc>
          <w:tcPr>
            <w:tcW w:w="6550" w:type="dxa"/>
            <w:gridSpan w:val="2"/>
            <w:vAlign w:val="center"/>
          </w:tcPr>
          <w:p>
            <w:pPr>
              <w:spacing w:before="156" w:beforeLines="50" w:after="156" w:afterLines="50"/>
              <w:rPr>
                <w:rFonts w:ascii="Times New Roman" w:hAnsi="Times New Roman"/>
                <w:color w:val="000000"/>
                <w:szCs w:val="21"/>
              </w:rPr>
            </w:pPr>
            <w:r>
              <w:rPr>
                <w:rFonts w:hint="eastAsia" w:ascii="Times New Roman" w:hAnsi="Times New Roman"/>
                <w:color w:val="000000"/>
                <w:szCs w:val="21"/>
              </w:rPr>
              <w:t>2</w:t>
            </w:r>
            <w:r>
              <w:rPr>
                <w:rFonts w:ascii="Times New Roman" w:hAnsi="Times New Roman"/>
                <w:color w:val="000000"/>
                <w:szCs w:val="21"/>
              </w:rPr>
              <w:t>021</w:t>
            </w:r>
            <w:r>
              <w:rPr>
                <w:rFonts w:hint="eastAsia" w:ascii="Times New Roman" w:hAnsi="Times New Roman"/>
                <w:color w:val="000000"/>
                <w:szCs w:val="21"/>
              </w:rPr>
              <w:t>年1</w:t>
            </w:r>
            <w:r>
              <w:rPr>
                <w:rFonts w:ascii="Times New Roman" w:hAnsi="Times New Roman"/>
                <w:color w:val="000000"/>
                <w:szCs w:val="21"/>
              </w:rPr>
              <w:t>1</w:t>
            </w:r>
            <w:r>
              <w:rPr>
                <w:rFonts w:hint="eastAsia" w:ascii="Times New Roman" w:hAnsi="Times New Roman"/>
                <w:color w:val="000000"/>
                <w:szCs w:val="21"/>
              </w:rPr>
              <w:t>月1</w:t>
            </w:r>
            <w:r>
              <w:rPr>
                <w:rFonts w:ascii="Times New Roman" w:hAnsi="Times New Roman"/>
                <w:color w:val="000000"/>
                <w:szCs w:val="21"/>
              </w:rPr>
              <w:t>9</w:t>
            </w:r>
            <w:r>
              <w:rPr>
                <w:rFonts w:hint="eastAsia" w:ascii="Times New Roman" w:hAnsi="Times New Roman"/>
                <w:color w:val="000000"/>
                <w:szCs w:val="21"/>
              </w:rPr>
              <w:t>日，鞍钢能源</w:t>
            </w:r>
            <w:r>
              <w:rPr>
                <w:rFonts w:hint="eastAsia" w:ascii="Times New Roman" w:hAnsi="Times New Roman"/>
                <w:bCs/>
                <w:color w:val="000000"/>
                <w:szCs w:val="21"/>
              </w:rPr>
              <w:t>科技</w:t>
            </w:r>
            <w:r>
              <w:rPr>
                <w:rFonts w:hint="eastAsia" w:ascii="Times New Roman" w:hAnsi="Times New Roman"/>
                <w:bCs/>
                <w:szCs w:val="21"/>
              </w:rPr>
              <w:t>有限公司（“</w:t>
            </w:r>
            <w:r>
              <w:rPr>
                <w:rFonts w:hint="eastAsia" w:ascii="Times New Roman" w:hAnsi="Times New Roman"/>
                <w:b/>
                <w:bCs/>
                <w:color w:val="000000"/>
                <w:szCs w:val="21"/>
              </w:rPr>
              <w:t>鞍钢能源</w:t>
            </w:r>
            <w:r>
              <w:rPr>
                <w:rFonts w:hint="eastAsia" w:ascii="Times New Roman" w:hAnsi="Times New Roman"/>
                <w:bCs/>
                <w:color w:val="000000"/>
                <w:szCs w:val="21"/>
              </w:rPr>
              <w:t>”）</w:t>
            </w:r>
            <w:r>
              <w:rPr>
                <w:rFonts w:hint="eastAsia" w:ascii="Times New Roman" w:hAnsi="Times New Roman"/>
                <w:color w:val="000000"/>
                <w:szCs w:val="21"/>
              </w:rPr>
              <w:t>与</w:t>
            </w:r>
            <w:r>
              <w:rPr>
                <w:rFonts w:hint="eastAsia" w:ascii="Times New Roman" w:hAnsi="Times New Roman"/>
                <w:bCs/>
                <w:color w:val="000000"/>
                <w:szCs w:val="21"/>
              </w:rPr>
              <w:t>空气化工产品（中国）投资有限公司（“</w:t>
            </w:r>
            <w:r>
              <w:rPr>
                <w:rFonts w:hint="eastAsia" w:ascii="Times New Roman" w:hAnsi="Times New Roman"/>
                <w:b/>
                <w:bCs/>
                <w:color w:val="000000"/>
                <w:szCs w:val="21"/>
              </w:rPr>
              <w:t>空化</w:t>
            </w:r>
            <w:r>
              <w:rPr>
                <w:rFonts w:hint="eastAsia" w:ascii="Times New Roman" w:hAnsi="Times New Roman"/>
                <w:bCs/>
                <w:color w:val="000000"/>
                <w:szCs w:val="21"/>
              </w:rPr>
              <w:t>”）</w:t>
            </w:r>
            <w:r>
              <w:rPr>
                <w:rFonts w:hint="eastAsia" w:ascii="Times New Roman" w:hAnsi="Times New Roman"/>
                <w:color w:val="000000"/>
                <w:szCs w:val="21"/>
              </w:rPr>
              <w:t>签订合资合同。根据该合同，鞍钢能源和空化拟设立一家合营企业，以从事大气气体现场/管道供应业务。该合营企业的股权比例为5</w:t>
            </w:r>
            <w:r>
              <w:rPr>
                <w:rFonts w:ascii="Times New Roman" w:hAnsi="Times New Roman"/>
                <w:color w:val="000000"/>
                <w:szCs w:val="21"/>
              </w:rPr>
              <w:t>1</w:t>
            </w:r>
            <w:r>
              <w:rPr>
                <w:rFonts w:hint="eastAsia" w:ascii="Times New Roman" w:hAnsi="Times New Roman"/>
                <w:color w:val="000000"/>
                <w:szCs w:val="21"/>
              </w:rPr>
              <w:t>:</w:t>
            </w:r>
            <w:r>
              <w:rPr>
                <w:rFonts w:ascii="Times New Roman" w:hAnsi="Times New Roman"/>
                <w:color w:val="000000"/>
                <w:szCs w:val="21"/>
              </w:rPr>
              <w:t>49</w:t>
            </w:r>
            <w:r>
              <w:rPr>
                <w:rFonts w:hint="eastAsia" w:ascii="Times New Roman" w:hAnsi="Times New Roman"/>
                <w:color w:val="000000"/>
                <w:szCs w:val="21"/>
              </w:rPr>
              <w:t>。（“</w:t>
            </w:r>
            <w:r>
              <w:rPr>
                <w:rFonts w:hint="eastAsia" w:ascii="Times New Roman" w:hAnsi="Times New Roman"/>
                <w:b/>
                <w:bCs/>
                <w:color w:val="000000"/>
                <w:szCs w:val="21"/>
              </w:rPr>
              <w:t>拟议交易</w:t>
            </w:r>
            <w:r>
              <w:rPr>
                <w:rFonts w:hint="eastAsia" w:ascii="Times New Roman" w:hAnsi="Times New Roman"/>
                <w:color w:val="000000"/>
                <w:szCs w:val="21"/>
              </w:rPr>
              <w:t>”）</w:t>
            </w:r>
          </w:p>
          <w:p>
            <w:pPr>
              <w:spacing w:before="156" w:beforeLines="50" w:after="156" w:afterLines="50"/>
              <w:rPr>
                <w:rFonts w:ascii="Times New Roman" w:hAnsi="Times New Roman"/>
                <w:color w:val="000000"/>
                <w:szCs w:val="21"/>
              </w:rPr>
            </w:pPr>
            <w:r>
              <w:rPr>
                <w:rFonts w:hint="eastAsia" w:ascii="Times New Roman" w:hAnsi="Times New Roman"/>
                <w:color w:val="000000"/>
                <w:szCs w:val="21"/>
              </w:rPr>
              <w:t>拟议交易完成后，合营企业将由鞍钢能源实际控股并实现财务并表，鞍钢能源与空化取得合营企业反垄断法意义下的共同控制权。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68" w:hRule="atLeast"/>
        </w:trPr>
        <w:tc>
          <w:tcPr>
            <w:tcW w:w="1809" w:type="dxa"/>
            <w:vMerge w:val="restart"/>
            <w:shd w:val="clear" w:color="auto" w:fill="D9D9D9"/>
            <w:vAlign w:val="center"/>
          </w:tcPr>
          <w:p>
            <w:pPr>
              <w:spacing w:before="156" w:beforeLines="50" w:after="156" w:afterLines="50" w:line="500" w:lineRule="exact"/>
              <w:rPr>
                <w:rFonts w:ascii="Times New Roman" w:hAnsi="Times New Roman"/>
                <w:b/>
                <w:bCs/>
                <w:szCs w:val="21"/>
              </w:rPr>
            </w:pPr>
            <w:r>
              <w:rPr>
                <w:rFonts w:ascii="Times New Roman" w:hAnsi="Times New Roman"/>
                <w:b/>
                <w:bCs/>
                <w:szCs w:val="21"/>
              </w:rPr>
              <w:t>参与集中的经营者简介</w:t>
            </w:r>
          </w:p>
        </w:tc>
        <w:tc>
          <w:tcPr>
            <w:tcW w:w="1796" w:type="dxa"/>
            <w:vAlign w:val="center"/>
          </w:tcPr>
          <w:p>
            <w:pPr>
              <w:pStyle w:val="20"/>
              <w:numPr>
                <w:ilvl w:val="0"/>
                <w:numId w:val="1"/>
              </w:numPr>
              <w:spacing w:before="156" w:beforeLines="50" w:after="156" w:afterLines="50"/>
              <w:ind w:firstLineChars="0"/>
              <w:rPr>
                <w:rFonts w:ascii="Times New Roman" w:hAnsi="Times New Roman"/>
                <w:szCs w:val="21"/>
              </w:rPr>
            </w:pPr>
            <w:r>
              <w:rPr>
                <w:rFonts w:hint="eastAsia" w:ascii="Times New Roman" w:hAnsi="Times New Roman"/>
                <w:szCs w:val="21"/>
              </w:rPr>
              <w:t>鞍钢能源</w:t>
            </w:r>
          </w:p>
        </w:tc>
        <w:tc>
          <w:tcPr>
            <w:tcW w:w="4754" w:type="dxa"/>
            <w:vAlign w:val="center"/>
          </w:tcPr>
          <w:p>
            <w:pPr>
              <w:spacing w:before="156" w:beforeLines="50" w:after="156" w:afterLines="50"/>
              <w:rPr>
                <w:rFonts w:ascii="Times New Roman" w:hAnsi="Times New Roman"/>
                <w:szCs w:val="21"/>
              </w:rPr>
            </w:pPr>
            <w:r>
              <w:rPr>
                <w:rFonts w:hint="eastAsia" w:ascii="Times New Roman" w:hAnsi="Times New Roman"/>
                <w:szCs w:val="21"/>
              </w:rPr>
              <w:t>鞍钢能源于2</w:t>
            </w:r>
            <w:r>
              <w:rPr>
                <w:rFonts w:ascii="Times New Roman" w:hAnsi="Times New Roman"/>
                <w:szCs w:val="21"/>
              </w:rPr>
              <w:t>006</w:t>
            </w:r>
            <w:r>
              <w:rPr>
                <w:rFonts w:hint="eastAsia" w:ascii="Times New Roman" w:hAnsi="Times New Roman"/>
                <w:szCs w:val="21"/>
              </w:rPr>
              <w:t>年4月成立于辽宁省鞍山市，其主要业务包括压缩气体和液化气体经销。鞍钢能源的最终控制人鞍钢集团有限公司（“</w:t>
            </w:r>
            <w:r>
              <w:rPr>
                <w:rFonts w:hint="eastAsia" w:ascii="Times New Roman" w:hAnsi="Times New Roman"/>
                <w:b/>
                <w:bCs/>
                <w:szCs w:val="21"/>
              </w:rPr>
              <w:t>鞍钢集团</w:t>
            </w:r>
            <w:r>
              <w:rPr>
                <w:rFonts w:hint="eastAsia" w:ascii="Times New Roman" w:hAnsi="Times New Roman"/>
                <w:szCs w:val="21"/>
              </w:rPr>
              <w:t>”）于2</w:t>
            </w:r>
            <w:r>
              <w:rPr>
                <w:rFonts w:ascii="Times New Roman" w:hAnsi="Times New Roman"/>
                <w:szCs w:val="21"/>
              </w:rPr>
              <w:t>010</w:t>
            </w:r>
            <w:r>
              <w:rPr>
                <w:rFonts w:hint="eastAsia" w:ascii="Times New Roman" w:hAnsi="Times New Roman"/>
                <w:szCs w:val="21"/>
              </w:rPr>
              <w:t>年7月成立于辽宁省鞍山市。</w:t>
            </w:r>
            <w:r>
              <w:rPr>
                <w:rFonts w:hint="eastAsia" w:ascii="Times New Roman" w:hAnsi="Times New Roman"/>
                <w:szCs w:val="21"/>
                <w:lang w:val="en-GB"/>
              </w:rPr>
              <w:t>鞍钢集团从事包括烧结、炼铁、炼钢、轧钢、炼焦和耐火的钢铁生产全流程，形成了从热轧钢、冷轧钢到镀锌板、彩涂板、电工钢板、重轨、无缝钢管、型材、线材、钢绳制品和不锈钢等完整产品系列。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4" w:hRule="atLeast"/>
        </w:trPr>
        <w:tc>
          <w:tcPr>
            <w:tcW w:w="1809" w:type="dxa"/>
            <w:vMerge w:val="continue"/>
            <w:shd w:val="clear" w:color="auto" w:fill="D9D9D9"/>
            <w:vAlign w:val="center"/>
          </w:tcPr>
          <w:p>
            <w:pPr>
              <w:spacing w:before="156" w:beforeLines="50" w:after="156" w:afterLines="50" w:line="500" w:lineRule="exact"/>
              <w:rPr>
                <w:rFonts w:ascii="Times New Roman" w:hAnsi="Times New Roman"/>
                <w:szCs w:val="21"/>
              </w:rPr>
            </w:pPr>
          </w:p>
        </w:tc>
        <w:tc>
          <w:tcPr>
            <w:tcW w:w="1796" w:type="dxa"/>
            <w:vAlign w:val="center"/>
          </w:tcPr>
          <w:p>
            <w:pPr>
              <w:pStyle w:val="20"/>
              <w:numPr>
                <w:ilvl w:val="0"/>
                <w:numId w:val="1"/>
              </w:numPr>
              <w:spacing w:before="156" w:beforeLines="50" w:after="156" w:afterLines="50"/>
              <w:ind w:firstLineChars="0"/>
              <w:rPr>
                <w:rFonts w:ascii="Times New Roman" w:hAnsi="Times New Roman"/>
                <w:szCs w:val="21"/>
              </w:rPr>
            </w:pPr>
            <w:r>
              <w:rPr>
                <w:rFonts w:hint="eastAsia" w:ascii="Times New Roman" w:hAnsi="Times New Roman"/>
                <w:szCs w:val="21"/>
              </w:rPr>
              <w:t>空化</w:t>
            </w:r>
          </w:p>
        </w:tc>
        <w:tc>
          <w:tcPr>
            <w:tcW w:w="4754" w:type="dxa"/>
            <w:vAlign w:val="center"/>
          </w:tcPr>
          <w:p>
            <w:pPr>
              <w:spacing w:before="156" w:beforeLines="50" w:after="156" w:afterLines="50"/>
              <w:rPr>
                <w:rFonts w:ascii="Times New Roman" w:hAnsi="Times New Roman"/>
                <w:color w:val="000000"/>
                <w:szCs w:val="21"/>
              </w:rPr>
            </w:pPr>
            <w:r>
              <w:rPr>
                <w:rFonts w:hint="eastAsia" w:ascii="Times New Roman" w:hAnsi="Times New Roman"/>
                <w:color w:val="000000"/>
                <w:szCs w:val="21"/>
              </w:rPr>
              <w:t>空化于1</w:t>
            </w:r>
            <w:r>
              <w:rPr>
                <w:rFonts w:ascii="Times New Roman" w:hAnsi="Times New Roman"/>
                <w:color w:val="000000"/>
                <w:szCs w:val="21"/>
              </w:rPr>
              <w:t>997</w:t>
            </w:r>
            <w:r>
              <w:rPr>
                <w:rFonts w:hint="eastAsia" w:ascii="Times New Roman" w:hAnsi="Times New Roman"/>
                <w:color w:val="000000"/>
                <w:szCs w:val="21"/>
              </w:rPr>
              <w:t>年1</w:t>
            </w:r>
            <w:r>
              <w:rPr>
                <w:rFonts w:ascii="Times New Roman" w:hAnsi="Times New Roman"/>
                <w:color w:val="000000"/>
                <w:szCs w:val="21"/>
              </w:rPr>
              <w:t>1</w:t>
            </w:r>
            <w:r>
              <w:rPr>
                <w:rFonts w:hint="eastAsia" w:ascii="Times New Roman" w:hAnsi="Times New Roman"/>
                <w:color w:val="000000"/>
                <w:szCs w:val="21"/>
              </w:rPr>
              <w:t>月成立于上海市，其在中国设有近70家子公司及140多个生产基地，为客户提供全面的工业气体供应及应用解决方案，帮助各行业的客户实现在安全、生产效率、质量、能效和可持续发展等方面的目标。空化的最终控制人空气产品有限公司（“</w:t>
            </w:r>
            <w:r>
              <w:rPr>
                <w:rFonts w:hint="eastAsia" w:ascii="Times New Roman" w:hAnsi="Times New Roman"/>
                <w:b/>
                <w:bCs/>
                <w:color w:val="000000"/>
                <w:szCs w:val="21"/>
              </w:rPr>
              <w:t>空气产品</w:t>
            </w:r>
            <w:r>
              <w:rPr>
                <w:rFonts w:hint="eastAsia" w:ascii="Times New Roman" w:hAnsi="Times New Roman"/>
                <w:color w:val="000000"/>
                <w:szCs w:val="21"/>
              </w:rPr>
              <w:t>”）于1</w:t>
            </w:r>
            <w:r>
              <w:rPr>
                <w:rFonts w:ascii="Times New Roman" w:hAnsi="Times New Roman"/>
                <w:color w:val="000000"/>
                <w:szCs w:val="21"/>
              </w:rPr>
              <w:t>961</w:t>
            </w:r>
            <w:r>
              <w:rPr>
                <w:rFonts w:hint="eastAsia" w:ascii="Times New Roman" w:hAnsi="Times New Roman"/>
                <w:color w:val="000000"/>
                <w:szCs w:val="21"/>
              </w:rPr>
              <w:t>年5月成立于美国，其在全球范围内生产与供应气体与气体设备产品，以及提供相关服务和解决方案。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9" w:hRule="atLeast"/>
        </w:trPr>
        <w:tc>
          <w:tcPr>
            <w:tcW w:w="1809" w:type="dxa"/>
            <w:vMerge w:val="restart"/>
            <w:shd w:val="clear" w:color="auto" w:fill="D9D9D9"/>
            <w:vAlign w:val="center"/>
          </w:tcPr>
          <w:p>
            <w:pPr>
              <w:spacing w:before="156" w:beforeLines="50" w:after="156" w:afterLines="50" w:line="500" w:lineRule="exact"/>
              <w:rPr>
                <w:rFonts w:ascii="Times New Roman" w:hAnsi="Times New Roman"/>
                <w:b/>
                <w:bCs/>
                <w:szCs w:val="21"/>
              </w:rPr>
            </w:pPr>
            <w:r>
              <w:rPr>
                <w:rFonts w:ascii="Times New Roman" w:hAnsi="Times New Roman"/>
                <w:b/>
                <w:bCs/>
                <w:szCs w:val="21"/>
              </w:rPr>
              <w:t>简易案件理由（可以单选，也可以多选）</w:t>
            </w:r>
          </w:p>
        </w:tc>
        <w:tc>
          <w:tcPr>
            <w:tcW w:w="6550" w:type="dxa"/>
            <w:gridSpan w:val="2"/>
            <w:vAlign w:val="center"/>
          </w:tcPr>
          <w:p>
            <w:pPr>
              <w:spacing w:line="500" w:lineRule="exact"/>
              <w:rPr>
                <w:rFonts w:ascii="Times New Roman" w:hAnsi="Times New Roman"/>
                <w:szCs w:val="21"/>
              </w:rPr>
            </w:pPr>
            <w:r>
              <w:rPr>
                <w:rFonts w:ascii="Times" w:hAnsi="Times"/>
              </w:rPr>
              <w:sym w:font="Wingdings" w:char="F0FE"/>
            </w:r>
            <w:r>
              <w:rPr>
                <w:rFonts w:hint="eastAsia" w:ascii="Times" w:hAnsi="Times"/>
              </w:rPr>
              <w:t xml:space="preserve"> </w:t>
            </w:r>
            <w:r>
              <w:rPr>
                <w:rFonts w:ascii="Times New Roman" w:hAnsi="Times New Roman"/>
                <w:szCs w:val="21"/>
              </w:rPr>
              <w:t>1、在同一相关市场，所有参与集中的经营者所占市场份额之和小于15%。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30" w:hRule="atLeast"/>
        </w:trPr>
        <w:tc>
          <w:tcPr>
            <w:tcW w:w="1809" w:type="dxa"/>
            <w:vMerge w:val="continue"/>
            <w:shd w:val="clear" w:color="auto" w:fill="D9D9D9"/>
            <w:vAlign w:val="center"/>
          </w:tcPr>
          <w:p>
            <w:pPr>
              <w:spacing w:before="156" w:beforeLines="50" w:after="156" w:afterLines="50" w:line="500" w:lineRule="exact"/>
              <w:rPr>
                <w:rFonts w:ascii="Times New Roman" w:hAnsi="Times New Roman"/>
                <w:szCs w:val="21"/>
              </w:rPr>
            </w:pPr>
          </w:p>
        </w:tc>
        <w:tc>
          <w:tcPr>
            <w:tcW w:w="6550" w:type="dxa"/>
            <w:gridSpan w:val="2"/>
            <w:vAlign w:val="center"/>
          </w:tcPr>
          <w:p>
            <w:pPr>
              <w:spacing w:line="500" w:lineRule="exact"/>
              <w:rPr>
                <w:rFonts w:ascii="Times New Roman" w:hAnsi="Times New Roman"/>
                <w:szCs w:val="21"/>
              </w:rPr>
            </w:pPr>
            <w:r>
              <w:rPr>
                <w:rFonts w:ascii="Times" w:hAnsi="Times"/>
              </w:rPr>
              <w:sym w:font="Wingdings" w:char="F0FE"/>
            </w:r>
            <w:r>
              <w:rPr>
                <w:rFonts w:ascii="Times New Roman" w:hAnsi="Times New Roman" w:cs="Arial"/>
                <w:szCs w:val="21"/>
                <w:lang w:val="en-GB"/>
              </w:rPr>
              <w:t xml:space="preserve"> </w:t>
            </w:r>
            <w:r>
              <w:rPr>
                <w:rFonts w:ascii="Times New Roman" w:hAnsi="Times New Roman"/>
                <w:szCs w:val="21"/>
              </w:rPr>
              <w:t>2、存在上下游关系的参与集中的经营者，在上下游市场所占的市场份额均小于25%。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1809" w:type="dxa"/>
            <w:vMerge w:val="continue"/>
            <w:shd w:val="clear" w:color="auto" w:fill="D9D9D9"/>
            <w:vAlign w:val="center"/>
          </w:tcPr>
          <w:p>
            <w:pPr>
              <w:spacing w:before="156" w:beforeLines="50" w:after="156" w:afterLines="50" w:line="500" w:lineRule="exact"/>
              <w:rPr>
                <w:rFonts w:ascii="Times New Roman" w:hAnsi="Times New Roman"/>
                <w:szCs w:val="21"/>
              </w:rPr>
            </w:pPr>
          </w:p>
        </w:tc>
        <w:tc>
          <w:tcPr>
            <w:tcW w:w="6550" w:type="dxa"/>
            <w:gridSpan w:val="2"/>
            <w:vAlign w:val="center"/>
          </w:tcPr>
          <w:p>
            <w:pPr>
              <w:spacing w:line="500" w:lineRule="exact"/>
              <w:rPr>
                <w:rFonts w:ascii="Times New Roman" w:hAnsi="Times New Roman"/>
                <w:szCs w:val="21"/>
              </w:rPr>
            </w:pPr>
            <w:r>
              <w:rPr>
                <w:rFonts w:ascii="Times New Roman" w:hAnsi="Times New Roman" w:cs="Arial"/>
                <w:szCs w:val="21"/>
                <w:lang w:val="en-GB"/>
              </w:rPr>
              <w:sym w:font="Wingdings" w:char="F0A8"/>
            </w:r>
            <w:r>
              <w:rPr>
                <w:rFonts w:ascii="Times New Roman" w:hAnsi="Times New Roman"/>
                <w:szCs w:val="21"/>
              </w:rPr>
              <w:t>3、不在同一相关市场、也不存在上下游关系的参与集中的经营者，在与交易有关的每个市场所占的份额均小于25%。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70" w:hRule="atLeast"/>
        </w:trPr>
        <w:tc>
          <w:tcPr>
            <w:tcW w:w="1809" w:type="dxa"/>
            <w:vMerge w:val="continue"/>
            <w:shd w:val="clear" w:color="auto" w:fill="D9D9D9"/>
            <w:vAlign w:val="center"/>
          </w:tcPr>
          <w:p>
            <w:pPr>
              <w:spacing w:before="156" w:beforeLines="50" w:after="156" w:afterLines="50" w:line="500" w:lineRule="exact"/>
              <w:rPr>
                <w:rFonts w:ascii="Times New Roman" w:hAnsi="Times New Roman"/>
                <w:szCs w:val="21"/>
              </w:rPr>
            </w:pPr>
          </w:p>
        </w:tc>
        <w:tc>
          <w:tcPr>
            <w:tcW w:w="6550" w:type="dxa"/>
            <w:gridSpan w:val="2"/>
            <w:vAlign w:val="center"/>
          </w:tcPr>
          <w:p>
            <w:pPr>
              <w:spacing w:line="500" w:lineRule="exact"/>
              <w:rPr>
                <w:rFonts w:ascii="Times New Roman" w:hAnsi="Times New Roman"/>
                <w:szCs w:val="21"/>
              </w:rPr>
            </w:pPr>
            <w:r>
              <w:rPr>
                <w:rFonts w:ascii="Times New Roman" w:hAnsi="Times New Roman" w:cs="Arial"/>
                <w:szCs w:val="21"/>
                <w:lang w:val="en-GB"/>
              </w:rPr>
              <w:sym w:font="Wingdings" w:char="F0A8"/>
            </w:r>
            <w:r>
              <w:rPr>
                <w:rFonts w:ascii="Times New Roman" w:hAnsi="Times New Roman"/>
                <w:szCs w:val="21"/>
              </w:rPr>
              <w:t>4、参与集中的经营者在中国境外设立合营企业，合营企业不在中国境内从事经济活动。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64" w:hRule="atLeast"/>
        </w:trPr>
        <w:tc>
          <w:tcPr>
            <w:tcW w:w="1809" w:type="dxa"/>
            <w:vMerge w:val="continue"/>
            <w:shd w:val="clear" w:color="auto" w:fill="D9D9D9"/>
            <w:vAlign w:val="center"/>
          </w:tcPr>
          <w:p>
            <w:pPr>
              <w:spacing w:before="156" w:beforeLines="50" w:after="156" w:afterLines="50" w:line="500" w:lineRule="exact"/>
              <w:rPr>
                <w:rFonts w:ascii="Times New Roman" w:hAnsi="Times New Roman"/>
                <w:szCs w:val="21"/>
              </w:rPr>
            </w:pPr>
          </w:p>
        </w:tc>
        <w:tc>
          <w:tcPr>
            <w:tcW w:w="6550" w:type="dxa"/>
            <w:gridSpan w:val="2"/>
            <w:vAlign w:val="center"/>
          </w:tcPr>
          <w:p>
            <w:pPr>
              <w:spacing w:line="500" w:lineRule="exact"/>
              <w:rPr>
                <w:rFonts w:ascii="Times New Roman" w:hAnsi="Times New Roman"/>
                <w:szCs w:val="21"/>
              </w:rPr>
            </w:pPr>
            <w:r>
              <w:rPr>
                <w:rFonts w:ascii="Times New Roman" w:hAnsi="Times New Roman" w:cs="Arial"/>
                <w:szCs w:val="21"/>
                <w:lang w:val="en-GB"/>
              </w:rPr>
              <w:sym w:font="Wingdings" w:char="F0A8"/>
            </w:r>
            <w:r>
              <w:rPr>
                <w:rFonts w:ascii="Times New Roman" w:hAnsi="Times New Roman"/>
                <w:szCs w:val="21"/>
              </w:rPr>
              <w:t>5、参与集中的经营者收购境外企业股权或资产的，该境外企业不在中国境内从事经济活动。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5" w:hRule="atLeast"/>
        </w:trPr>
        <w:tc>
          <w:tcPr>
            <w:tcW w:w="1809" w:type="dxa"/>
            <w:vMerge w:val="continue"/>
            <w:shd w:val="clear" w:color="auto" w:fill="D9D9D9"/>
            <w:vAlign w:val="center"/>
          </w:tcPr>
          <w:p>
            <w:pPr>
              <w:spacing w:before="156" w:beforeLines="50" w:after="156" w:afterLines="50" w:line="500" w:lineRule="exact"/>
              <w:rPr>
                <w:rFonts w:ascii="Times New Roman" w:hAnsi="Times New Roman"/>
                <w:szCs w:val="21"/>
              </w:rPr>
            </w:pPr>
          </w:p>
        </w:tc>
        <w:tc>
          <w:tcPr>
            <w:tcW w:w="6550" w:type="dxa"/>
            <w:gridSpan w:val="2"/>
            <w:vAlign w:val="center"/>
          </w:tcPr>
          <w:p>
            <w:pPr>
              <w:spacing w:line="500" w:lineRule="exact"/>
              <w:rPr>
                <w:rFonts w:ascii="Times New Roman" w:hAnsi="Times New Roman"/>
                <w:szCs w:val="21"/>
              </w:rPr>
            </w:pPr>
            <w:r>
              <w:rPr>
                <w:rFonts w:ascii="Times New Roman" w:hAnsi="Times New Roman" w:cs="Arial"/>
                <w:szCs w:val="21"/>
                <w:lang w:val="en-GB"/>
              </w:rPr>
              <w:sym w:font="Wingdings" w:char="F0A8"/>
            </w:r>
            <w:r>
              <w:rPr>
                <w:rFonts w:ascii="Times New Roman" w:hAnsi="Times New Roman"/>
                <w:szCs w:val="21"/>
              </w:rPr>
              <w:t>6、由两个以上的经营者共同控制的合营企业，通过集中被其中一个或一个以上经营者控制。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186" w:hRule="atLeast"/>
        </w:trPr>
        <w:tc>
          <w:tcPr>
            <w:tcW w:w="1809" w:type="dxa"/>
            <w:shd w:val="clear" w:color="auto" w:fill="D9D9D9"/>
            <w:vAlign w:val="center"/>
          </w:tcPr>
          <w:p>
            <w:pPr>
              <w:spacing w:before="156" w:beforeLines="50" w:after="156" w:afterLines="50" w:line="500" w:lineRule="exact"/>
              <w:rPr>
                <w:rFonts w:ascii="Times New Roman" w:hAnsi="Times New Roman"/>
                <w:b/>
                <w:bCs/>
                <w:szCs w:val="21"/>
              </w:rPr>
            </w:pPr>
            <w:r>
              <w:rPr>
                <w:rFonts w:ascii="Times New Roman" w:hAnsi="Times New Roman"/>
                <w:b/>
                <w:bCs/>
                <w:szCs w:val="21"/>
              </w:rPr>
              <w:t>备注</w:t>
            </w:r>
          </w:p>
        </w:tc>
        <w:tc>
          <w:tcPr>
            <w:tcW w:w="6550" w:type="dxa"/>
            <w:gridSpan w:val="2"/>
            <w:vAlign w:val="center"/>
          </w:tcPr>
          <w:p>
            <w:pPr>
              <w:widowControl/>
              <w:snapToGrid w:val="0"/>
              <w:spacing w:before="156" w:beforeLines="50" w:after="156" w:afterLines="50"/>
              <w:rPr>
                <w:rFonts w:ascii="Times New Roman" w:hAnsi="Times New Roman"/>
                <w:szCs w:val="21"/>
              </w:rPr>
            </w:pPr>
            <w:r>
              <w:rPr>
                <w:rFonts w:ascii="Times New Roman" w:hAnsi="Times New Roman"/>
                <w:szCs w:val="21"/>
              </w:rPr>
              <w:t>相关市场及市场份额</w:t>
            </w:r>
          </w:p>
          <w:tbl>
            <w:tblPr>
              <w:tblStyle w:val="10"/>
              <w:tblW w:w="0" w:type="auto"/>
              <w:tblInd w:w="0" w:type="dxa"/>
              <w:tblBorders>
                <w:top w:val="single" w:color="auto" w:sz="4" w:space="0"/>
                <w:left w:val="single" w:color="auto" w:sz="4" w:space="0"/>
                <w:bottom w:val="single" w:color="auto" w:sz="4" w:space="0"/>
                <w:right w:val="single" w:color="auto" w:sz="4" w:space="0"/>
                <w:insideH w:val="single" w:color="auto" w:sz="4" w:space="0"/>
                <w:insideV w:val="single" w:color="auto" w:sz="4" w:space="0"/>
              </w:tblBorders>
              <w:tblLayout w:type="autofit"/>
              <w:tblCellMar>
                <w:top w:w="0" w:type="dxa"/>
                <w:left w:w="108" w:type="dxa"/>
                <w:bottom w:w="0" w:type="dxa"/>
                <w:right w:w="108" w:type="dxa"/>
              </w:tblCellMar>
            </w:tblPr>
            <w:tblGrid>
              <w:gridCol w:w="2045"/>
              <w:gridCol w:w="1726"/>
              <w:gridCol w:w="2553"/>
            </w:tblGrid>
            <w:tr>
              <w:tblPrEx>
                <w:tblBorders>
                  <w:top w:val="single" w:color="auto" w:sz="4" w:space="0"/>
                  <w:left w:val="single" w:color="auto" w:sz="4" w:space="0"/>
                  <w:bottom w:val="single" w:color="auto" w:sz="4" w:space="0"/>
                  <w:right w:val="single" w:color="auto" w:sz="4" w:space="0"/>
                  <w:insideH w:val="single" w:color="auto" w:sz="4" w:space="0"/>
                  <w:insideV w:val="single" w:color="auto" w:sz="4" w:space="0"/>
                </w:tblBorders>
                <w:tblCellMar>
                  <w:top w:w="0" w:type="dxa"/>
                  <w:left w:w="108" w:type="dxa"/>
                  <w:bottom w:w="0" w:type="dxa"/>
                  <w:right w:w="108" w:type="dxa"/>
                </w:tblCellMar>
              </w:tblPrEx>
              <w:tc>
                <w:tcPr>
                  <w:tcW w:w="2190" w:type="dxa"/>
                  <w:shd w:val="clear" w:color="auto" w:fill="D8D8D8" w:themeFill="background1" w:themeFillShade="D9"/>
                </w:tcPr>
                <w:p>
                  <w:pPr>
                    <w:snapToGrid w:val="0"/>
                    <w:spacing w:before="156" w:beforeLines="50" w:after="156" w:afterLines="50"/>
                    <w:rPr>
                      <w:rFonts w:ascii="Times New Roman" w:hAnsi="Times New Roman"/>
                      <w:b/>
                      <w:bCs/>
                      <w:szCs w:val="21"/>
                    </w:rPr>
                  </w:pPr>
                  <w:r>
                    <w:rPr>
                      <w:rFonts w:ascii="Times New Roman" w:hAnsi="Times New Roman"/>
                      <w:b/>
                      <w:bCs/>
                      <w:szCs w:val="21"/>
                    </w:rPr>
                    <w:t>相关商品市场</w:t>
                  </w:r>
                </w:p>
              </w:tc>
              <w:tc>
                <w:tcPr>
                  <w:tcW w:w="1843" w:type="dxa"/>
                  <w:shd w:val="clear" w:color="auto" w:fill="D8D8D8" w:themeFill="background1" w:themeFillShade="D9"/>
                </w:tcPr>
                <w:p>
                  <w:pPr>
                    <w:snapToGrid w:val="0"/>
                    <w:spacing w:before="156" w:beforeLines="50" w:after="156" w:afterLines="50"/>
                    <w:rPr>
                      <w:rFonts w:ascii="Times New Roman" w:hAnsi="Times New Roman"/>
                      <w:b/>
                      <w:bCs/>
                      <w:szCs w:val="21"/>
                    </w:rPr>
                  </w:pPr>
                  <w:r>
                    <w:rPr>
                      <w:rFonts w:ascii="Times New Roman" w:hAnsi="Times New Roman"/>
                      <w:b/>
                      <w:bCs/>
                      <w:szCs w:val="21"/>
                    </w:rPr>
                    <w:t>相关地域市场</w:t>
                  </w:r>
                </w:p>
              </w:tc>
              <w:tc>
                <w:tcPr>
                  <w:tcW w:w="2690" w:type="dxa"/>
                  <w:shd w:val="clear" w:color="auto" w:fill="D8D8D8" w:themeFill="background1" w:themeFillShade="D9"/>
                </w:tcPr>
                <w:p>
                  <w:pPr>
                    <w:snapToGrid w:val="0"/>
                    <w:spacing w:before="156" w:beforeLines="50" w:after="156" w:afterLines="50"/>
                    <w:rPr>
                      <w:rFonts w:ascii="Times New Roman" w:hAnsi="Times New Roman"/>
                      <w:b/>
                      <w:bCs/>
                      <w:szCs w:val="21"/>
                    </w:rPr>
                  </w:pPr>
                  <w:r>
                    <w:rPr>
                      <w:rFonts w:ascii="Times New Roman" w:hAnsi="Times New Roman"/>
                      <w:b/>
                      <w:bCs/>
                      <w:szCs w:val="21"/>
                    </w:rPr>
                    <w:t>市场份额数据</w:t>
                  </w:r>
                </w:p>
              </w:tc>
            </w:tr>
            <w:tr>
              <w:tblPrEx>
                <w:tblBorders>
                  <w:top w:val="single" w:color="auto" w:sz="4" w:space="0"/>
                  <w:left w:val="single" w:color="auto" w:sz="4" w:space="0"/>
                  <w:bottom w:val="single" w:color="auto" w:sz="4" w:space="0"/>
                  <w:right w:val="single" w:color="auto" w:sz="4" w:space="0"/>
                  <w:insideH w:val="single" w:color="auto" w:sz="4" w:space="0"/>
                  <w:insideV w:val="single" w:color="auto" w:sz="4" w:space="0"/>
                </w:tblBorders>
                <w:tblCellMar>
                  <w:top w:w="0" w:type="dxa"/>
                  <w:left w:w="108" w:type="dxa"/>
                  <w:bottom w:w="0" w:type="dxa"/>
                  <w:right w:w="108" w:type="dxa"/>
                </w:tblCellMar>
              </w:tblPrEx>
              <w:tc>
                <w:tcPr>
                  <w:tcW w:w="2190" w:type="dxa"/>
                </w:tcPr>
                <w:p>
                  <w:pPr>
                    <w:snapToGrid w:val="0"/>
                    <w:rPr>
                      <w:rFonts w:ascii="Times New Roman" w:hAnsi="Times New Roman"/>
                      <w:szCs w:val="21"/>
                    </w:rPr>
                  </w:pPr>
                  <w:r>
                    <w:rPr>
                      <w:rFonts w:hint="eastAsia" w:ascii="Times New Roman" w:hAnsi="Times New Roman"/>
                      <w:szCs w:val="21"/>
                    </w:rPr>
                    <w:t>大气气体现场/管道供应市场</w:t>
                  </w:r>
                </w:p>
              </w:tc>
              <w:tc>
                <w:tcPr>
                  <w:tcW w:w="1843" w:type="dxa"/>
                </w:tcPr>
                <w:p>
                  <w:pPr>
                    <w:snapToGrid w:val="0"/>
                    <w:rPr>
                      <w:rFonts w:ascii="Times New Roman" w:hAnsi="Times New Roman"/>
                      <w:szCs w:val="21"/>
                    </w:rPr>
                  </w:pPr>
                  <w:r>
                    <w:rPr>
                      <w:rFonts w:hint="eastAsia" w:ascii="Times New Roman" w:hAnsi="Times New Roman"/>
                      <w:szCs w:val="21"/>
                    </w:rPr>
                    <w:t>中国境内</w:t>
                  </w:r>
                </w:p>
              </w:tc>
              <w:tc>
                <w:tcPr>
                  <w:tcW w:w="2690" w:type="dxa"/>
                </w:tcPr>
                <w:p>
                  <w:pPr>
                    <w:snapToGrid w:val="0"/>
                    <w:rPr>
                      <w:rFonts w:ascii="Times New Roman" w:hAnsi="Times New Roman"/>
                      <w:szCs w:val="21"/>
                    </w:rPr>
                  </w:pPr>
                  <w:r>
                    <w:rPr>
                      <w:rFonts w:hint="eastAsia" w:ascii="Times New Roman" w:hAnsi="Times New Roman"/>
                      <w:szCs w:val="21"/>
                    </w:rPr>
                    <w:t>空气产品：[</w:t>
                  </w:r>
                  <w:r>
                    <w:rPr>
                      <w:rFonts w:ascii="Times New Roman" w:hAnsi="Times New Roman"/>
                      <w:szCs w:val="21"/>
                    </w:rPr>
                    <w:t>10-15]%</w:t>
                  </w:r>
                </w:p>
                <w:p>
                  <w:pPr>
                    <w:snapToGrid w:val="0"/>
                    <w:rPr>
                      <w:rFonts w:ascii="Times New Roman" w:hAnsi="Times New Roman"/>
                      <w:szCs w:val="21"/>
                    </w:rPr>
                  </w:pPr>
                  <w:r>
                    <w:rPr>
                      <w:rFonts w:hint="eastAsia" w:ascii="Times New Roman" w:hAnsi="Times New Roman"/>
                      <w:szCs w:val="21"/>
                    </w:rPr>
                    <w:t>合营企业：0</w:t>
                  </w:r>
                </w:p>
              </w:tc>
            </w:tr>
            <w:tr>
              <w:tblPrEx>
                <w:tblBorders>
                  <w:top w:val="single" w:color="auto" w:sz="4" w:space="0"/>
                  <w:left w:val="single" w:color="auto" w:sz="4" w:space="0"/>
                  <w:bottom w:val="single" w:color="auto" w:sz="4" w:space="0"/>
                  <w:right w:val="single" w:color="auto" w:sz="4" w:space="0"/>
                  <w:insideH w:val="single" w:color="auto" w:sz="4" w:space="0"/>
                  <w:insideV w:val="single" w:color="auto" w:sz="4" w:space="0"/>
                </w:tblBorders>
                <w:tblCellMar>
                  <w:top w:w="0" w:type="dxa"/>
                  <w:left w:w="108" w:type="dxa"/>
                  <w:bottom w:w="0" w:type="dxa"/>
                  <w:right w:w="108" w:type="dxa"/>
                </w:tblCellMar>
              </w:tblPrEx>
              <w:tc>
                <w:tcPr>
                  <w:tcW w:w="2190" w:type="dxa"/>
                </w:tcPr>
                <w:p>
                  <w:pPr>
                    <w:snapToGrid w:val="0"/>
                    <w:rPr>
                      <w:rFonts w:ascii="Times New Roman" w:hAnsi="Times New Roman"/>
                      <w:szCs w:val="21"/>
                    </w:rPr>
                  </w:pPr>
                  <w:r>
                    <w:rPr>
                      <w:rFonts w:hint="eastAsia" w:ascii="Times New Roman" w:hAnsi="Times New Roman"/>
                      <w:szCs w:val="21"/>
                    </w:rPr>
                    <w:t>粗钢</w:t>
                  </w:r>
                  <w:bookmarkStart w:id="2" w:name="_GoBack"/>
                  <w:bookmarkEnd w:id="2"/>
                  <w:r>
                    <w:rPr>
                      <w:rFonts w:hint="eastAsia" w:ascii="Times New Roman" w:hAnsi="Times New Roman"/>
                      <w:szCs w:val="21"/>
                    </w:rPr>
                    <w:t>市场</w:t>
                  </w:r>
                </w:p>
              </w:tc>
              <w:tc>
                <w:tcPr>
                  <w:tcW w:w="1843" w:type="dxa"/>
                </w:tcPr>
                <w:p>
                  <w:pPr>
                    <w:snapToGrid w:val="0"/>
                    <w:rPr>
                      <w:rFonts w:ascii="Times New Roman" w:hAnsi="Times New Roman"/>
                      <w:szCs w:val="21"/>
                    </w:rPr>
                  </w:pPr>
                  <w:r>
                    <w:rPr>
                      <w:rFonts w:hint="eastAsia" w:ascii="Times New Roman" w:hAnsi="Times New Roman"/>
                      <w:szCs w:val="21"/>
                    </w:rPr>
                    <w:t>中国境内</w:t>
                  </w:r>
                </w:p>
              </w:tc>
              <w:tc>
                <w:tcPr>
                  <w:tcW w:w="2690" w:type="dxa"/>
                </w:tcPr>
                <w:p>
                  <w:pPr>
                    <w:snapToGrid w:val="0"/>
                    <w:rPr>
                      <w:rFonts w:ascii="Times New Roman" w:hAnsi="Times New Roman"/>
                      <w:szCs w:val="21"/>
                    </w:rPr>
                  </w:pPr>
                  <w:r>
                    <w:rPr>
                      <w:rFonts w:hint="eastAsia" w:ascii="Times New Roman" w:hAnsi="Times New Roman"/>
                      <w:szCs w:val="21"/>
                    </w:rPr>
                    <w:t>鞍钢集团：[</w:t>
                  </w:r>
                  <w:r>
                    <w:rPr>
                      <w:rFonts w:ascii="Times New Roman" w:hAnsi="Times New Roman"/>
                      <w:szCs w:val="21"/>
                    </w:rPr>
                    <w:t>5</w:t>
                  </w:r>
                  <w:r>
                    <w:rPr>
                      <w:rFonts w:hint="eastAsia" w:ascii="Times New Roman" w:hAnsi="Times New Roman"/>
                      <w:szCs w:val="21"/>
                    </w:rPr>
                    <w:t>-</w:t>
                  </w:r>
                  <w:r>
                    <w:rPr>
                      <w:rFonts w:ascii="Times New Roman" w:hAnsi="Times New Roman"/>
                      <w:szCs w:val="21"/>
                    </w:rPr>
                    <w:t>10]%</w:t>
                  </w:r>
                </w:p>
              </w:tc>
            </w:tr>
          </w:tbl>
          <w:p>
            <w:pPr>
              <w:widowControl/>
              <w:snapToGrid w:val="0"/>
              <w:spacing w:before="156" w:beforeLines="50" w:after="156" w:afterLines="50"/>
              <w:ind w:left="420"/>
              <w:rPr>
                <w:rFonts w:ascii="Times New Roman" w:hAnsi="Times New Roman"/>
                <w:szCs w:val="21"/>
              </w:rPr>
            </w:pPr>
          </w:p>
        </w:tc>
      </w:tr>
    </w:tbl>
    <w:p>
      <w:pPr>
        <w:snapToGrid w:val="0"/>
        <w:spacing w:line="240" w:lineRule="exact"/>
        <w:jc w:val="left"/>
        <w:rPr>
          <w:rFonts w:ascii="Times New Roman" w:hAnsi="Times New Roman"/>
          <w:sz w:val="28"/>
          <w:szCs w:val="28"/>
        </w:rPr>
      </w:pPr>
    </w:p>
    <w:sectPr>
      <w:footerReference r:id="rId3" w:type="default"/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PMingLiU">
    <w:altName w:val="Microsoft JhengHei UI"/>
    <w:panose1 w:val="02010601000101010101"/>
    <w:charset w:val="88"/>
    <w:family w:val="roman"/>
    <w:pitch w:val="default"/>
    <w:sig w:usb0="00000000" w:usb1="00000000" w:usb2="00000016" w:usb3="00000000" w:csb0="00100001" w:csb1="00000000"/>
  </w:font>
  <w:font w:name="Times">
    <w:altName w:val="Times New Roman"/>
    <w:panose1 w:val="02020603050405020304"/>
    <w:charset w:val="00"/>
    <w:family w:val="roman"/>
    <w:pitch w:val="default"/>
    <w:sig w:usb0="00000000" w:usb1="00000000" w:usb2="00000009" w:usb3="00000000" w:csb0="000001FF" w:csb1="00000000"/>
  </w:font>
  <w:font w:name="Arial">
    <w:panose1 w:val="020B0604020202020204"/>
    <w:charset w:val="00"/>
    <w:family w:val="swiss"/>
    <w:pitch w:val="default"/>
    <w:sig w:usb0="E0002EFF" w:usb1="C000785B" w:usb2="00000009" w:usb3="00000000" w:csb0="400001FF" w:csb1="FFFF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sdt>
    <w:sdtPr>
      <w:id w:val="889376438"/>
      <w:docPartObj>
        <w:docPartGallery w:val="AutoText"/>
      </w:docPartObj>
    </w:sdtPr>
    <w:sdtEndPr>
      <w:rPr>
        <w:rFonts w:ascii="Times New Roman" w:hAnsi="Times New Roman"/>
      </w:rPr>
    </w:sdtEndPr>
    <w:sdtContent>
      <w:sdt>
        <w:sdtPr>
          <w:id w:val="1728636285"/>
          <w:docPartObj>
            <w:docPartGallery w:val="AutoText"/>
          </w:docPartObj>
        </w:sdtPr>
        <w:sdtEndPr>
          <w:rPr>
            <w:rFonts w:ascii="Times New Roman" w:hAnsi="Times New Roman"/>
          </w:rPr>
        </w:sdtEndPr>
        <w:sdtContent>
          <w:p>
            <w:pPr>
              <w:pStyle w:val="5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  <w:lang w:val="zh-CN"/>
              </w:rPr>
              <w:t xml:space="preserve"> </w:t>
            </w:r>
            <w:r>
              <w:rPr>
                <w:rFonts w:ascii="Times New Roman" w:hAnsi="Times New Roman"/>
                <w:b/>
                <w:bCs/>
                <w:sz w:val="24"/>
                <w:szCs w:val="24"/>
              </w:rPr>
              <w:fldChar w:fldCharType="begin"/>
            </w:r>
            <w:r>
              <w:rPr>
                <w:rFonts w:ascii="Times New Roman" w:hAnsi="Times New Roman"/>
                <w:b/>
                <w:bCs/>
              </w:rPr>
              <w:instrText xml:space="preserve">PAGE</w:instrText>
            </w:r>
            <w:r>
              <w:rPr>
                <w:rFonts w:ascii="Times New Roman" w:hAnsi="Times New Roman"/>
                <w:b/>
                <w:bCs/>
                <w:sz w:val="24"/>
                <w:szCs w:val="24"/>
              </w:rPr>
              <w:fldChar w:fldCharType="separate"/>
            </w:r>
            <w:r>
              <w:rPr>
                <w:rFonts w:ascii="Times New Roman" w:hAnsi="Times New Roman"/>
                <w:b/>
                <w:bCs/>
                <w:lang w:val="zh-CN"/>
              </w:rPr>
              <w:t>2</w:t>
            </w:r>
            <w:r>
              <w:rPr>
                <w:rFonts w:ascii="Times New Roman" w:hAnsi="Times New Roman"/>
                <w:b/>
                <w:bCs/>
                <w:sz w:val="24"/>
                <w:szCs w:val="24"/>
              </w:rPr>
              <w:fldChar w:fldCharType="end"/>
            </w:r>
            <w:r>
              <w:rPr>
                <w:rFonts w:ascii="Times New Roman" w:hAnsi="Times New Roman"/>
                <w:lang w:val="zh-CN"/>
              </w:rPr>
              <w:t xml:space="preserve"> / </w:t>
            </w:r>
            <w:r>
              <w:rPr>
                <w:rFonts w:ascii="Times New Roman" w:hAnsi="Times New Roman"/>
                <w:b/>
                <w:bCs/>
                <w:sz w:val="24"/>
                <w:szCs w:val="24"/>
              </w:rPr>
              <w:fldChar w:fldCharType="begin"/>
            </w:r>
            <w:r>
              <w:rPr>
                <w:rFonts w:ascii="Times New Roman" w:hAnsi="Times New Roman"/>
                <w:b/>
                <w:bCs/>
              </w:rPr>
              <w:instrText xml:space="preserve">NUMPAGES</w:instrText>
            </w:r>
            <w:r>
              <w:rPr>
                <w:rFonts w:ascii="Times New Roman" w:hAnsi="Times New Roman"/>
                <w:b/>
                <w:bCs/>
                <w:sz w:val="24"/>
                <w:szCs w:val="24"/>
              </w:rPr>
              <w:fldChar w:fldCharType="separate"/>
            </w:r>
            <w:r>
              <w:rPr>
                <w:rFonts w:ascii="Times New Roman" w:hAnsi="Times New Roman"/>
                <w:b/>
                <w:bCs/>
                <w:lang w:val="zh-CN"/>
              </w:rPr>
              <w:t>2</w:t>
            </w:r>
            <w:r>
              <w:rPr>
                <w:rFonts w:ascii="Times New Roman" w:hAnsi="Times New Roman"/>
                <w:b/>
                <w:bCs/>
                <w:sz w:val="24"/>
                <w:szCs w:val="24"/>
              </w:rPr>
              <w:fldChar w:fldCharType="end"/>
            </w:r>
          </w:p>
        </w:sdtContent>
      </w:sdt>
    </w:sdtContent>
  </w:sdt>
  <w:p>
    <w:pPr>
      <w:pStyle w:val="5"/>
    </w:pPr>
  </w:p>
</w:ft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1C6A4903"/>
    <w:multiLevelType w:val="multilevel"/>
    <w:tmpl w:val="1C6A4903"/>
    <w:lvl w:ilvl="0" w:tentative="0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entative="0">
      <w:start w:val="1"/>
      <w:numFmt w:val="lowerLetter"/>
      <w:lvlText w:val="%2)"/>
      <w:lvlJc w:val="left"/>
      <w:pPr>
        <w:ind w:left="840" w:hanging="420"/>
      </w:pPr>
    </w:lvl>
    <w:lvl w:ilvl="2" w:tentative="0">
      <w:start w:val="1"/>
      <w:numFmt w:val="lowerRoman"/>
      <w:lvlText w:val="%3."/>
      <w:lvlJc w:val="right"/>
      <w:pPr>
        <w:ind w:left="1260" w:hanging="420"/>
      </w:pPr>
    </w:lvl>
    <w:lvl w:ilvl="3" w:tentative="0">
      <w:start w:val="1"/>
      <w:numFmt w:val="decimal"/>
      <w:lvlText w:val="%4."/>
      <w:lvlJc w:val="left"/>
      <w:pPr>
        <w:ind w:left="1680" w:hanging="420"/>
      </w:pPr>
    </w:lvl>
    <w:lvl w:ilvl="4" w:tentative="0">
      <w:start w:val="1"/>
      <w:numFmt w:val="lowerLetter"/>
      <w:lvlText w:val="%5)"/>
      <w:lvlJc w:val="left"/>
      <w:pPr>
        <w:ind w:left="2100" w:hanging="420"/>
      </w:pPr>
    </w:lvl>
    <w:lvl w:ilvl="5" w:tentative="0">
      <w:start w:val="1"/>
      <w:numFmt w:val="lowerRoman"/>
      <w:lvlText w:val="%6."/>
      <w:lvlJc w:val="right"/>
      <w:pPr>
        <w:ind w:left="2520" w:hanging="420"/>
      </w:pPr>
    </w:lvl>
    <w:lvl w:ilvl="6" w:tentative="0">
      <w:start w:val="1"/>
      <w:numFmt w:val="decimal"/>
      <w:lvlText w:val="%7."/>
      <w:lvlJc w:val="left"/>
      <w:pPr>
        <w:ind w:left="2940" w:hanging="420"/>
      </w:pPr>
    </w:lvl>
    <w:lvl w:ilvl="7" w:tentative="0">
      <w:start w:val="1"/>
      <w:numFmt w:val="lowerLetter"/>
      <w:lvlText w:val="%8)"/>
      <w:lvlJc w:val="left"/>
      <w:pPr>
        <w:ind w:left="3360" w:hanging="420"/>
      </w:pPr>
    </w:lvl>
    <w:lvl w:ilvl="8" w:tentative="0">
      <w:start w:val="1"/>
      <w:numFmt w:val="lowerRoman"/>
      <w:lvlText w:val="%9."/>
      <w:lvlJc w:val="right"/>
      <w:pPr>
        <w:ind w:left="3780" w:hanging="42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bordersDoNotSurroundHeader w:val="1"/>
  <w:bordersDoNotSurroundFooter w:val="1"/>
  <w:hideSpellingErrors/>
  <w:hideGrammaticalErrors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094095"/>
    <w:rsid w:val="00005B69"/>
    <w:rsid w:val="00006080"/>
    <w:rsid w:val="0002587C"/>
    <w:rsid w:val="00045507"/>
    <w:rsid w:val="0005594E"/>
    <w:rsid w:val="00081D94"/>
    <w:rsid w:val="00082738"/>
    <w:rsid w:val="00087D30"/>
    <w:rsid w:val="000917F0"/>
    <w:rsid w:val="00094095"/>
    <w:rsid w:val="000A3CA7"/>
    <w:rsid w:val="000B0EC8"/>
    <w:rsid w:val="000C5BC7"/>
    <w:rsid w:val="000E7FC9"/>
    <w:rsid w:val="00100B60"/>
    <w:rsid w:val="00113543"/>
    <w:rsid w:val="00117B9E"/>
    <w:rsid w:val="00137BCF"/>
    <w:rsid w:val="001417D8"/>
    <w:rsid w:val="00165964"/>
    <w:rsid w:val="0018750E"/>
    <w:rsid w:val="001913F9"/>
    <w:rsid w:val="00192C2C"/>
    <w:rsid w:val="00193065"/>
    <w:rsid w:val="001C1B23"/>
    <w:rsid w:val="001E393B"/>
    <w:rsid w:val="0020313A"/>
    <w:rsid w:val="002128F6"/>
    <w:rsid w:val="002158DC"/>
    <w:rsid w:val="00233AB0"/>
    <w:rsid w:val="00245776"/>
    <w:rsid w:val="00262658"/>
    <w:rsid w:val="00266A6B"/>
    <w:rsid w:val="0029252D"/>
    <w:rsid w:val="002E2C9F"/>
    <w:rsid w:val="002E720A"/>
    <w:rsid w:val="002F2D60"/>
    <w:rsid w:val="00302FE1"/>
    <w:rsid w:val="003048E8"/>
    <w:rsid w:val="003061D7"/>
    <w:rsid w:val="00307976"/>
    <w:rsid w:val="0031093F"/>
    <w:rsid w:val="003145BC"/>
    <w:rsid w:val="00316B15"/>
    <w:rsid w:val="0032355A"/>
    <w:rsid w:val="003C306B"/>
    <w:rsid w:val="003C75D7"/>
    <w:rsid w:val="003D3128"/>
    <w:rsid w:val="003D60DB"/>
    <w:rsid w:val="003F170C"/>
    <w:rsid w:val="004030E1"/>
    <w:rsid w:val="00427074"/>
    <w:rsid w:val="00445F6B"/>
    <w:rsid w:val="00462174"/>
    <w:rsid w:val="004B00C8"/>
    <w:rsid w:val="004B3A56"/>
    <w:rsid w:val="004C2586"/>
    <w:rsid w:val="00507D9C"/>
    <w:rsid w:val="00557102"/>
    <w:rsid w:val="00563A4C"/>
    <w:rsid w:val="00566CC7"/>
    <w:rsid w:val="00574F2D"/>
    <w:rsid w:val="005B533D"/>
    <w:rsid w:val="005C3D32"/>
    <w:rsid w:val="005D1309"/>
    <w:rsid w:val="005D1B7F"/>
    <w:rsid w:val="005F167B"/>
    <w:rsid w:val="005F5FFA"/>
    <w:rsid w:val="006113D3"/>
    <w:rsid w:val="00616F24"/>
    <w:rsid w:val="006300C0"/>
    <w:rsid w:val="006447F2"/>
    <w:rsid w:val="00644C5B"/>
    <w:rsid w:val="0067330C"/>
    <w:rsid w:val="00675286"/>
    <w:rsid w:val="00692DA5"/>
    <w:rsid w:val="006A4D58"/>
    <w:rsid w:val="006A4F76"/>
    <w:rsid w:val="006A5728"/>
    <w:rsid w:val="006B49BF"/>
    <w:rsid w:val="006D0734"/>
    <w:rsid w:val="006E4C68"/>
    <w:rsid w:val="00720227"/>
    <w:rsid w:val="00720679"/>
    <w:rsid w:val="007364E2"/>
    <w:rsid w:val="0074694B"/>
    <w:rsid w:val="00785C5F"/>
    <w:rsid w:val="007A0249"/>
    <w:rsid w:val="007C000E"/>
    <w:rsid w:val="007C7803"/>
    <w:rsid w:val="008010AD"/>
    <w:rsid w:val="0080386C"/>
    <w:rsid w:val="008354FF"/>
    <w:rsid w:val="00841F40"/>
    <w:rsid w:val="0084303C"/>
    <w:rsid w:val="008736FC"/>
    <w:rsid w:val="008750C5"/>
    <w:rsid w:val="008764AD"/>
    <w:rsid w:val="00877D76"/>
    <w:rsid w:val="00885D99"/>
    <w:rsid w:val="008926BD"/>
    <w:rsid w:val="0089745C"/>
    <w:rsid w:val="008A7ED7"/>
    <w:rsid w:val="008C10CC"/>
    <w:rsid w:val="008E166F"/>
    <w:rsid w:val="008F634B"/>
    <w:rsid w:val="00900557"/>
    <w:rsid w:val="009134D0"/>
    <w:rsid w:val="0093344B"/>
    <w:rsid w:val="00942460"/>
    <w:rsid w:val="0095347A"/>
    <w:rsid w:val="009733B4"/>
    <w:rsid w:val="0097529A"/>
    <w:rsid w:val="00997099"/>
    <w:rsid w:val="009A7BF2"/>
    <w:rsid w:val="009B22D1"/>
    <w:rsid w:val="009B5555"/>
    <w:rsid w:val="009C1D9D"/>
    <w:rsid w:val="009C5ACB"/>
    <w:rsid w:val="009E544B"/>
    <w:rsid w:val="009F7FE9"/>
    <w:rsid w:val="00A43A3E"/>
    <w:rsid w:val="00A67610"/>
    <w:rsid w:val="00A73519"/>
    <w:rsid w:val="00A73EC0"/>
    <w:rsid w:val="00A77BD3"/>
    <w:rsid w:val="00AA1A78"/>
    <w:rsid w:val="00AB1BC4"/>
    <w:rsid w:val="00AD646B"/>
    <w:rsid w:val="00AE4C10"/>
    <w:rsid w:val="00AE73A6"/>
    <w:rsid w:val="00B01090"/>
    <w:rsid w:val="00B34D88"/>
    <w:rsid w:val="00B357DC"/>
    <w:rsid w:val="00B60E5E"/>
    <w:rsid w:val="00BA0750"/>
    <w:rsid w:val="00BA16D2"/>
    <w:rsid w:val="00BA4F7F"/>
    <w:rsid w:val="00BA6F07"/>
    <w:rsid w:val="00BA7437"/>
    <w:rsid w:val="00BB2377"/>
    <w:rsid w:val="00BB3798"/>
    <w:rsid w:val="00BB4C43"/>
    <w:rsid w:val="00BC44C2"/>
    <w:rsid w:val="00BC6BEF"/>
    <w:rsid w:val="00BD1E83"/>
    <w:rsid w:val="00BD3D34"/>
    <w:rsid w:val="00BD6EBE"/>
    <w:rsid w:val="00BE148A"/>
    <w:rsid w:val="00BF0D84"/>
    <w:rsid w:val="00BF6C60"/>
    <w:rsid w:val="00BF7F17"/>
    <w:rsid w:val="00C068D5"/>
    <w:rsid w:val="00C20325"/>
    <w:rsid w:val="00C318CE"/>
    <w:rsid w:val="00C52346"/>
    <w:rsid w:val="00C76979"/>
    <w:rsid w:val="00C8184D"/>
    <w:rsid w:val="00C9068E"/>
    <w:rsid w:val="00C97517"/>
    <w:rsid w:val="00CD148B"/>
    <w:rsid w:val="00CD25EE"/>
    <w:rsid w:val="00CD2BEC"/>
    <w:rsid w:val="00D001A9"/>
    <w:rsid w:val="00D21777"/>
    <w:rsid w:val="00D2453A"/>
    <w:rsid w:val="00D370A7"/>
    <w:rsid w:val="00D451A4"/>
    <w:rsid w:val="00D515E7"/>
    <w:rsid w:val="00D73A38"/>
    <w:rsid w:val="00DA3B19"/>
    <w:rsid w:val="00DC70AB"/>
    <w:rsid w:val="00DD222F"/>
    <w:rsid w:val="00DE39D7"/>
    <w:rsid w:val="00DE7DBD"/>
    <w:rsid w:val="00DF4BCE"/>
    <w:rsid w:val="00E11C0D"/>
    <w:rsid w:val="00E25016"/>
    <w:rsid w:val="00E32A0C"/>
    <w:rsid w:val="00E34BA1"/>
    <w:rsid w:val="00E54B29"/>
    <w:rsid w:val="00EB0EE6"/>
    <w:rsid w:val="00EC669A"/>
    <w:rsid w:val="00ED21B1"/>
    <w:rsid w:val="00ED4254"/>
    <w:rsid w:val="00EE2784"/>
    <w:rsid w:val="00EE4AF0"/>
    <w:rsid w:val="00F16269"/>
    <w:rsid w:val="00F234B2"/>
    <w:rsid w:val="00F26A0F"/>
    <w:rsid w:val="00F418F4"/>
    <w:rsid w:val="00F41E5F"/>
    <w:rsid w:val="00F42BAC"/>
    <w:rsid w:val="00F5086B"/>
    <w:rsid w:val="00F87C1F"/>
    <w:rsid w:val="00FD4A2C"/>
    <w:rsid w:val="00FE3C66"/>
    <w:rsid w:val="00FE4CAC"/>
    <w:rsid w:val="00FF2D6D"/>
    <w:rsid w:val="384C407F"/>
  </w:rsids>
  <m:mathPr>
    <m:mathFont m:val="Cambria Math"/>
    <m:brkBin m:val="before"/>
    <m:brkBinSub m:val="--"/>
    <m:smallFrac m:val="1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Calibri" w:hAnsi="Calibri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qFormat="1" w:unhideWhenUsed="0" w:uiPriority="99" w:name="footnote text"/>
    <w:lsdException w:uiPriority="99" w:name="annotation text"/>
    <w:lsdException w:qFormat="1" w:uiPriority="99" w:semiHidden="0" w:name="header"/>
    <w:lsdException w:uiPriority="99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0" w:semiHidden="0" w:name="annotation reference"/>
    <w:lsdException w:uiPriority="99" w:name="line number"/>
    <w:lsdException w:uiPriority="99" w:name="page number"/>
    <w:lsdException w:qFormat="1" w:uiPriority="99" w:name="endnote reference"/>
    <w:lsdException w:qFormat="1"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qFormat="1"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qFormat="1" w:uiPriority="99" w:name="Balloon Text"/>
    <w:lsdException w:qFormat="1" w:unhideWhenUsed="0" w:uiPriority="5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qFormat="1" w:unhideWhenUsed="0" w:uiPriority="34" w:semiHidden="0" w:name="List Paragraph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Calibri" w:hAnsi="Calibri" w:eastAsia="宋体" w:cs="Times New Roman"/>
      <w:kern w:val="2"/>
      <w:sz w:val="21"/>
      <w:szCs w:val="22"/>
      <w:lang w:val="en-US" w:eastAsia="zh-CN" w:bidi="ar-SA"/>
    </w:rPr>
  </w:style>
  <w:style w:type="character" w:default="1" w:styleId="11">
    <w:name w:val="Default Paragraph Font"/>
    <w:semiHidden/>
    <w:unhideWhenUsed/>
    <w:uiPriority w:val="1"/>
  </w:style>
  <w:style w:type="table" w:default="1" w:styleId="9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annotation text"/>
    <w:basedOn w:val="1"/>
    <w:link w:val="22"/>
    <w:semiHidden/>
    <w:unhideWhenUsed/>
    <w:uiPriority w:val="99"/>
    <w:pPr>
      <w:jc w:val="left"/>
    </w:pPr>
  </w:style>
  <w:style w:type="paragraph" w:styleId="3">
    <w:name w:val="endnote text"/>
    <w:basedOn w:val="1"/>
    <w:link w:val="15"/>
    <w:semiHidden/>
    <w:unhideWhenUsed/>
    <w:qFormat/>
    <w:uiPriority w:val="99"/>
    <w:pPr>
      <w:snapToGrid w:val="0"/>
      <w:jc w:val="left"/>
    </w:pPr>
  </w:style>
  <w:style w:type="paragraph" w:styleId="4">
    <w:name w:val="Balloon Text"/>
    <w:basedOn w:val="1"/>
    <w:link w:val="18"/>
    <w:semiHidden/>
    <w:unhideWhenUsed/>
    <w:qFormat/>
    <w:uiPriority w:val="99"/>
    <w:rPr>
      <w:sz w:val="18"/>
      <w:szCs w:val="18"/>
    </w:rPr>
  </w:style>
  <w:style w:type="paragraph" w:styleId="5">
    <w:name w:val="footer"/>
    <w:basedOn w:val="1"/>
    <w:link w:val="17"/>
    <w:unhideWhenUsed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6">
    <w:name w:val="header"/>
    <w:basedOn w:val="1"/>
    <w:link w:val="16"/>
    <w:unhideWhenUsed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7">
    <w:name w:val="footnote text"/>
    <w:basedOn w:val="1"/>
    <w:link w:val="21"/>
    <w:semiHidden/>
    <w:qFormat/>
    <w:uiPriority w:val="99"/>
    <w:pPr>
      <w:snapToGrid w:val="0"/>
      <w:jc w:val="left"/>
    </w:pPr>
    <w:rPr>
      <w:rFonts w:ascii="Times New Roman" w:hAnsi="Times New Roman" w:eastAsia="PMingLiU"/>
      <w:sz w:val="20"/>
      <w:szCs w:val="20"/>
      <w:lang w:eastAsia="zh-TW"/>
    </w:rPr>
  </w:style>
  <w:style w:type="paragraph" w:styleId="8">
    <w:name w:val="annotation subject"/>
    <w:basedOn w:val="2"/>
    <w:next w:val="2"/>
    <w:link w:val="23"/>
    <w:semiHidden/>
    <w:unhideWhenUsed/>
    <w:qFormat/>
    <w:uiPriority w:val="99"/>
    <w:rPr>
      <w:b/>
      <w:bCs/>
    </w:rPr>
  </w:style>
  <w:style w:type="table" w:styleId="10">
    <w:name w:val="Table Grid"/>
    <w:basedOn w:val="9"/>
    <w:qFormat/>
    <w:uiPriority w:val="59"/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  <w:style w:type="character" w:styleId="12">
    <w:name w:val="endnote reference"/>
    <w:semiHidden/>
    <w:unhideWhenUsed/>
    <w:qFormat/>
    <w:uiPriority w:val="99"/>
    <w:rPr>
      <w:vertAlign w:val="superscript"/>
    </w:rPr>
  </w:style>
  <w:style w:type="character" w:styleId="13">
    <w:name w:val="annotation reference"/>
    <w:basedOn w:val="11"/>
    <w:unhideWhenUsed/>
    <w:uiPriority w:val="0"/>
    <w:rPr>
      <w:sz w:val="21"/>
      <w:szCs w:val="21"/>
    </w:rPr>
  </w:style>
  <w:style w:type="character" w:styleId="14">
    <w:name w:val="footnote reference"/>
    <w:semiHidden/>
    <w:unhideWhenUsed/>
    <w:uiPriority w:val="99"/>
    <w:rPr>
      <w:vertAlign w:val="superscript"/>
    </w:rPr>
  </w:style>
  <w:style w:type="character" w:customStyle="1" w:styleId="15">
    <w:name w:val="尾注文本 字符"/>
    <w:basedOn w:val="11"/>
    <w:link w:val="3"/>
    <w:semiHidden/>
    <w:uiPriority w:val="99"/>
  </w:style>
  <w:style w:type="character" w:customStyle="1" w:styleId="16">
    <w:name w:val="页眉 字符"/>
    <w:link w:val="6"/>
    <w:uiPriority w:val="99"/>
    <w:rPr>
      <w:sz w:val="18"/>
      <w:szCs w:val="18"/>
    </w:rPr>
  </w:style>
  <w:style w:type="character" w:customStyle="1" w:styleId="17">
    <w:name w:val="页脚 字符"/>
    <w:link w:val="5"/>
    <w:qFormat/>
    <w:uiPriority w:val="99"/>
    <w:rPr>
      <w:sz w:val="18"/>
      <w:szCs w:val="18"/>
    </w:rPr>
  </w:style>
  <w:style w:type="character" w:customStyle="1" w:styleId="18">
    <w:name w:val="批注框文本 字符"/>
    <w:link w:val="4"/>
    <w:semiHidden/>
    <w:uiPriority w:val="99"/>
    <w:rPr>
      <w:kern w:val="2"/>
      <w:sz w:val="18"/>
      <w:szCs w:val="18"/>
    </w:rPr>
  </w:style>
  <w:style w:type="paragraph" w:customStyle="1" w:styleId="19">
    <w:name w:val="列出段落1"/>
    <w:basedOn w:val="1"/>
    <w:qFormat/>
    <w:uiPriority w:val="34"/>
    <w:pPr>
      <w:ind w:firstLine="420" w:firstLineChars="200"/>
    </w:pPr>
  </w:style>
  <w:style w:type="paragraph" w:styleId="20">
    <w:name w:val="List Paragraph"/>
    <w:basedOn w:val="1"/>
    <w:qFormat/>
    <w:uiPriority w:val="34"/>
    <w:pPr>
      <w:ind w:firstLine="420" w:firstLineChars="200"/>
    </w:pPr>
  </w:style>
  <w:style w:type="character" w:customStyle="1" w:styleId="21">
    <w:name w:val="脚注文本 字符"/>
    <w:link w:val="7"/>
    <w:semiHidden/>
    <w:qFormat/>
    <w:uiPriority w:val="99"/>
    <w:rPr>
      <w:rFonts w:ascii="Times New Roman" w:hAnsi="Times New Roman" w:eastAsia="PMingLiU"/>
      <w:kern w:val="2"/>
      <w:lang w:eastAsia="zh-TW"/>
    </w:rPr>
  </w:style>
  <w:style w:type="character" w:customStyle="1" w:styleId="22">
    <w:name w:val="批注文字 字符"/>
    <w:basedOn w:val="11"/>
    <w:link w:val="2"/>
    <w:semiHidden/>
    <w:qFormat/>
    <w:uiPriority w:val="99"/>
    <w:rPr>
      <w:kern w:val="2"/>
      <w:sz w:val="21"/>
      <w:szCs w:val="22"/>
    </w:rPr>
  </w:style>
  <w:style w:type="character" w:customStyle="1" w:styleId="23">
    <w:name w:val="批注主题 字符"/>
    <w:basedOn w:val="22"/>
    <w:link w:val="8"/>
    <w:semiHidden/>
    <w:qFormat/>
    <w:uiPriority w:val="99"/>
    <w:rPr>
      <w:b/>
      <w:bCs/>
      <w:kern w:val="2"/>
      <w:sz w:val="21"/>
      <w:szCs w:val="22"/>
    </w:rPr>
  </w:style>
</w:style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7" Type="http://schemas.openxmlformats.org/officeDocument/2006/relationships/customXml" Target="../customXml/item2.xml"/><Relationship Id="rId6" Type="http://schemas.openxmlformats.org/officeDocument/2006/relationships/numbering" Target="numbering.xml"/><Relationship Id="rId5" Type="http://schemas.openxmlformats.org/officeDocument/2006/relationships/customXml" Target="../customXml/item1.xml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2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customXml/itemProps2.xml><?xml version="1.0" encoding="utf-8"?>
<ds:datastoreItem xmlns:ds="http://schemas.openxmlformats.org/officeDocument/2006/customXml" ds:itemID="{5B763693-A3FD-4DD1-8691-FA7229CA4225}">
  <ds:schemaRefs/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Company>新日鐵住金株式会社</Company>
  <Pages>2</Pages>
  <Words>152</Words>
  <Characters>870</Characters>
  <Lines>7</Lines>
  <Paragraphs>2</Paragraphs>
  <TotalTime>21</TotalTime>
  <ScaleCrop>false</ScaleCrop>
  <LinksUpToDate>false</LinksUpToDate>
  <CharactersWithSpaces>1020</CharactersWithSpaces>
  <Application>WPS Office_11.1.0.10314_F1E327BC-269C-435d-A152-05C5408002CA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2021-05-07T01:42:00Z</dcterms:created>
  <dc:creator>dell</dc:creator>
  <cp:lastModifiedBy>Administrator</cp:lastModifiedBy>
  <cp:lastPrinted>2017-01-18T07:04:00Z</cp:lastPrinted>
  <dcterms:modified xsi:type="dcterms:W3CDTF">2022-01-30T02:10:57Z</dcterms:modified>
  <cp:revision>11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2052-11.1.0.10314</vt:lpwstr>
  </property>
</Properties>
</file>