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after="0" w:line="620" w:lineRule="exact"/>
        <w:jc w:val="left"/>
        <w:textAlignment w:val="auto"/>
        <w:rPr>
          <w:rFonts w:hint="default" w:ascii="Times New Roman" w:hAnsi="Times New Roman" w:eastAsia="黑体" w:cs="黑体"/>
          <w:snapToGrid w:val="0"/>
          <w:color w:val="auto"/>
          <w:sz w:val="32"/>
          <w:szCs w:val="32"/>
          <w:lang w:val="en-US" w:eastAsia="zh-CN"/>
        </w:rPr>
      </w:pPr>
      <w:bookmarkStart w:id="0" w:name="_GoBack"/>
      <w:bookmarkEnd w:id="0"/>
    </w:p>
    <w:p>
      <w:pPr>
        <w:pStyle w:val="9"/>
        <w:keepNext w:val="0"/>
        <w:keepLines w:val="0"/>
        <w:pageBreakBefore w:val="0"/>
        <w:widowControl w:val="0"/>
        <w:kinsoku/>
        <w:wordWrap/>
        <w:overflowPunct w:val="0"/>
        <w:topLinePunct w:val="0"/>
        <w:autoSpaceDE/>
        <w:autoSpaceDN/>
        <w:bidi w:val="0"/>
        <w:spacing w:after="0" w:line="620" w:lineRule="exact"/>
        <w:jc w:val="center"/>
        <w:textAlignment w:val="auto"/>
        <w:rPr>
          <w:rFonts w:hint="eastAsia"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rPr>
        <w:t>关于《中国标准创新贡献奖管理办法》</w:t>
      </w:r>
    </w:p>
    <w:p>
      <w:pPr>
        <w:pStyle w:val="9"/>
        <w:keepNext w:val="0"/>
        <w:keepLines w:val="0"/>
        <w:pageBreakBefore w:val="0"/>
        <w:widowControl w:val="0"/>
        <w:kinsoku/>
        <w:wordWrap/>
        <w:overflowPunct w:val="0"/>
        <w:topLinePunct w:val="0"/>
        <w:autoSpaceDE/>
        <w:autoSpaceDN/>
        <w:bidi w:val="0"/>
        <w:spacing w:after="0" w:line="620" w:lineRule="exact"/>
        <w:jc w:val="center"/>
        <w:textAlignment w:val="auto"/>
        <w:rPr>
          <w:rFonts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lang w:val="en-US" w:eastAsia="zh-CN"/>
        </w:rPr>
        <w:t>的</w:t>
      </w:r>
      <w:r>
        <w:rPr>
          <w:rFonts w:hint="eastAsia" w:ascii="Times New Roman" w:hAnsi="Times New Roman" w:eastAsia="方正小标宋简体" w:cs="方正小标宋简体"/>
          <w:color w:val="auto"/>
          <w:sz w:val="44"/>
          <w:szCs w:val="44"/>
        </w:rPr>
        <w:t>修订说明</w:t>
      </w:r>
    </w:p>
    <w:p>
      <w:pPr>
        <w:keepNext w:val="0"/>
        <w:keepLines w:val="0"/>
        <w:pageBreakBefore w:val="0"/>
        <w:widowControl w:val="0"/>
        <w:kinsoku/>
        <w:wordWrap/>
        <w:overflowPunct w:val="0"/>
        <w:topLinePunct w:val="0"/>
        <w:autoSpaceDE/>
        <w:autoSpaceDN/>
        <w:bidi w:val="0"/>
        <w:spacing w:after="0" w:line="594" w:lineRule="exact"/>
        <w:ind w:firstLine="628" w:firstLineChars="200"/>
        <w:textAlignment w:val="auto"/>
        <w:rPr>
          <w:rFonts w:hint="eastAsia" w:ascii="Times New Roman" w:hAnsi="Times New Roman" w:eastAsia="黑体" w:cs="Times New Roman"/>
          <w:color w:val="auto"/>
          <w:sz w:val="32"/>
          <w:szCs w:val="32"/>
          <w:lang w:val="en-US" w:eastAsia="zh-CN"/>
        </w:rPr>
      </w:pPr>
      <w:r>
        <w:rPr>
          <w:rFonts w:hint="eastAsia" w:ascii="Times New Roman" w:hAnsi="Times New Roman" w:eastAsia="黑体" w:cs="Times New Roman"/>
          <w:color w:val="auto"/>
          <w:sz w:val="32"/>
          <w:szCs w:val="32"/>
          <w:lang w:val="en-US" w:eastAsia="zh-CN"/>
        </w:rPr>
        <w:t>一、修订必要性</w:t>
      </w:r>
    </w:p>
    <w:p>
      <w:pPr>
        <w:keepNext w:val="0"/>
        <w:keepLines w:val="0"/>
        <w:pageBreakBefore w:val="0"/>
        <w:widowControl w:val="0"/>
        <w:kinsoku/>
        <w:wordWrap/>
        <w:overflowPunct/>
        <w:topLinePunct w:val="0"/>
        <w:autoSpaceDE/>
        <w:autoSpaceDN/>
        <w:bidi w:val="0"/>
        <w:adjustRightInd/>
        <w:snapToGrid/>
        <w:spacing w:after="0" w:line="594" w:lineRule="exact"/>
        <w:ind w:firstLine="628"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s="Times New Roman"/>
          <w:color w:val="auto"/>
          <w:sz w:val="32"/>
          <w:szCs w:val="32"/>
        </w:rPr>
        <w:t>中国标准创新贡献奖于2006年设立，至今已组织开展10届，</w:t>
      </w:r>
      <w:r>
        <w:rPr>
          <w:rFonts w:hint="eastAsia" w:ascii="Times New Roman" w:hAnsi="Times New Roman" w:eastAsia="仿宋_GB2312" w:cs="Times New Roman"/>
          <w:color w:val="auto"/>
          <w:sz w:val="32"/>
          <w:szCs w:val="32"/>
          <w:lang w:eastAsia="zh-CN"/>
        </w:rPr>
        <w:t>经过</w:t>
      </w:r>
      <w:r>
        <w:rPr>
          <w:rFonts w:hint="eastAsia" w:ascii="Times New Roman" w:hAnsi="Times New Roman" w:eastAsia="仿宋_GB2312" w:cs="Times New Roman"/>
          <w:color w:val="auto"/>
          <w:sz w:val="32"/>
          <w:szCs w:val="32"/>
        </w:rPr>
        <w:t>经过10届评审，共有780个标准项目</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22个组织和38名个人获奖，其中3人获终身成就奖（李春田、郎志正、陈君石）</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olor w:val="auto"/>
          <w:sz w:val="32"/>
          <w:szCs w:val="32"/>
        </w:rPr>
        <w:t>标准创新贡献奖获奖项目涉及农业、食品、消费品、装备制造业、能源、环境保护、信息技术、检验检测、公共管理、公共安全、服务业等众多领域，涵盖了我国新型标准体系的各类标准以及我国牵头起草的国际标准。一方面，这些项目的推广和实施，为相关行业高质量发展提供了技术支撑，有的甚至引领我国企业、产品和产业走出国门；另一方面，奖项极大地激发了参与标准化工作的政产学研用等相关方的积极性和创造性，促进科技创新、标准研制、产业发展更加紧密地结合在一起，推动一大批我国自主创新技术制定为标准，提升了我国标准的总体水平，产生了显著的经济、社会和生态效益，为我国经济社会高质量发展提供了有力支撑。</w:t>
      </w:r>
    </w:p>
    <w:p>
      <w:pPr>
        <w:keepNext w:val="0"/>
        <w:keepLines w:val="0"/>
        <w:pageBreakBefore w:val="0"/>
        <w:widowControl w:val="0"/>
        <w:kinsoku/>
        <w:wordWrap/>
        <w:overflowPunct/>
        <w:topLinePunct w:val="0"/>
        <w:autoSpaceDE/>
        <w:autoSpaceDN/>
        <w:bidi w:val="0"/>
        <w:adjustRightInd/>
        <w:snapToGrid/>
        <w:spacing w:after="0" w:line="594" w:lineRule="exact"/>
        <w:ind w:firstLine="628"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与此同时，在历届评奖实践中也暴露出一些问题。一是部分获奖</w:t>
      </w:r>
      <w:r>
        <w:rPr>
          <w:rFonts w:hint="eastAsia" w:ascii="Times New Roman" w:hAnsi="Times New Roman" w:eastAsia="仿宋_GB2312" w:cs="仿宋_GB2312"/>
          <w:color w:val="000000"/>
          <w:kern w:val="0"/>
          <w:sz w:val="32"/>
          <w:szCs w:val="32"/>
        </w:rPr>
        <w:t>项目</w:t>
      </w:r>
      <w:r>
        <w:rPr>
          <w:rFonts w:hint="eastAsia" w:ascii="Times New Roman" w:hAnsi="Times New Roman" w:eastAsia="仿宋_GB2312" w:cs="仿宋_GB2312"/>
          <w:color w:val="000000"/>
          <w:kern w:val="0"/>
          <w:sz w:val="32"/>
          <w:szCs w:val="32"/>
          <w:lang w:eastAsia="zh-CN"/>
        </w:rPr>
        <w:t>产生的社会效应不够，</w:t>
      </w:r>
      <w:r>
        <w:rPr>
          <w:rFonts w:hint="eastAsia" w:ascii="Times New Roman" w:hAnsi="Times New Roman" w:eastAsia="仿宋_GB2312" w:cs="仿宋_GB2312"/>
          <w:color w:val="000000"/>
          <w:kern w:val="0"/>
          <w:sz w:val="32"/>
          <w:szCs w:val="32"/>
        </w:rPr>
        <w:t>与社会</w:t>
      </w:r>
      <w:r>
        <w:rPr>
          <w:rFonts w:hint="eastAsia" w:ascii="Times New Roman" w:hAnsi="Times New Roman" w:eastAsia="仿宋_GB2312" w:cs="仿宋_GB2312"/>
          <w:color w:val="000000"/>
          <w:kern w:val="0"/>
          <w:sz w:val="32"/>
          <w:szCs w:val="32"/>
          <w:lang w:eastAsia="zh-CN"/>
        </w:rPr>
        <w:t>各界关注的</w:t>
      </w:r>
      <w:r>
        <w:rPr>
          <w:rFonts w:hint="eastAsia" w:ascii="Times New Roman" w:hAnsi="Times New Roman" w:eastAsia="仿宋_GB2312" w:cs="仿宋_GB2312"/>
          <w:color w:val="000000"/>
          <w:kern w:val="0"/>
          <w:sz w:val="32"/>
          <w:szCs w:val="32"/>
        </w:rPr>
        <w:t>热点</w:t>
      </w:r>
      <w:r>
        <w:rPr>
          <w:rFonts w:hint="eastAsia" w:ascii="Times New Roman" w:hAnsi="Times New Roman" w:eastAsia="仿宋_GB2312" w:cs="仿宋_GB2312"/>
          <w:color w:val="000000"/>
          <w:kern w:val="0"/>
          <w:sz w:val="32"/>
          <w:szCs w:val="32"/>
          <w:lang w:eastAsia="zh-CN"/>
        </w:rPr>
        <w:t>焦点问题</w:t>
      </w:r>
      <w:r>
        <w:rPr>
          <w:rFonts w:hint="eastAsia" w:ascii="Times New Roman" w:hAnsi="Times New Roman" w:eastAsia="仿宋_GB2312" w:cs="仿宋_GB2312"/>
          <w:color w:val="000000"/>
          <w:kern w:val="0"/>
          <w:sz w:val="32"/>
          <w:szCs w:val="32"/>
        </w:rPr>
        <w:t>和消费者需求</w:t>
      </w:r>
      <w:r>
        <w:rPr>
          <w:rFonts w:hint="eastAsia" w:ascii="Times New Roman" w:hAnsi="Times New Roman" w:eastAsia="仿宋_GB2312" w:cs="仿宋_GB2312"/>
          <w:color w:val="000000"/>
          <w:kern w:val="0"/>
          <w:sz w:val="32"/>
          <w:szCs w:val="32"/>
          <w:lang w:eastAsia="zh-CN"/>
        </w:rPr>
        <w:t>的匹配度不够。</w:t>
      </w:r>
      <w:r>
        <w:rPr>
          <w:rFonts w:hint="eastAsia" w:ascii="Times New Roman" w:hAnsi="Times New Roman" w:eastAsia="仿宋_GB2312" w:cs="Times New Roman"/>
          <w:color w:val="auto"/>
          <w:sz w:val="32"/>
          <w:szCs w:val="32"/>
          <w:lang w:eastAsia="zh-CN"/>
        </w:rPr>
        <w:t>二是评审制度设计有待进一步完善，特别是在</w:t>
      </w:r>
      <w:r>
        <w:rPr>
          <w:rFonts w:hint="eastAsia" w:ascii="Times New Roman" w:hAnsi="Times New Roman" w:eastAsia="仿宋_GB2312" w:cs="Times New Roman"/>
          <w:color w:val="auto"/>
          <w:sz w:val="32"/>
          <w:szCs w:val="32"/>
        </w:rPr>
        <w:t>2020年评选</w:t>
      </w:r>
      <w:r>
        <w:rPr>
          <w:rFonts w:hint="eastAsia" w:ascii="Times New Roman" w:hAnsi="Times New Roman" w:eastAsia="仿宋_GB2312" w:cs="Times New Roman"/>
          <w:color w:val="auto"/>
          <w:sz w:val="32"/>
          <w:szCs w:val="32"/>
          <w:lang w:eastAsia="zh-CN"/>
        </w:rPr>
        <w:t>过程中</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出现个别专家参与起草的多个标准项目获奖。三是评奖工作支撑机构参与评奖，引发社会舆论关注。</w:t>
      </w:r>
    </w:p>
    <w:p>
      <w:pPr>
        <w:keepNext w:val="0"/>
        <w:keepLines w:val="0"/>
        <w:pageBreakBefore w:val="0"/>
        <w:widowControl w:val="0"/>
        <w:kinsoku/>
        <w:wordWrap/>
        <w:overflowPunct/>
        <w:topLinePunct w:val="0"/>
        <w:autoSpaceDE/>
        <w:autoSpaceDN/>
        <w:bidi w:val="0"/>
        <w:adjustRightInd/>
        <w:snapToGrid/>
        <w:spacing w:after="0" w:line="594" w:lineRule="exact"/>
        <w:ind w:firstLine="628"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鉴于以上情况，按照</w:t>
      </w:r>
      <w:r>
        <w:rPr>
          <w:rFonts w:hint="eastAsia" w:ascii="Times New Roman" w:hAnsi="Times New Roman" w:eastAsia="仿宋_GB2312" w:cs="Times New Roman"/>
          <w:color w:val="auto"/>
          <w:sz w:val="32"/>
          <w:szCs w:val="32"/>
        </w:rPr>
        <w:t>总局领导和纪检监察组关于突出标准创新贡献奖的创新性、公正性、透明度、导向性，以及提升社会效应的指示要求，</w:t>
      </w:r>
      <w:r>
        <w:rPr>
          <w:rFonts w:hint="eastAsia" w:ascii="Times New Roman" w:hAnsi="Times New Roman" w:eastAsia="仿宋_GB2312" w:cs="Times New Roman"/>
          <w:color w:val="auto"/>
          <w:sz w:val="32"/>
          <w:szCs w:val="32"/>
          <w:lang w:eastAsia="zh-CN"/>
        </w:rPr>
        <w:t>并参照</w:t>
      </w:r>
      <w:r>
        <w:rPr>
          <w:rFonts w:hint="eastAsia" w:ascii="Times New Roman" w:hAnsi="Times New Roman" w:eastAsia="仿宋_GB2312" w:cs="Times New Roman"/>
          <w:color w:val="auto"/>
          <w:sz w:val="32"/>
          <w:szCs w:val="32"/>
          <w:lang w:val="en-US" w:eastAsia="zh-CN"/>
        </w:rPr>
        <w:t>国家科学技术奖励由“推荐制”改为“提名制”的最新实践，</w:t>
      </w:r>
      <w:r>
        <w:rPr>
          <w:rFonts w:hint="eastAsia" w:ascii="Times New Roman" w:hAnsi="Times New Roman" w:eastAsia="仿宋_GB2312" w:cs="Times New Roman"/>
          <w:color w:val="auto"/>
          <w:sz w:val="32"/>
          <w:szCs w:val="32"/>
        </w:rPr>
        <w:t>我司组织国家标准</w:t>
      </w:r>
      <w:r>
        <w:rPr>
          <w:rFonts w:hint="eastAsia" w:ascii="Times New Roman" w:hAnsi="Times New Roman" w:eastAsia="仿宋_GB2312" w:cs="Times New Roman"/>
          <w:color w:val="auto"/>
          <w:sz w:val="32"/>
          <w:szCs w:val="32"/>
          <w:lang w:eastAsia="zh-CN"/>
        </w:rPr>
        <w:t>技术</w:t>
      </w:r>
      <w:r>
        <w:rPr>
          <w:rFonts w:hint="eastAsia" w:ascii="Times New Roman" w:hAnsi="Times New Roman" w:eastAsia="仿宋_GB2312" w:cs="Times New Roman"/>
          <w:color w:val="auto"/>
          <w:sz w:val="32"/>
          <w:szCs w:val="32"/>
        </w:rPr>
        <w:t>审评中心等单位</w:t>
      </w:r>
      <w:r>
        <w:rPr>
          <w:rFonts w:hint="eastAsia" w:ascii="Times New Roman" w:hAnsi="Times New Roman" w:eastAsia="仿宋_GB2312" w:cs="Times New Roman"/>
          <w:color w:val="auto"/>
          <w:sz w:val="32"/>
          <w:szCs w:val="32"/>
          <w:lang w:eastAsia="zh-CN"/>
        </w:rPr>
        <w:t>，针对上述</w:t>
      </w:r>
      <w:r>
        <w:rPr>
          <w:rFonts w:hint="eastAsia" w:ascii="Times New Roman" w:hAnsi="Times New Roman" w:eastAsia="仿宋_GB2312" w:cs="Times New Roman"/>
          <w:color w:val="auto"/>
          <w:sz w:val="32"/>
          <w:szCs w:val="32"/>
        </w:rPr>
        <w:t>问题</w:t>
      </w:r>
      <w:r>
        <w:rPr>
          <w:rFonts w:hint="eastAsia" w:ascii="Times New Roman" w:hAnsi="Times New Roman" w:eastAsia="仿宋_GB2312" w:cs="Times New Roman"/>
          <w:color w:val="auto"/>
          <w:sz w:val="32"/>
          <w:szCs w:val="32"/>
          <w:lang w:eastAsia="zh-CN"/>
        </w:rPr>
        <w:t>进行了调研</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启动了管理办法修订工作，</w:t>
      </w:r>
      <w:r>
        <w:rPr>
          <w:rFonts w:hint="eastAsia" w:ascii="Times New Roman" w:hAnsi="Times New Roman" w:eastAsia="仿宋_GB2312" w:cs="Times New Roman"/>
          <w:color w:val="auto"/>
          <w:sz w:val="32"/>
          <w:szCs w:val="32"/>
        </w:rPr>
        <w:t>更加聚焦“创新性”和“公正性”，</w:t>
      </w:r>
      <w:r>
        <w:rPr>
          <w:rFonts w:hint="eastAsia" w:ascii="Times New Roman" w:hAnsi="Times New Roman" w:eastAsia="仿宋_GB2312" w:cs="Times New Roman"/>
          <w:color w:val="auto"/>
          <w:sz w:val="32"/>
          <w:szCs w:val="32"/>
          <w:lang w:eastAsia="zh-CN"/>
        </w:rPr>
        <w:t>进一步</w:t>
      </w:r>
      <w:r>
        <w:rPr>
          <w:rFonts w:hint="eastAsia" w:ascii="Times New Roman" w:hAnsi="Times New Roman" w:eastAsia="仿宋_GB2312" w:cs="Times New Roman"/>
          <w:color w:val="auto"/>
          <w:sz w:val="32"/>
          <w:szCs w:val="32"/>
        </w:rPr>
        <w:t>完善创新贡献奖评奖制度。</w:t>
      </w:r>
    </w:p>
    <w:p>
      <w:pPr>
        <w:keepNext w:val="0"/>
        <w:keepLines w:val="0"/>
        <w:pageBreakBefore w:val="0"/>
        <w:widowControl w:val="0"/>
        <w:kinsoku/>
        <w:wordWrap/>
        <w:overflowPunct w:val="0"/>
        <w:topLinePunct w:val="0"/>
        <w:autoSpaceDE/>
        <w:autoSpaceDN/>
        <w:bidi w:val="0"/>
        <w:spacing w:after="0" w:line="594" w:lineRule="exact"/>
        <w:ind w:firstLine="628" w:firstLineChars="200"/>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二、修订依据</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修订依据主要有</w:t>
      </w:r>
      <w:r>
        <w:rPr>
          <w:rFonts w:hint="eastAsia" w:ascii="Times New Roman" w:hAnsi="Times New Roman" w:eastAsia="仿宋_GB2312" w:cs="Times New Roman"/>
          <w:color w:val="auto"/>
          <w:sz w:val="32"/>
          <w:szCs w:val="32"/>
          <w:lang w:val="en-US" w:eastAsia="zh-CN"/>
        </w:rPr>
        <w:t>5方面：</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一是党中央、国务院最近印发的《国家标准化发展纲要》要求，对符合条件的重要技术标准按规定给予奖励，激发全社会标准化创新活力。</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二是《中华人民共和国标准化法》第九条规定，对在标准化工作中作出显著成绩的单位和个人，按照国家有关规定给予表彰和奖励。</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三是《全国评比达标表彰工作协调小组关于市场监管总局申报项目的复函》（国评组函〔</w:t>
      </w:r>
      <w:r>
        <w:rPr>
          <w:rFonts w:hint="eastAsia" w:ascii="Times New Roman" w:hAnsi="Times New Roman" w:eastAsia="仿宋_GB2312" w:cs="Times New Roman"/>
          <w:color w:val="auto"/>
          <w:sz w:val="32"/>
          <w:szCs w:val="32"/>
          <w:lang w:val="en-US" w:eastAsia="zh-CN"/>
        </w:rPr>
        <w:t>2019</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41号</w:t>
      </w:r>
      <w:r>
        <w:rPr>
          <w:rFonts w:hint="eastAsia" w:ascii="Times New Roman" w:hAnsi="Times New Roman" w:eastAsia="仿宋_GB2312" w:cs="Times New Roman"/>
          <w:color w:val="auto"/>
          <w:sz w:val="32"/>
          <w:szCs w:val="32"/>
          <w:lang w:eastAsia="zh-CN"/>
        </w:rPr>
        <w:t>）要求，评选表彰要面向基层</w:t>
      </w:r>
      <w:r>
        <w:rPr>
          <w:rFonts w:hint="eastAsia" w:ascii="Times New Roman" w:hAnsi="Times New Roman" w:eastAsia="仿宋_GB2312" w:cs="Times New Roman"/>
          <w:color w:val="auto"/>
          <w:sz w:val="32"/>
          <w:szCs w:val="32"/>
          <w:lang w:val="en-US" w:eastAsia="zh-CN"/>
        </w:rPr>
        <w:t>和工作一线，不评选副司局级或相当于副司局级以上单位和干部，不评选县级以上党委、政府，处级干部比例控制在20%以内</w:t>
      </w:r>
      <w:r>
        <w:rPr>
          <w:rFonts w:hint="eastAsia" w:ascii="Times New Roman" w:hAnsi="Times New Roman" w:eastAsia="仿宋_GB2312" w:cs="Times New Roman"/>
          <w:color w:val="auto"/>
          <w:sz w:val="32"/>
          <w:szCs w:val="32"/>
          <w:lang w:eastAsia="zh-CN"/>
        </w:rPr>
        <w:t>。</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四是《国家市场监督管理总局表彰奖励管理暂行办法》中的关于参评单位和推荐单位的相关要求，比如，《暂行办法》要求，评选机构初审同意后，推荐单位负责对推荐对象征求公安部门意见，对机关事业单位及其工作人员按照管理权限征求组织人事、纪检监察等部门意见；对推荐的企业和企业负责人，还应当征求生态环境、人力资源社会保障、税务、市场监管、应急管理等有关主管部门意见，推荐单位负责在一定范围内公示。</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五是新修订的《国家科学技术奖励条例》中关于提名制的相关规定，比如，新条例明确将现行的推荐制改革为由专家学者、组织机构、相关部门提名的制度，进一步简化提名程序，并要求提名者应具备相应的资格条件，遵守提名规则和程序。建立对提名专家、提名机构的信用管理和动态调整机制。</w:t>
      </w:r>
    </w:p>
    <w:p>
      <w:pPr>
        <w:keepNext w:val="0"/>
        <w:keepLines w:val="0"/>
        <w:pageBreakBefore w:val="0"/>
        <w:widowControl w:val="0"/>
        <w:kinsoku/>
        <w:wordWrap/>
        <w:overflowPunct w:val="0"/>
        <w:topLinePunct w:val="0"/>
        <w:autoSpaceDE/>
        <w:autoSpaceDN/>
        <w:bidi w:val="0"/>
        <w:adjustRightInd w:val="0"/>
        <w:snapToGrid w:val="0"/>
        <w:spacing w:after="0" w:line="594" w:lineRule="exact"/>
        <w:ind w:firstLine="628" w:firstLineChars="200"/>
        <w:textAlignment w:val="auto"/>
        <w:outlineLvl w:val="0"/>
        <w:rPr>
          <w:rFonts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三</w:t>
      </w:r>
      <w:r>
        <w:rPr>
          <w:rFonts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rPr>
        <w:t>修订</w:t>
      </w:r>
      <w:r>
        <w:rPr>
          <w:rFonts w:ascii="Times New Roman" w:hAnsi="Times New Roman" w:eastAsia="黑体" w:cs="Times New Roman"/>
          <w:color w:val="auto"/>
          <w:sz w:val="32"/>
          <w:szCs w:val="32"/>
        </w:rPr>
        <w:t>过程</w:t>
      </w:r>
    </w:p>
    <w:p>
      <w:pPr>
        <w:keepNext w:val="0"/>
        <w:keepLines w:val="0"/>
        <w:pageBreakBefore w:val="0"/>
        <w:widowControl w:val="0"/>
        <w:kinsoku/>
        <w:wordWrap/>
        <w:overflowPunct w:val="0"/>
        <w:topLinePunct w:val="0"/>
        <w:autoSpaceDE/>
        <w:autoSpaceDN/>
        <w:bidi w:val="0"/>
        <w:spacing w:after="0" w:line="594" w:lineRule="exact"/>
        <w:ind w:firstLine="628"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000000"/>
          <w:sz w:val="32"/>
          <w:szCs w:val="32"/>
          <w:lang w:eastAsia="zh-CN"/>
        </w:rPr>
        <w:t>按照规范性文件的制定要求，我司组织</w:t>
      </w:r>
      <w:r>
        <w:rPr>
          <w:rFonts w:hint="eastAsia" w:ascii="Times New Roman" w:hAnsi="Times New Roman" w:eastAsia="仿宋_GB2312" w:cs="Times New Roman"/>
          <w:color w:val="000000"/>
          <w:sz w:val="32"/>
          <w:szCs w:val="32"/>
          <w:lang w:val="en-US" w:eastAsia="zh-CN"/>
        </w:rPr>
        <w:t>国家标准技术审评中心</w:t>
      </w:r>
      <w:r>
        <w:rPr>
          <w:rFonts w:hint="eastAsia" w:ascii="Times New Roman" w:hAnsi="Times New Roman" w:eastAsia="仿宋_GB2312" w:cs="Times New Roman"/>
          <w:color w:val="000000"/>
          <w:sz w:val="32"/>
          <w:szCs w:val="32"/>
          <w:lang w:eastAsia="zh-CN"/>
        </w:rPr>
        <w:t>成立了修订起草组，从</w:t>
      </w:r>
      <w:r>
        <w:rPr>
          <w:rFonts w:hint="eastAsia" w:ascii="Times New Roman" w:hAnsi="Times New Roman" w:eastAsia="仿宋_GB2312" w:cs="Times New Roman"/>
          <w:color w:val="auto"/>
          <w:sz w:val="32"/>
          <w:szCs w:val="32"/>
          <w:lang w:val="en-US" w:eastAsia="zh-CN"/>
        </w:rPr>
        <w:t>2021</w:t>
      </w:r>
      <w:r>
        <w:rPr>
          <w:rFonts w:hint="eastAsia" w:ascii="Times New Roman" w:hAnsi="Times New Roman" w:eastAsia="仿宋_GB2312" w:cs="Times New Roman"/>
          <w:color w:val="000000"/>
          <w:sz w:val="32"/>
          <w:szCs w:val="32"/>
        </w:rPr>
        <w:t>年</w:t>
      </w:r>
      <w:r>
        <w:rPr>
          <w:rFonts w:hint="eastAsia"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000000"/>
          <w:sz w:val="32"/>
          <w:szCs w:val="32"/>
          <w:lang w:eastAsia="zh-CN"/>
        </w:rPr>
        <w:t>月至</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000000"/>
          <w:sz w:val="32"/>
          <w:szCs w:val="32"/>
        </w:rPr>
        <w:t>月，</w:t>
      </w:r>
      <w:r>
        <w:rPr>
          <w:rFonts w:hint="eastAsia" w:ascii="Times New Roman" w:hAnsi="Times New Roman" w:eastAsia="仿宋_GB2312" w:cs="Times New Roman"/>
          <w:color w:val="000000"/>
          <w:sz w:val="32"/>
          <w:szCs w:val="32"/>
          <w:lang w:eastAsia="zh-CN"/>
        </w:rPr>
        <w:t>对</w:t>
      </w:r>
      <w:r>
        <w:rPr>
          <w:rFonts w:hint="eastAsia" w:ascii="Times New Roman" w:hAnsi="Times New Roman" w:eastAsia="仿宋_GB2312" w:cs="Times New Roman"/>
          <w:color w:val="000000"/>
          <w:sz w:val="32"/>
          <w:szCs w:val="32"/>
        </w:rPr>
        <w:t>往届评选工作</w:t>
      </w:r>
      <w:r>
        <w:rPr>
          <w:rFonts w:hint="eastAsia" w:ascii="Times New Roman" w:hAnsi="Times New Roman" w:eastAsia="仿宋_GB2312" w:cs="Times New Roman"/>
          <w:color w:val="000000"/>
          <w:sz w:val="32"/>
          <w:szCs w:val="32"/>
          <w:lang w:eastAsia="zh-CN"/>
        </w:rPr>
        <w:t>进行系统的回顾和</w:t>
      </w:r>
      <w:r>
        <w:rPr>
          <w:rFonts w:hint="eastAsia" w:ascii="Times New Roman" w:hAnsi="Times New Roman" w:eastAsia="仿宋_GB2312" w:cs="Times New Roman"/>
          <w:color w:val="000000"/>
          <w:sz w:val="32"/>
          <w:szCs w:val="32"/>
        </w:rPr>
        <w:t>总结</w:t>
      </w:r>
      <w:r>
        <w:rPr>
          <w:rFonts w:hint="eastAsia" w:ascii="Times New Roman" w:hAnsi="Times New Roman" w:eastAsia="仿宋_GB2312" w:cs="Times New Roman"/>
          <w:color w:val="000000"/>
          <w:sz w:val="32"/>
          <w:szCs w:val="32"/>
          <w:lang w:eastAsia="zh-CN"/>
        </w:rPr>
        <w:t>，调研了其他省部级奖励的评奖管理办法和工作流程，召开座谈会听取熟悉</w:t>
      </w:r>
      <w:r>
        <w:rPr>
          <w:rFonts w:hint="eastAsia" w:ascii="Times New Roman" w:hAnsi="Times New Roman" w:eastAsia="仿宋_GB2312" w:cs="Times New Roman"/>
          <w:color w:val="000000"/>
          <w:sz w:val="32"/>
          <w:szCs w:val="32"/>
        </w:rPr>
        <w:t>创新奖申报、推荐等</w:t>
      </w:r>
      <w:r>
        <w:rPr>
          <w:rFonts w:hint="eastAsia" w:ascii="Times New Roman" w:hAnsi="Times New Roman" w:eastAsia="仿宋_GB2312" w:cs="Times New Roman"/>
          <w:color w:val="000000"/>
          <w:sz w:val="32"/>
          <w:szCs w:val="32"/>
          <w:lang w:eastAsia="zh-CN"/>
        </w:rPr>
        <w:t>工作的政府部门、企事业单位及</w:t>
      </w:r>
      <w:r>
        <w:rPr>
          <w:rFonts w:hint="eastAsia" w:ascii="Times New Roman" w:hAnsi="Times New Roman" w:eastAsia="仿宋_GB2312" w:cs="Times New Roman"/>
          <w:color w:val="000000"/>
          <w:sz w:val="32"/>
          <w:szCs w:val="32"/>
        </w:rPr>
        <w:t>评审专家代表意见。</w:t>
      </w:r>
      <w:r>
        <w:rPr>
          <w:rFonts w:hint="eastAsia" w:ascii="Times New Roman" w:hAnsi="Times New Roman" w:eastAsia="仿宋_GB2312" w:cs="Times New Roman"/>
          <w:color w:val="auto"/>
          <w:sz w:val="32"/>
          <w:szCs w:val="32"/>
          <w:lang w:val="en-US" w:eastAsia="zh-CN"/>
        </w:rPr>
        <w:t>6</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000000"/>
          <w:sz w:val="32"/>
          <w:szCs w:val="32"/>
        </w:rPr>
        <w:t>月</w:t>
      </w:r>
      <w:r>
        <w:rPr>
          <w:rFonts w:hint="eastAsia" w:ascii="Times New Roman" w:hAnsi="Times New Roman" w:eastAsia="仿宋_GB2312" w:cs="Times New Roman"/>
          <w:color w:val="000000"/>
          <w:sz w:val="32"/>
          <w:szCs w:val="32"/>
          <w:lang w:eastAsia="zh-CN"/>
        </w:rPr>
        <w:t>，在前期调研的基础上，完成了《管理办法》修订草案的起草工作。</w:t>
      </w:r>
      <w:r>
        <w:rPr>
          <w:rFonts w:hint="eastAsia" w:ascii="Times New Roman" w:hAnsi="Times New Roman" w:eastAsia="仿宋_GB2312" w:cs="Times New Roman"/>
          <w:color w:val="000000"/>
          <w:sz w:val="32"/>
          <w:szCs w:val="32"/>
          <w:lang w:val="en-US" w:eastAsia="zh-CN"/>
        </w:rPr>
        <w:t>8月底</w:t>
      </w:r>
      <w:r>
        <w:rPr>
          <w:rFonts w:hint="eastAsia" w:ascii="Times New Roman" w:hAnsi="Times New Roman" w:eastAsia="仿宋_GB2312" w:cs="Times New Roman"/>
          <w:color w:val="000000"/>
          <w:sz w:val="32"/>
          <w:szCs w:val="32"/>
          <w:lang w:eastAsia="zh-CN"/>
        </w:rPr>
        <w:t>提交标准创新司司务会审议并原则通过。</w:t>
      </w:r>
      <w:r>
        <w:rPr>
          <w:rFonts w:hint="eastAsia" w:ascii="Times New Roman" w:hAnsi="Times New Roman" w:eastAsia="仿宋_GB2312" w:cs="Times New Roman"/>
          <w:color w:val="000000"/>
          <w:sz w:val="32"/>
          <w:szCs w:val="32"/>
          <w:lang w:val="en-US" w:eastAsia="zh-CN"/>
        </w:rPr>
        <w:t>8月底到9月初，按照司务会意见进行修改完善。9月初至2022年1月，书面征求总局标准技术司和国家标准技术审评中心等单位意见，并进一步修改完善。2022年1月初按程序提交标准委委务会审议。2022年1月中旬征求市场监管总局相关司局意见并进一步修改完善。</w:t>
      </w:r>
    </w:p>
    <w:p>
      <w:pPr>
        <w:pStyle w:val="9"/>
        <w:keepNext w:val="0"/>
        <w:keepLines w:val="0"/>
        <w:pageBreakBefore w:val="0"/>
        <w:widowControl w:val="0"/>
        <w:kinsoku/>
        <w:wordWrap/>
        <w:overflowPunct w:val="0"/>
        <w:topLinePunct w:val="0"/>
        <w:autoSpaceDE/>
        <w:autoSpaceDN/>
        <w:bidi w:val="0"/>
        <w:spacing w:after="0" w:line="594" w:lineRule="exact"/>
        <w:ind w:firstLine="628" w:firstLineChars="200"/>
        <w:textAlignment w:val="auto"/>
        <w:rPr>
          <w:rFonts w:hint="default" w:ascii="Times New Roman" w:hAnsi="Times New Roman" w:eastAsia="方正黑体简体" w:cs="方正黑体简体"/>
          <w:color w:val="auto"/>
          <w:sz w:val="32"/>
          <w:szCs w:val="32"/>
          <w:lang w:val="en-US" w:eastAsia="zh-CN"/>
        </w:rPr>
      </w:pPr>
      <w:r>
        <w:rPr>
          <w:rFonts w:hint="eastAsia" w:ascii="Times New Roman" w:hAnsi="Times New Roman" w:eastAsia="方正黑体简体" w:cs="方正黑体简体"/>
          <w:color w:val="auto"/>
          <w:sz w:val="32"/>
          <w:szCs w:val="32"/>
          <w:lang w:val="en-US" w:eastAsia="zh-CN"/>
        </w:rPr>
        <w:t>四、修订内容</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Times New Roman"/>
          <w:color w:val="000000"/>
          <w:sz w:val="32"/>
          <w:szCs w:val="32"/>
          <w:lang w:val="en-US" w:eastAsia="zh-CN"/>
        </w:rPr>
        <w:t>修订过程中，各方认为创新贡献奖已评选多届，整体程序和要求比较成熟。此次</w:t>
      </w:r>
      <w:r>
        <w:rPr>
          <w:rFonts w:hint="eastAsia" w:ascii="Times New Roman" w:hAnsi="Times New Roman" w:eastAsia="仿宋_GB2312" w:cs="仿宋_GB2312"/>
          <w:color w:val="auto"/>
          <w:sz w:val="32"/>
          <w:szCs w:val="32"/>
          <w:lang w:eastAsia="zh-CN"/>
        </w:rPr>
        <w:t>修订，</w:t>
      </w:r>
      <w:r>
        <w:rPr>
          <w:rFonts w:hint="eastAsia" w:ascii="Times New Roman" w:hAnsi="Times New Roman" w:eastAsia="仿宋_GB2312" w:cs="仿宋_GB2312"/>
          <w:color w:val="auto"/>
          <w:sz w:val="32"/>
          <w:szCs w:val="32"/>
        </w:rPr>
        <w:t>结构上保持不变，仍为九章；条款上由</w:t>
      </w:r>
      <w:r>
        <w:rPr>
          <w:rFonts w:hint="eastAsia" w:ascii="Times New Roman" w:hAnsi="Times New Roman" w:eastAsia="仿宋_GB2312" w:cs="Times New Roman"/>
          <w:color w:val="auto"/>
          <w:sz w:val="32"/>
          <w:szCs w:val="32"/>
          <w:lang w:val="en-US" w:eastAsia="zh-CN"/>
        </w:rPr>
        <w:t>55</w:t>
      </w:r>
      <w:r>
        <w:rPr>
          <w:rFonts w:hint="eastAsia" w:ascii="Times New Roman" w:hAnsi="Times New Roman" w:eastAsia="仿宋_GB2312" w:cs="仿宋_GB2312"/>
          <w:color w:val="auto"/>
          <w:sz w:val="32"/>
          <w:szCs w:val="32"/>
        </w:rPr>
        <w:t>条变为</w:t>
      </w:r>
      <w:r>
        <w:rPr>
          <w:rFonts w:hint="eastAsia" w:ascii="Times New Roman" w:hAnsi="Times New Roman" w:eastAsia="仿宋_GB2312" w:cs="Times New Roman"/>
          <w:color w:val="auto"/>
          <w:sz w:val="32"/>
          <w:szCs w:val="32"/>
          <w:lang w:val="en-US" w:eastAsia="zh-CN"/>
        </w:rPr>
        <w:t>60</w:t>
      </w:r>
      <w:r>
        <w:rPr>
          <w:rFonts w:hint="eastAsia" w:ascii="Times New Roman" w:hAnsi="Times New Roman" w:eastAsia="仿宋_GB2312" w:cs="仿宋_GB2312"/>
          <w:color w:val="auto"/>
          <w:sz w:val="32"/>
          <w:szCs w:val="32"/>
        </w:rPr>
        <w:t>条。</w:t>
      </w:r>
      <w:r>
        <w:rPr>
          <w:rFonts w:hint="eastAsia" w:ascii="Times New Roman" w:hAnsi="Times New Roman" w:eastAsia="仿宋_GB2312" w:cs="仿宋_GB2312"/>
          <w:color w:val="000000"/>
          <w:sz w:val="32"/>
          <w:szCs w:val="32"/>
          <w:lang w:eastAsia="zh-CN"/>
        </w:rPr>
        <w:t>具体来讲</w:t>
      </w:r>
      <w:r>
        <w:rPr>
          <w:rFonts w:hint="eastAsia" w:ascii="Times New Roman" w:hAnsi="Times New Roman" w:eastAsia="仿宋_GB2312" w:cs="仿宋_GB2312"/>
          <w:color w:val="000000"/>
          <w:sz w:val="32"/>
          <w:szCs w:val="32"/>
        </w:rPr>
        <w:t>：</w:t>
      </w:r>
    </w:p>
    <w:p>
      <w:pPr>
        <w:keepNext w:val="0"/>
        <w:keepLines w:val="0"/>
        <w:pageBreakBefore w:val="0"/>
        <w:widowControl w:val="0"/>
        <w:kinsoku/>
        <w:wordWrap/>
        <w:overflowPunct w:val="0"/>
        <w:topLinePunct w:val="0"/>
        <w:autoSpaceDE/>
        <w:autoSpaceDN/>
        <w:bidi w:val="0"/>
        <w:spacing w:after="0" w:line="594" w:lineRule="exact"/>
        <w:ind w:firstLine="628" w:firstLineChars="200"/>
        <w:jc w:val="both"/>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楷体_GB2312"/>
          <w:color w:val="auto"/>
          <w:sz w:val="32"/>
          <w:szCs w:val="32"/>
          <w:lang w:eastAsia="zh-CN"/>
        </w:rPr>
        <w:t>一是将“推荐制”改为“提名制”</w:t>
      </w:r>
      <w:r>
        <w:rPr>
          <w:rFonts w:hint="eastAsia" w:ascii="Times New Roman" w:hAnsi="Times New Roman" w:eastAsia="楷体_GB2312"/>
          <w:color w:val="auto"/>
          <w:sz w:val="32"/>
          <w:szCs w:val="32"/>
        </w:rPr>
        <w:t>。</w:t>
      </w:r>
      <w:r>
        <w:rPr>
          <w:rFonts w:hint="eastAsia" w:ascii="Times New Roman" w:hAnsi="Times New Roman" w:eastAsia="仿宋_GB2312" w:cs="仿宋_GB2312"/>
          <w:color w:val="auto"/>
          <w:sz w:val="32"/>
          <w:szCs w:val="32"/>
          <w:lang w:eastAsia="zh-CN"/>
        </w:rPr>
        <w:t>为充分</w:t>
      </w:r>
      <w:r>
        <w:rPr>
          <w:rFonts w:hint="eastAsia" w:ascii="Times New Roman" w:hAnsi="Times New Roman" w:eastAsia="仿宋_GB2312" w:cs="仿宋_GB2312"/>
          <w:color w:val="auto"/>
          <w:sz w:val="32"/>
          <w:szCs w:val="32"/>
        </w:rPr>
        <w:t>调动</w:t>
      </w:r>
      <w:r>
        <w:rPr>
          <w:rFonts w:hint="eastAsia" w:ascii="Times New Roman" w:hAnsi="Times New Roman" w:eastAsia="仿宋_GB2312" w:cs="仿宋_GB2312"/>
          <w:color w:val="auto"/>
          <w:sz w:val="32"/>
          <w:szCs w:val="32"/>
          <w:lang w:eastAsia="zh-CN"/>
        </w:rPr>
        <w:t>社会各界</w:t>
      </w:r>
      <w:r>
        <w:rPr>
          <w:rFonts w:hint="eastAsia" w:ascii="Times New Roman" w:hAnsi="Times New Roman" w:eastAsia="仿宋_GB2312" w:cs="仿宋_GB2312"/>
          <w:color w:val="auto"/>
          <w:sz w:val="32"/>
          <w:szCs w:val="32"/>
        </w:rPr>
        <w:t>的积极性，</w:t>
      </w:r>
      <w:r>
        <w:rPr>
          <w:rFonts w:hint="eastAsia" w:ascii="Times New Roman" w:hAnsi="Times New Roman" w:eastAsia="仿宋_GB2312" w:cs="仿宋_GB2312"/>
          <w:color w:val="auto"/>
          <w:sz w:val="32"/>
          <w:szCs w:val="32"/>
          <w:lang w:eastAsia="zh-CN"/>
        </w:rPr>
        <w:t>特别是发挥好标准化领域高水平专家的作用，鼓励更多</w:t>
      </w:r>
      <w:r>
        <w:rPr>
          <w:rFonts w:hint="eastAsia" w:ascii="Times New Roman" w:hAnsi="Times New Roman" w:eastAsia="仿宋_GB2312" w:cs="仿宋_GB2312"/>
          <w:color w:val="auto"/>
          <w:sz w:val="32"/>
          <w:szCs w:val="32"/>
        </w:rPr>
        <w:t>创新性突出的标准项目</w:t>
      </w:r>
      <w:r>
        <w:rPr>
          <w:rFonts w:hint="eastAsia" w:ascii="Times New Roman" w:hAnsi="Times New Roman" w:eastAsia="仿宋_GB2312" w:cs="仿宋_GB2312"/>
          <w:color w:val="auto"/>
          <w:sz w:val="32"/>
          <w:szCs w:val="32"/>
          <w:lang w:eastAsia="zh-CN"/>
        </w:rPr>
        <w:t>参评，本次修订借鉴国家科学技术奖励等奖项做法，将“推荐制”改为“提名制”。涉及</w:t>
      </w:r>
      <w:r>
        <w:rPr>
          <w:rFonts w:hint="default" w:ascii="Times New Roman" w:hAnsi="Times New Roman" w:eastAsia="仿宋_GB2312" w:cs="Times New Roman"/>
          <w:color w:val="auto"/>
          <w:sz w:val="32"/>
          <w:szCs w:val="32"/>
        </w:rPr>
        <w:t>第</w:t>
      </w:r>
      <w:r>
        <w:rPr>
          <w:rFonts w:hint="default" w:ascii="Times New Roman" w:hAnsi="Times New Roman" w:eastAsia="仿宋_GB2312" w:cs="Times New Roman"/>
          <w:color w:val="auto"/>
          <w:sz w:val="32"/>
          <w:szCs w:val="32"/>
          <w:lang w:val="en-US" w:eastAsia="zh-CN"/>
        </w:rPr>
        <w:t>5、9、21</w:t>
      </w:r>
      <w:r>
        <w:rPr>
          <w:rFonts w:hint="eastAsia" w:ascii="Times New Roman" w:hAnsi="Times New Roman" w:eastAsia="仿宋_GB2312" w:cs="仿宋_GB2312"/>
          <w:color w:val="auto"/>
          <w:sz w:val="32"/>
          <w:szCs w:val="32"/>
          <w:lang w:val="en-US" w:eastAsia="zh-CN"/>
        </w:rPr>
        <w:t>-</w:t>
      </w:r>
      <w:r>
        <w:rPr>
          <w:rFonts w:hint="default" w:ascii="Times New Roman" w:hAnsi="Times New Roman" w:eastAsia="仿宋_GB2312" w:cs="Times New Roman"/>
          <w:color w:val="auto"/>
          <w:sz w:val="32"/>
          <w:szCs w:val="32"/>
          <w:lang w:val="en-US" w:eastAsia="zh-CN"/>
        </w:rPr>
        <w:t>28</w:t>
      </w:r>
      <w:r>
        <w:rPr>
          <w:rFonts w:hint="eastAsia" w:ascii="Times New Roman" w:hAnsi="Times New Roman" w:eastAsia="仿宋_GB2312" w:cs="仿宋_GB2312"/>
          <w:color w:val="auto"/>
          <w:sz w:val="32"/>
          <w:szCs w:val="32"/>
          <w:lang w:eastAsia="zh-CN"/>
        </w:rPr>
        <w:t>条等</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比如，第</w:t>
      </w:r>
      <w:r>
        <w:rPr>
          <w:rFonts w:hint="eastAsia" w:ascii="Times New Roman" w:hAnsi="Times New Roman" w:eastAsia="仿宋_GB2312" w:cs="仿宋_GB2312"/>
          <w:color w:val="auto"/>
          <w:sz w:val="32"/>
          <w:szCs w:val="32"/>
          <w:lang w:val="en-US" w:eastAsia="zh-CN"/>
        </w:rPr>
        <w:t>21</w:t>
      </w:r>
      <w:r>
        <w:rPr>
          <w:rFonts w:hint="eastAsia" w:ascii="Times New Roman" w:hAnsi="Times New Roman" w:eastAsia="仿宋_GB2312" w:cs="仿宋_GB2312"/>
          <w:color w:val="auto"/>
          <w:sz w:val="32"/>
          <w:szCs w:val="32"/>
          <w:lang w:eastAsia="zh-CN"/>
        </w:rPr>
        <w:t>条修改为，市场监管总局（标准委）制定发布中国标准创新贡献奖提名工作通知。提名单位、提名专家根据提名工作通知的要求开展提名工作。第</w:t>
      </w:r>
      <w:r>
        <w:rPr>
          <w:rFonts w:hint="eastAsia" w:ascii="Times New Roman" w:hAnsi="Times New Roman" w:eastAsia="仿宋_GB2312" w:cs="仿宋_GB2312"/>
          <w:color w:val="auto"/>
          <w:sz w:val="32"/>
          <w:szCs w:val="32"/>
          <w:lang w:val="en-US" w:eastAsia="zh-CN"/>
        </w:rPr>
        <w:t>22</w:t>
      </w:r>
      <w:r>
        <w:rPr>
          <w:rFonts w:hint="eastAsia" w:ascii="Times New Roman" w:hAnsi="Times New Roman" w:eastAsia="仿宋_GB2312" w:cs="仿宋_GB2312"/>
          <w:color w:val="auto"/>
          <w:sz w:val="32"/>
          <w:szCs w:val="32"/>
          <w:lang w:eastAsia="zh-CN"/>
        </w:rPr>
        <w:t>条修改为：</w:t>
      </w:r>
      <w:r>
        <w:rPr>
          <w:rFonts w:hint="eastAsia" w:ascii="Times New Roman" w:hAnsi="Times New Roman" w:eastAsia="仿宋_GB2312" w:cs="仿宋_GB2312"/>
          <w:color w:val="auto"/>
          <w:sz w:val="32"/>
          <w:szCs w:val="32"/>
        </w:rPr>
        <w:t>提名单位为：国务院有关部门，具有标准化管理职能的行业协会，各省</w:t>
      </w:r>
      <w:r>
        <w:rPr>
          <w:rFonts w:hint="eastAsia" w:ascii="Times New Roman" w:hAnsi="Times New Roman" w:eastAsia="仿宋_GB2312" w:cs="仿宋_GB2312"/>
          <w:color w:val="auto"/>
          <w:sz w:val="32"/>
          <w:szCs w:val="32"/>
          <w:lang w:eastAsia="zh-CN"/>
        </w:rPr>
        <w:t>级人民政府</w:t>
      </w:r>
      <w:r>
        <w:rPr>
          <w:rFonts w:hint="eastAsia" w:ascii="Times New Roman" w:hAnsi="Times New Roman" w:eastAsia="仿宋_GB2312" w:cs="仿宋_GB2312"/>
          <w:color w:val="auto"/>
          <w:sz w:val="32"/>
          <w:szCs w:val="32"/>
        </w:rPr>
        <w:t>标准化行政主管部门</w:t>
      </w:r>
      <w:r>
        <w:rPr>
          <w:rFonts w:hint="eastAsia" w:ascii="Times New Roman" w:hAnsi="Times New Roman" w:eastAsia="仿宋_GB2312" w:cs="仿宋_GB2312"/>
          <w:color w:val="auto"/>
          <w:sz w:val="32"/>
          <w:szCs w:val="32"/>
          <w:lang w:eastAsia="zh-CN"/>
        </w:rPr>
        <w:t>。第</w:t>
      </w:r>
      <w:r>
        <w:rPr>
          <w:rFonts w:hint="eastAsia" w:ascii="Times New Roman" w:hAnsi="Times New Roman" w:eastAsia="仿宋_GB2312" w:cs="仿宋_GB2312"/>
          <w:color w:val="auto"/>
          <w:sz w:val="32"/>
          <w:szCs w:val="32"/>
          <w:lang w:val="en-US" w:eastAsia="zh-CN"/>
        </w:rPr>
        <w:t>24</w:t>
      </w:r>
      <w:r>
        <w:rPr>
          <w:rFonts w:hint="eastAsia" w:ascii="Times New Roman" w:hAnsi="Times New Roman" w:eastAsia="仿宋_GB2312" w:cs="仿宋_GB2312"/>
          <w:color w:val="auto"/>
          <w:sz w:val="32"/>
          <w:szCs w:val="32"/>
          <w:lang w:eastAsia="zh-CN"/>
        </w:rPr>
        <w:t>条修改为：</w:t>
      </w:r>
      <w:r>
        <w:rPr>
          <w:rFonts w:hint="eastAsia" w:ascii="Times New Roman" w:hAnsi="Times New Roman" w:eastAsia="仿宋_GB2312" w:cs="仿宋_GB2312"/>
          <w:color w:val="auto"/>
          <w:sz w:val="32"/>
          <w:szCs w:val="32"/>
        </w:rPr>
        <w:t>提名单位可提名标准项目奖、组织奖、终身成就奖、突出贡献奖、优秀青年奖，提名专家可提名标准项目奖、终身成就奖。</w:t>
      </w:r>
    </w:p>
    <w:p>
      <w:pPr>
        <w:pStyle w:val="2"/>
        <w:keepNext/>
        <w:keepLines/>
        <w:pageBreakBefore w:val="0"/>
        <w:widowControl w:val="0"/>
        <w:kinsoku/>
        <w:wordWrap/>
        <w:overflowPunct/>
        <w:topLinePunct w:val="0"/>
        <w:autoSpaceDE/>
        <w:autoSpaceDN/>
        <w:bidi w:val="0"/>
        <w:adjustRightInd/>
        <w:snapToGrid/>
        <w:spacing w:before="0" w:after="0" w:line="594" w:lineRule="exact"/>
        <w:ind w:firstLine="628" w:firstLineChars="200"/>
        <w:textAlignment w:val="auto"/>
        <w:rPr>
          <w:rFonts w:hint="default" w:ascii="Times New Roman" w:hAnsi="Times New Roman" w:eastAsia="仿宋_GB2312" w:cs="仿宋_GB2312"/>
          <w:b w:val="0"/>
          <w:color w:val="auto"/>
          <w:kern w:val="2"/>
          <w:sz w:val="32"/>
          <w:szCs w:val="32"/>
          <w:lang w:val="en-US" w:eastAsia="zh-CN" w:bidi="ar-SA"/>
        </w:rPr>
      </w:pPr>
      <w:r>
        <w:rPr>
          <w:rFonts w:hint="eastAsia" w:ascii="Times New Roman" w:hAnsi="Times New Roman" w:eastAsia="楷体_GB2312" w:cs="Arial"/>
          <w:b w:val="0"/>
          <w:color w:val="auto"/>
          <w:kern w:val="2"/>
          <w:sz w:val="32"/>
          <w:szCs w:val="32"/>
          <w:lang w:val="en-US" w:eastAsia="zh-CN" w:bidi="ar-SA"/>
        </w:rPr>
        <w:t>二是对具有提名资格的单位进行部分调整。</w:t>
      </w:r>
      <w:r>
        <w:rPr>
          <w:rFonts w:hint="eastAsia" w:ascii="Times New Roman" w:hAnsi="Times New Roman" w:eastAsia="仿宋_GB2312" w:cs="仿宋_GB2312"/>
          <w:b w:val="0"/>
          <w:color w:val="auto"/>
          <w:kern w:val="2"/>
          <w:sz w:val="32"/>
          <w:szCs w:val="32"/>
          <w:lang w:val="en-US" w:eastAsia="zh-CN" w:bidi="ar-SA"/>
        </w:rPr>
        <w:t>为了</w:t>
      </w:r>
      <w:r>
        <w:rPr>
          <w:rFonts w:hint="eastAsia" w:ascii="Times New Roman" w:hAnsi="Times New Roman" w:cs="仿宋_GB2312"/>
          <w:b w:val="0"/>
          <w:color w:val="auto"/>
          <w:kern w:val="2"/>
          <w:sz w:val="32"/>
          <w:szCs w:val="32"/>
          <w:lang w:val="en-US" w:eastAsia="zh-CN" w:bidi="ar-SA"/>
        </w:rPr>
        <w:t>进一步提升奖项的社会效益和公信力</w:t>
      </w:r>
      <w:r>
        <w:rPr>
          <w:rFonts w:hint="eastAsia" w:ascii="Times New Roman" w:hAnsi="Times New Roman" w:eastAsia="仿宋_GB2312" w:cs="仿宋_GB2312"/>
          <w:b w:val="0"/>
          <w:color w:val="auto"/>
          <w:kern w:val="2"/>
          <w:sz w:val="32"/>
          <w:szCs w:val="32"/>
          <w:lang w:val="en-US" w:eastAsia="zh-CN" w:bidi="ar-SA"/>
        </w:rPr>
        <w:t>，</w:t>
      </w:r>
      <w:r>
        <w:rPr>
          <w:rFonts w:hint="eastAsia" w:ascii="Times New Roman" w:hAnsi="Times New Roman" w:cs="仿宋_GB2312"/>
          <w:b w:val="0"/>
          <w:color w:val="auto"/>
          <w:kern w:val="2"/>
          <w:sz w:val="32"/>
          <w:szCs w:val="32"/>
          <w:lang w:val="en-US" w:eastAsia="zh-CN" w:bidi="ar-SA"/>
        </w:rPr>
        <w:t>推动标准运用向社会全域转变，同时也为了加强对提名过程的监督管理，参照国家科学技术奖励等奖项做法并结合历年评奖实践，</w:t>
      </w:r>
      <w:r>
        <w:rPr>
          <w:rFonts w:hint="eastAsia" w:ascii="Times New Roman" w:hAnsi="Times New Roman" w:eastAsia="仿宋_GB2312" w:cs="仿宋_GB2312"/>
          <w:b w:val="0"/>
          <w:color w:val="auto"/>
          <w:kern w:val="2"/>
          <w:sz w:val="32"/>
          <w:szCs w:val="32"/>
          <w:lang w:val="en-US" w:eastAsia="zh-CN" w:bidi="ar-SA"/>
        </w:rPr>
        <w:t>取消市场监管</w:t>
      </w:r>
      <w:r>
        <w:rPr>
          <w:rFonts w:hint="eastAsia" w:ascii="Times New Roman" w:hAnsi="Times New Roman" w:cs="仿宋_GB2312"/>
          <w:b w:val="0"/>
          <w:color w:val="auto"/>
          <w:kern w:val="2"/>
          <w:sz w:val="32"/>
          <w:szCs w:val="32"/>
          <w:lang w:val="en-US" w:eastAsia="zh-CN" w:bidi="ar-SA"/>
        </w:rPr>
        <w:t>总局</w:t>
      </w:r>
      <w:r>
        <w:rPr>
          <w:rFonts w:hint="eastAsia" w:ascii="Times New Roman" w:hAnsi="Times New Roman" w:eastAsia="仿宋_GB2312" w:cs="仿宋_GB2312"/>
          <w:b w:val="0"/>
          <w:color w:val="auto"/>
          <w:kern w:val="2"/>
          <w:sz w:val="32"/>
          <w:szCs w:val="32"/>
          <w:lang w:val="en-US" w:eastAsia="zh-CN" w:bidi="ar-SA"/>
        </w:rPr>
        <w:t>直属单位</w:t>
      </w:r>
      <w:r>
        <w:rPr>
          <w:rFonts w:hint="eastAsia" w:ascii="Times New Roman" w:hAnsi="Times New Roman" w:cs="仿宋_GB2312"/>
          <w:b w:val="0"/>
          <w:color w:val="auto"/>
          <w:kern w:val="2"/>
          <w:sz w:val="32"/>
          <w:szCs w:val="32"/>
          <w:lang w:val="en-US" w:eastAsia="zh-CN" w:bidi="ar-SA"/>
        </w:rPr>
        <w:t>、</w:t>
      </w:r>
      <w:r>
        <w:rPr>
          <w:rFonts w:hint="eastAsia" w:ascii="Times New Roman" w:hAnsi="Times New Roman" w:eastAsia="仿宋_GB2312" w:cs="仿宋_GB2312"/>
          <w:b w:val="0"/>
          <w:color w:val="auto"/>
          <w:kern w:val="2"/>
          <w:sz w:val="32"/>
          <w:szCs w:val="32"/>
          <w:lang w:val="en-US" w:eastAsia="zh-CN" w:bidi="ar-SA"/>
        </w:rPr>
        <w:t>标准</w:t>
      </w:r>
      <w:r>
        <w:rPr>
          <w:rFonts w:hint="eastAsia" w:ascii="Times New Roman" w:hAnsi="Times New Roman" w:cs="仿宋_GB2312"/>
          <w:b w:val="0"/>
          <w:color w:val="auto"/>
          <w:kern w:val="2"/>
          <w:sz w:val="32"/>
          <w:szCs w:val="32"/>
          <w:lang w:val="en-US" w:eastAsia="zh-CN" w:bidi="ar-SA"/>
        </w:rPr>
        <w:t>委</w:t>
      </w:r>
      <w:r>
        <w:rPr>
          <w:rFonts w:hint="eastAsia" w:ascii="Times New Roman" w:hAnsi="Times New Roman" w:eastAsia="仿宋_GB2312" w:cs="仿宋_GB2312"/>
          <w:b w:val="0"/>
          <w:color w:val="auto"/>
          <w:kern w:val="2"/>
          <w:sz w:val="32"/>
          <w:szCs w:val="32"/>
          <w:lang w:val="en-US" w:eastAsia="zh-CN" w:bidi="ar-SA"/>
        </w:rPr>
        <w:t>直接管理的TC以及国家技术标准创新基地的</w:t>
      </w:r>
      <w:r>
        <w:rPr>
          <w:rFonts w:hint="eastAsia" w:ascii="Times New Roman" w:hAnsi="Times New Roman" w:cs="仿宋_GB2312"/>
          <w:b w:val="0"/>
          <w:color w:val="auto"/>
          <w:kern w:val="2"/>
          <w:sz w:val="32"/>
          <w:szCs w:val="32"/>
          <w:lang w:val="en-US" w:eastAsia="zh-CN" w:bidi="ar-SA"/>
        </w:rPr>
        <w:t>提名</w:t>
      </w:r>
      <w:r>
        <w:rPr>
          <w:rFonts w:hint="eastAsia" w:ascii="Times New Roman" w:hAnsi="Times New Roman" w:eastAsia="仿宋_GB2312" w:cs="仿宋_GB2312"/>
          <w:b w:val="0"/>
          <w:color w:val="auto"/>
          <w:kern w:val="2"/>
          <w:sz w:val="32"/>
          <w:szCs w:val="32"/>
          <w:lang w:val="en-US" w:eastAsia="zh-CN" w:bidi="ar-SA"/>
        </w:rPr>
        <w:t>资格</w:t>
      </w:r>
      <w:r>
        <w:rPr>
          <w:rFonts w:hint="eastAsia" w:ascii="Times New Roman" w:hAnsi="Times New Roman" w:cs="仿宋_GB2312"/>
          <w:b w:val="0"/>
          <w:color w:val="auto"/>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0" w:line="594" w:lineRule="exact"/>
        <w:ind w:firstLine="628" w:firstLineChars="200"/>
        <w:textAlignment w:val="auto"/>
        <w:rPr>
          <w:rFonts w:hint="eastAsia" w:ascii="Times New Roman" w:hAnsi="Times New Roman" w:eastAsia="仿宋_GB2312" w:cs="仿宋_GB2312"/>
          <w:color w:val="000000"/>
          <w:kern w:val="0"/>
          <w:sz w:val="32"/>
          <w:szCs w:val="32"/>
        </w:rPr>
      </w:pPr>
      <w:r>
        <w:rPr>
          <w:rFonts w:hint="eastAsia" w:ascii="Times New Roman" w:hAnsi="Times New Roman" w:eastAsia="楷体_GB2312"/>
          <w:color w:val="auto"/>
          <w:sz w:val="32"/>
          <w:szCs w:val="32"/>
          <w:lang w:eastAsia="zh-CN"/>
        </w:rPr>
        <w:t>三是修改完善终身成就奖参评条件</w:t>
      </w:r>
      <w:r>
        <w:rPr>
          <w:rFonts w:hint="eastAsia" w:ascii="Times New Roman" w:hAnsi="Times New Roman" w:eastAsia="楷体_GB2312"/>
          <w:color w:val="auto"/>
          <w:sz w:val="32"/>
          <w:szCs w:val="32"/>
        </w:rPr>
        <w:t>。</w:t>
      </w:r>
      <w:r>
        <w:rPr>
          <w:rFonts w:hint="eastAsia" w:ascii="Times New Roman" w:hAnsi="Times New Roman" w:eastAsia="仿宋_GB2312" w:cs="仿宋_GB2312"/>
          <w:color w:val="auto"/>
          <w:sz w:val="32"/>
          <w:szCs w:val="32"/>
          <w:lang w:eastAsia="zh-CN"/>
        </w:rPr>
        <w:t>针对“终身成就奖”连续两届</w:t>
      </w:r>
      <w:r>
        <w:rPr>
          <w:rFonts w:hint="eastAsia" w:ascii="Times New Roman" w:hAnsi="Times New Roman" w:eastAsia="仿宋_GB2312" w:cs="仿宋_GB2312"/>
          <w:color w:val="auto"/>
          <w:sz w:val="32"/>
          <w:szCs w:val="32"/>
          <w:lang w:val="en-US" w:eastAsia="zh-CN"/>
        </w:rPr>
        <w:t>空缺，部分参评人选与终身成就奖获奖条件要求差距较大的问题，在原管理办法对终身成就奖所作原则性要求的基础上，合理设置具体条件，</w:t>
      </w:r>
      <w:r>
        <w:rPr>
          <w:rFonts w:hint="eastAsia" w:ascii="Times New Roman" w:hAnsi="Times New Roman" w:eastAsia="仿宋_GB2312" w:cs="仿宋_GB2312"/>
          <w:color w:val="auto"/>
          <w:sz w:val="32"/>
          <w:szCs w:val="32"/>
          <w:lang w:eastAsia="zh-CN"/>
        </w:rPr>
        <w:t>涉及第</w:t>
      </w:r>
      <w:r>
        <w:rPr>
          <w:rFonts w:hint="eastAsia" w:ascii="Times New Roman" w:hAnsi="Times New Roman" w:eastAsia="仿宋_GB2312" w:cs="仿宋_GB2312"/>
          <w:color w:val="auto"/>
          <w:sz w:val="32"/>
          <w:szCs w:val="32"/>
          <w:lang w:val="en-US" w:eastAsia="zh-CN"/>
        </w:rPr>
        <w:t>16</w:t>
      </w:r>
      <w:r>
        <w:rPr>
          <w:rFonts w:hint="eastAsia" w:ascii="Times New Roman" w:hAnsi="Times New Roman" w:eastAsia="仿宋_GB2312" w:cs="仿宋_GB2312"/>
          <w:color w:val="auto"/>
          <w:sz w:val="32"/>
          <w:szCs w:val="32"/>
          <w:lang w:eastAsia="zh-CN"/>
        </w:rPr>
        <w:t>条。</w:t>
      </w:r>
      <w:r>
        <w:rPr>
          <w:rFonts w:hint="eastAsia" w:ascii="Times New Roman" w:hAnsi="Times New Roman" w:eastAsia="仿宋_GB2312" w:cs="仿宋_GB2312"/>
          <w:color w:val="auto"/>
          <w:sz w:val="32"/>
          <w:szCs w:val="32"/>
          <w:lang w:val="en-US" w:eastAsia="zh-CN"/>
        </w:rPr>
        <w:t>比如规定候选人</w:t>
      </w:r>
      <w:r>
        <w:rPr>
          <w:rFonts w:hint="eastAsia" w:ascii="Times New Roman" w:hAnsi="Times New Roman" w:eastAsia="仿宋_GB2312" w:cs="仿宋_GB2312"/>
          <w:color w:val="auto"/>
          <w:sz w:val="32"/>
          <w:szCs w:val="32"/>
        </w:rPr>
        <w:t>应当在标准化理论研究、标准研制、标准推广实施、国际标准化或标准化综合管理、国际标准组织治理方面取得重大突出成就</w:t>
      </w:r>
      <w:r>
        <w:rPr>
          <w:rFonts w:hint="eastAsia" w:ascii="Times New Roman" w:hAnsi="Times New Roman" w:eastAsia="仿宋_GB2312" w:cs="仿宋_GB2312"/>
          <w:color w:val="auto"/>
          <w:sz w:val="32"/>
          <w:szCs w:val="32"/>
          <w:lang w:eastAsia="zh-CN"/>
        </w:rPr>
        <w:t>，担任过国际国内标准技术组织重要职位等。</w:t>
      </w:r>
    </w:p>
    <w:p>
      <w:pPr>
        <w:pStyle w:val="27"/>
        <w:keepNext w:val="0"/>
        <w:keepLines w:val="0"/>
        <w:pageBreakBefore w:val="0"/>
        <w:widowControl w:val="0"/>
        <w:numPr>
          <w:ilvl w:val="-1"/>
          <w:numId w:val="0"/>
        </w:numPr>
        <w:kinsoku/>
        <w:wordWrap/>
        <w:overflowPunct w:val="0"/>
        <w:topLinePunct w:val="0"/>
        <w:autoSpaceDE/>
        <w:autoSpaceDN/>
        <w:bidi w:val="0"/>
        <w:adjustRightInd/>
        <w:snapToGrid/>
        <w:spacing w:line="594" w:lineRule="exact"/>
        <w:ind w:left="0" w:leftChars="0" w:firstLine="628"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楷体_GB2312" w:cs="楷体_GB2312"/>
          <w:color w:val="000000"/>
          <w:kern w:val="0"/>
          <w:sz w:val="32"/>
          <w:szCs w:val="32"/>
          <w:lang w:eastAsia="zh-CN"/>
        </w:rPr>
        <w:t>四是将评审委员会办公室职能调整到领导小组办公室</w:t>
      </w:r>
      <w:r>
        <w:rPr>
          <w:rFonts w:hint="eastAsia" w:ascii="Times New Roman" w:hAnsi="Times New Roman" w:eastAsia="楷体_GB2312" w:cs="楷体_GB2312"/>
          <w:color w:val="000000"/>
          <w:kern w:val="0"/>
          <w:sz w:val="32"/>
          <w:szCs w:val="32"/>
        </w:rPr>
        <w:t>。</w:t>
      </w:r>
      <w:r>
        <w:rPr>
          <w:rFonts w:hint="eastAsia" w:ascii="Times New Roman" w:hAnsi="Times New Roman" w:eastAsia="仿宋_GB2312" w:cs="仿宋_GB2312"/>
          <w:color w:val="auto"/>
          <w:sz w:val="32"/>
          <w:szCs w:val="32"/>
          <w:lang w:eastAsia="zh-CN"/>
        </w:rPr>
        <w:t>针对原管理办法中评审委员会办公室设置可能引起的异议问题，参照国家和总局其他奖励工作实践，不再设立评审委员会办公室，将原评审委员会</w:t>
      </w:r>
      <w:r>
        <w:rPr>
          <w:rFonts w:hint="eastAsia" w:ascii="Times New Roman" w:hAnsi="Times New Roman" w:eastAsia="仿宋_GB2312" w:cs="仿宋_GB2312"/>
          <w:color w:val="auto"/>
          <w:sz w:val="32"/>
          <w:szCs w:val="32"/>
          <w:lang w:val="en-US" w:eastAsia="zh-CN"/>
        </w:rPr>
        <w:t>办公室</w:t>
      </w:r>
      <w:r>
        <w:rPr>
          <w:rFonts w:hint="eastAsia" w:ascii="Times New Roman" w:hAnsi="Times New Roman" w:eastAsia="仿宋_GB2312" w:cs="仿宋_GB2312"/>
          <w:color w:val="auto"/>
          <w:sz w:val="32"/>
          <w:szCs w:val="32"/>
          <w:lang w:eastAsia="zh-CN"/>
        </w:rPr>
        <w:t>的相关职责调整到领导小组办公室，进一步提升奖项的“公正性”和“透明度”。涉及第</w:t>
      </w:r>
      <w:r>
        <w:rPr>
          <w:rFonts w:hint="eastAsia" w:ascii="Times New Roman" w:hAnsi="Times New Roman" w:eastAsia="仿宋_GB2312" w:cs="仿宋_GB2312"/>
          <w:color w:val="auto"/>
          <w:sz w:val="32"/>
          <w:szCs w:val="32"/>
          <w:lang w:val="en-US" w:eastAsia="zh-CN"/>
        </w:rPr>
        <w:t>8、30、31、35条等</w:t>
      </w:r>
      <w:r>
        <w:rPr>
          <w:rFonts w:hint="eastAsia" w:ascii="Times New Roman" w:hAnsi="Times New Roman" w:eastAsia="仿宋_GB2312" w:cs="仿宋_GB2312"/>
          <w:color w:val="auto"/>
          <w:sz w:val="32"/>
          <w:szCs w:val="32"/>
          <w:lang w:eastAsia="zh-CN"/>
        </w:rPr>
        <w:t>。比如，第</w:t>
      </w:r>
      <w:r>
        <w:rPr>
          <w:rFonts w:hint="eastAsia" w:ascii="Times New Roman" w:hAnsi="Times New Roman" w:eastAsia="仿宋_GB2312" w:cs="仿宋_GB2312"/>
          <w:color w:val="auto"/>
          <w:sz w:val="32"/>
          <w:szCs w:val="32"/>
          <w:lang w:val="en-US" w:eastAsia="zh-CN"/>
        </w:rPr>
        <w:t>31条修改为：</w:t>
      </w:r>
      <w:r>
        <w:rPr>
          <w:rFonts w:hint="eastAsia" w:ascii="Times New Roman" w:hAnsi="Times New Roman" w:eastAsia="仿宋_GB2312" w:cs="仿宋_GB2312"/>
          <w:color w:val="auto"/>
          <w:sz w:val="32"/>
          <w:szCs w:val="32"/>
          <w:lang w:eastAsia="zh-CN"/>
        </w:rPr>
        <w:t>领导小组办公室组织对提名材料进行形式审查。经审查不符合规定的提名材料不予受理。</w:t>
      </w:r>
    </w:p>
    <w:p>
      <w:pPr>
        <w:keepNext w:val="0"/>
        <w:keepLines w:val="0"/>
        <w:pageBreakBefore w:val="0"/>
        <w:widowControl w:val="0"/>
        <w:kinsoku/>
        <w:wordWrap/>
        <w:overflowPunct w:val="0"/>
        <w:topLinePunct w:val="0"/>
        <w:autoSpaceDE/>
        <w:autoSpaceDN/>
        <w:bidi w:val="0"/>
        <w:adjustRightInd w:val="0"/>
        <w:snapToGrid w:val="0"/>
        <w:spacing w:after="0" w:line="620" w:lineRule="exact"/>
        <w:ind w:firstLine="630"/>
        <w:textAlignment w:val="auto"/>
        <w:rPr>
          <w:rFonts w:hint="eastAsia" w:ascii="Times New Roman" w:hAnsi="Times New Roman" w:eastAsia="仿宋_GB2312" w:cs="仿宋_GB2312"/>
          <w:color w:val="auto"/>
          <w:sz w:val="32"/>
          <w:szCs w:val="32"/>
        </w:rPr>
      </w:pPr>
    </w:p>
    <w:p>
      <w:pPr>
        <w:pStyle w:val="9"/>
        <w:keepNext w:val="0"/>
        <w:keepLines w:val="0"/>
        <w:pageBreakBefore w:val="0"/>
        <w:widowControl w:val="0"/>
        <w:kinsoku/>
        <w:wordWrap/>
        <w:overflowPunct w:val="0"/>
        <w:topLinePunct w:val="0"/>
        <w:autoSpaceDE/>
        <w:autoSpaceDN/>
        <w:bidi w:val="0"/>
        <w:spacing w:after="0" w:line="620" w:lineRule="exact"/>
        <w:textAlignment w:val="auto"/>
        <w:rPr>
          <w:rFonts w:ascii="Times New Roman" w:hAnsi="Times New Roman" w:eastAsia="方正仿宋简体" w:cs="方正仿宋简体"/>
          <w:color w:val="auto"/>
          <w:sz w:val="32"/>
          <w:szCs w:val="32"/>
        </w:rPr>
      </w:pPr>
    </w:p>
    <w:sectPr>
      <w:footerReference r:id="rId5" w:type="default"/>
      <w:footerReference r:id="rId6" w:type="even"/>
      <w:pgSz w:w="11906" w:h="16838"/>
      <w:pgMar w:top="1984" w:right="1474" w:bottom="1361" w:left="1474" w:header="850" w:footer="1361" w:gutter="0"/>
      <w:pgNumType w:fmt="decimal"/>
      <w:cols w:space="0" w:num="1"/>
      <w:rtlGutter w:val="0"/>
      <w:docGrid w:type="linesAndChars" w:linePitch="293" w:charSpace="-131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黑体简体">
    <w:altName w:val="方正小标宋简体"/>
    <w:panose1 w:val="02000000000000000000"/>
    <w:charset w:val="86"/>
    <w:family w:val="script"/>
    <w:pitch w:val="default"/>
    <w:sig w:usb0="00000000" w:usb1="00000000" w:usb2="00000012"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spacing w:after="0" w:line="240" w:lineRule="auto"/>
      <w:ind w:left="315" w:leftChars="150" w:right="315" w:rightChars="150"/>
      <w:jc w:val="right"/>
      <w:textAlignment w:val="auto"/>
      <w:outlineLvl w:val="9"/>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spacing w:after="0" w:line="240" w:lineRule="auto"/>
      <w:ind w:left="315" w:leftChars="150" w:right="315" w:rightChars="150"/>
      <w:jc w:val="both"/>
      <w:textAlignment w:val="auto"/>
      <w:outlineLvl w:val="9"/>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lowerLetter"/>
      <w:pStyle w:val="15"/>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9"/>
    <w:multiLevelType w:val="singleLevel"/>
    <w:tmpl w:val="00000009"/>
    <w:lvl w:ilvl="0" w:tentative="0">
      <w:start w:val="1"/>
      <w:numFmt w:val="bullet"/>
      <w:pStyle w:val="16"/>
      <w:lvlText w:val=""/>
      <w:lvlJc w:val="left"/>
      <w:pPr>
        <w:ind w:left="420" w:hanging="420"/>
      </w:pPr>
      <w:rPr>
        <w:rFonts w:hint="default" w:ascii="Wingdings" w:hAnsi="Wingdings"/>
      </w:rPr>
    </w:lvl>
  </w:abstractNum>
  <w:abstractNum w:abstractNumId="2">
    <w:nsid w:val="0000000A"/>
    <w:multiLevelType w:val="singleLevel"/>
    <w:tmpl w:val="0000000A"/>
    <w:lvl w:ilvl="0" w:tentative="0">
      <w:start w:val="1"/>
      <w:numFmt w:val="bullet"/>
      <w:pStyle w:val="17"/>
      <w:lvlText w:val=""/>
      <w:lvlJc w:val="left"/>
      <w:pPr>
        <w:ind w:left="420" w:hanging="420"/>
      </w:pPr>
      <w:rPr>
        <w:rFonts w:hint="default" w:ascii="Wingdings" w:hAnsi="Wingdings"/>
      </w:rPr>
    </w:lvl>
  </w:abstractNum>
  <w:abstractNum w:abstractNumId="3">
    <w:nsid w:val="0000000B"/>
    <w:multiLevelType w:val="singleLevel"/>
    <w:tmpl w:val="0000000B"/>
    <w:lvl w:ilvl="0" w:tentative="0">
      <w:start w:val="1"/>
      <w:numFmt w:val="bullet"/>
      <w:pStyle w:val="22"/>
      <w:lvlText w:val=""/>
      <w:lvlJc w:val="left"/>
      <w:pPr>
        <w:ind w:left="360" w:hanging="360"/>
      </w:pPr>
      <w:rPr>
        <w:rFonts w:hint="default" w:ascii="Wingdings" w:hAnsi="Wingdings" w:cs="Wingdings"/>
      </w:rPr>
    </w:lvl>
  </w:abstractNum>
  <w:abstractNum w:abstractNumId="4">
    <w:nsid w:val="0000000C"/>
    <w:multiLevelType w:val="singleLevel"/>
    <w:tmpl w:val="0000000C"/>
    <w:lvl w:ilvl="0" w:tentative="0">
      <w:start w:val="1"/>
      <w:numFmt w:val="bullet"/>
      <w:pStyle w:val="23"/>
      <w:lvlText w:val=""/>
      <w:lvlJc w:val="left"/>
      <w:pPr>
        <w:ind w:left="360" w:hanging="360"/>
      </w:pPr>
      <w:rPr>
        <w:rFonts w:hint="default" w:ascii="Wingdings" w:hAnsi="Wingdings" w:cs="Wingdings"/>
      </w:rPr>
    </w:lvl>
  </w:abstractNum>
  <w:abstractNum w:abstractNumId="5">
    <w:nsid w:val="0000000D"/>
    <w:multiLevelType w:val="multilevel"/>
    <w:tmpl w:val="0000000D"/>
    <w:lvl w:ilvl="0" w:tentative="0">
      <w:start w:val="1"/>
      <w:numFmt w:val="decimal"/>
      <w:pStyle w:val="21"/>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true"/>
  <w:bordersDoNotSurroundFooter w:val="true"/>
  <w:documentProtection w:enforcement="0"/>
  <w:defaultTabStop w:val="420"/>
  <w:evenAndOddHeaders w:val="true"/>
  <w:drawingGridHorizontalSpacing w:val="102"/>
  <w:drawingGridVerticalSpacing w:val="146"/>
  <w:displayHorizontalDrawingGridEvery w:val="2"/>
  <w:displayVerticalDrawingGridEvery w:val="2"/>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E41"/>
    <w:rsid w:val="000F1512"/>
    <w:rsid w:val="00124BBB"/>
    <w:rsid w:val="00183DB4"/>
    <w:rsid w:val="00197F58"/>
    <w:rsid w:val="00254BCA"/>
    <w:rsid w:val="00287072"/>
    <w:rsid w:val="00526232"/>
    <w:rsid w:val="00543879"/>
    <w:rsid w:val="00584FA4"/>
    <w:rsid w:val="00595066"/>
    <w:rsid w:val="00734D36"/>
    <w:rsid w:val="00762C8E"/>
    <w:rsid w:val="00814E10"/>
    <w:rsid w:val="008253F0"/>
    <w:rsid w:val="0093262F"/>
    <w:rsid w:val="00964B20"/>
    <w:rsid w:val="00AE3B4F"/>
    <w:rsid w:val="00B56FD7"/>
    <w:rsid w:val="00BC058A"/>
    <w:rsid w:val="00C95BA4"/>
    <w:rsid w:val="00E50BE5"/>
    <w:rsid w:val="00F42F8C"/>
    <w:rsid w:val="00F62E41"/>
    <w:rsid w:val="014409D5"/>
    <w:rsid w:val="02BE4D0C"/>
    <w:rsid w:val="057369B9"/>
    <w:rsid w:val="09521048"/>
    <w:rsid w:val="09F50545"/>
    <w:rsid w:val="0EED5220"/>
    <w:rsid w:val="101816AF"/>
    <w:rsid w:val="10A70857"/>
    <w:rsid w:val="11670994"/>
    <w:rsid w:val="11A43877"/>
    <w:rsid w:val="11D714FB"/>
    <w:rsid w:val="137635B9"/>
    <w:rsid w:val="14EC7B08"/>
    <w:rsid w:val="15AA2321"/>
    <w:rsid w:val="161F7BB0"/>
    <w:rsid w:val="1834364C"/>
    <w:rsid w:val="19EB6D9E"/>
    <w:rsid w:val="1A253904"/>
    <w:rsid w:val="1B930EEB"/>
    <w:rsid w:val="1D952732"/>
    <w:rsid w:val="1F2A13BE"/>
    <w:rsid w:val="24B22538"/>
    <w:rsid w:val="256A1736"/>
    <w:rsid w:val="25F3EB84"/>
    <w:rsid w:val="262E6F42"/>
    <w:rsid w:val="29D53AB8"/>
    <w:rsid w:val="2BF87420"/>
    <w:rsid w:val="2D982989"/>
    <w:rsid w:val="2F0D2DEE"/>
    <w:rsid w:val="33654D03"/>
    <w:rsid w:val="33B05D5C"/>
    <w:rsid w:val="34B6189E"/>
    <w:rsid w:val="37D6D1D8"/>
    <w:rsid w:val="3B093676"/>
    <w:rsid w:val="3B3D2B5E"/>
    <w:rsid w:val="3BB760C1"/>
    <w:rsid w:val="3D7A2DF3"/>
    <w:rsid w:val="3D846552"/>
    <w:rsid w:val="3D967808"/>
    <w:rsid w:val="3DF6E5C4"/>
    <w:rsid w:val="3EF738E4"/>
    <w:rsid w:val="3F8700A4"/>
    <w:rsid w:val="3FE6345F"/>
    <w:rsid w:val="3FEE25F7"/>
    <w:rsid w:val="414A1C62"/>
    <w:rsid w:val="42000237"/>
    <w:rsid w:val="422866C1"/>
    <w:rsid w:val="431841C1"/>
    <w:rsid w:val="43DC6ACA"/>
    <w:rsid w:val="4493055A"/>
    <w:rsid w:val="455456AD"/>
    <w:rsid w:val="458A2BCB"/>
    <w:rsid w:val="47EC2261"/>
    <w:rsid w:val="492336F6"/>
    <w:rsid w:val="49415D82"/>
    <w:rsid w:val="4A151945"/>
    <w:rsid w:val="4B3227F4"/>
    <w:rsid w:val="4CFC0784"/>
    <w:rsid w:val="4D383918"/>
    <w:rsid w:val="4E0E371B"/>
    <w:rsid w:val="4E185264"/>
    <w:rsid w:val="4EFE3275"/>
    <w:rsid w:val="4FFDF134"/>
    <w:rsid w:val="5029619A"/>
    <w:rsid w:val="506F43B8"/>
    <w:rsid w:val="50A83898"/>
    <w:rsid w:val="50DC3648"/>
    <w:rsid w:val="51026E4E"/>
    <w:rsid w:val="529F740D"/>
    <w:rsid w:val="530960F5"/>
    <w:rsid w:val="53646C99"/>
    <w:rsid w:val="56D92FCA"/>
    <w:rsid w:val="57881DA8"/>
    <w:rsid w:val="57CA85E6"/>
    <w:rsid w:val="57FF2BCB"/>
    <w:rsid w:val="5B4FBA24"/>
    <w:rsid w:val="5C5F50BA"/>
    <w:rsid w:val="5CDBF172"/>
    <w:rsid w:val="5DBDA603"/>
    <w:rsid w:val="5DF1A313"/>
    <w:rsid w:val="5FCF8557"/>
    <w:rsid w:val="5FFBCB91"/>
    <w:rsid w:val="611622DE"/>
    <w:rsid w:val="6240387C"/>
    <w:rsid w:val="62DF249C"/>
    <w:rsid w:val="630722DB"/>
    <w:rsid w:val="663FCCF8"/>
    <w:rsid w:val="6B638FD4"/>
    <w:rsid w:val="6FBE3554"/>
    <w:rsid w:val="6FFF91CF"/>
    <w:rsid w:val="70F43776"/>
    <w:rsid w:val="73F59256"/>
    <w:rsid w:val="756E7640"/>
    <w:rsid w:val="75DD1E47"/>
    <w:rsid w:val="77DDC6D2"/>
    <w:rsid w:val="79FB6E17"/>
    <w:rsid w:val="7AADC94E"/>
    <w:rsid w:val="7B6E382C"/>
    <w:rsid w:val="7BDA1B1A"/>
    <w:rsid w:val="7DDC196E"/>
    <w:rsid w:val="7EBE3750"/>
    <w:rsid w:val="7EFF7FE9"/>
    <w:rsid w:val="7EFFF6CB"/>
    <w:rsid w:val="7F7DDB5D"/>
    <w:rsid w:val="7FBBD2F7"/>
    <w:rsid w:val="7FE31500"/>
    <w:rsid w:val="7FEFD27B"/>
    <w:rsid w:val="7FFFE650"/>
    <w:rsid w:val="9EDB34FF"/>
    <w:rsid w:val="9FB720FA"/>
    <w:rsid w:val="9FE7F6F4"/>
    <w:rsid w:val="ABCF746E"/>
    <w:rsid w:val="ADFFCD06"/>
    <w:rsid w:val="AFEC4236"/>
    <w:rsid w:val="B7DE79B9"/>
    <w:rsid w:val="B7F37663"/>
    <w:rsid w:val="BBD74845"/>
    <w:rsid w:val="BBED24CB"/>
    <w:rsid w:val="BBF50978"/>
    <w:rsid w:val="BF7D6ED4"/>
    <w:rsid w:val="BFDC3FC3"/>
    <w:rsid w:val="BFDF1018"/>
    <w:rsid w:val="CDEFE7D2"/>
    <w:rsid w:val="D7776C0C"/>
    <w:rsid w:val="DDBFD821"/>
    <w:rsid w:val="DF3FA8AB"/>
    <w:rsid w:val="DF5E8138"/>
    <w:rsid w:val="E57FC2FD"/>
    <w:rsid w:val="E5F3F389"/>
    <w:rsid w:val="E7FCB7E9"/>
    <w:rsid w:val="F5779177"/>
    <w:rsid w:val="F77545F7"/>
    <w:rsid w:val="F7EF1458"/>
    <w:rsid w:val="FA3AC78C"/>
    <w:rsid w:val="FB7F8ED5"/>
    <w:rsid w:val="FCDFBA8A"/>
    <w:rsid w:val="FD7E9C58"/>
    <w:rsid w:val="FDF8E584"/>
    <w:rsid w:val="FFAF048A"/>
    <w:rsid w:val="FFAF407D"/>
    <w:rsid w:val="FFD48010"/>
    <w:rsid w:val="FFFFF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Arial"/>
      <w:kern w:val="2"/>
      <w:sz w:val="21"/>
      <w:szCs w:val="24"/>
      <w:lang w:val="en-US" w:eastAsia="zh-CN" w:bidi="ar-SA"/>
    </w:rPr>
  </w:style>
  <w:style w:type="paragraph" w:styleId="2">
    <w:name w:val="heading 3"/>
    <w:basedOn w:val="1"/>
    <w:next w:val="1"/>
    <w:semiHidden/>
    <w:unhideWhenUsed/>
    <w:qFormat/>
    <w:uiPriority w:val="9"/>
    <w:pPr>
      <w:keepNext/>
      <w:keepLines/>
      <w:spacing w:before="260" w:after="260" w:line="413" w:lineRule="auto"/>
      <w:outlineLvl w:val="2"/>
    </w:pPr>
    <w:rPr>
      <w:rFonts w:ascii="Calibri" w:hAnsi="Calibri" w:eastAsia="仿宋_GB2312" w:cs="Times New Roman"/>
      <w:b/>
      <w:sz w:val="32"/>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qFormat/>
    <w:uiPriority w:val="0"/>
    <w:pPr>
      <w:autoSpaceDE w:val="0"/>
      <w:autoSpaceDN w:val="0"/>
      <w:spacing w:after="0" w:line="240" w:lineRule="auto"/>
      <w:jc w:val="left"/>
    </w:pPr>
    <w:rPr>
      <w:rFonts w:ascii="仿宋_GB2312" w:hAnsi="仿宋_GB2312" w:eastAsia="仿宋_GB2312" w:cs="仿宋_GB2312"/>
      <w:kern w:val="0"/>
      <w:sz w:val="22"/>
      <w:szCs w:val="22"/>
      <w:lang w:val="zh-CN" w:bidi="zh-CN"/>
    </w:rPr>
  </w:style>
  <w:style w:type="paragraph" w:styleId="4">
    <w:name w:val="Body Text"/>
    <w:basedOn w:val="1"/>
    <w:link w:val="18"/>
    <w:qFormat/>
    <w:uiPriority w:val="0"/>
    <w:pPr>
      <w:spacing w:after="120"/>
    </w:pPr>
  </w:style>
  <w:style w:type="paragraph" w:styleId="5">
    <w:name w:val="footer"/>
    <w:basedOn w:val="1"/>
    <w:link w:val="20"/>
    <w:qFormat/>
    <w:uiPriority w:val="0"/>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NOTE_Normal"/>
    <w:basedOn w:val="1"/>
    <w:next w:val="4"/>
    <w:qFormat/>
    <w:uiPriority w:val="0"/>
  </w:style>
  <w:style w:type="paragraph" w:customStyle="1" w:styleId="10">
    <w:name w:val="NOTE_Intent1"/>
    <w:basedOn w:val="9"/>
    <w:qFormat/>
    <w:uiPriority w:val="0"/>
    <w:pPr>
      <w:ind w:left="200" w:leftChars="200"/>
    </w:pPr>
  </w:style>
  <w:style w:type="paragraph" w:customStyle="1" w:styleId="11">
    <w:name w:val="NOTE_Intent2"/>
    <w:basedOn w:val="9"/>
    <w:qFormat/>
    <w:uiPriority w:val="0"/>
    <w:pPr>
      <w:ind w:left="840" w:leftChars="400"/>
    </w:pPr>
  </w:style>
  <w:style w:type="paragraph" w:customStyle="1" w:styleId="12">
    <w:name w:val="NOTE_Intent3"/>
    <w:basedOn w:val="9"/>
    <w:qFormat/>
    <w:uiPriority w:val="0"/>
    <w:pPr>
      <w:ind w:left="1260" w:leftChars="600"/>
    </w:pPr>
  </w:style>
  <w:style w:type="paragraph" w:customStyle="1" w:styleId="13">
    <w:name w:val="NOTE_Intent4"/>
    <w:basedOn w:val="9"/>
    <w:qFormat/>
    <w:uiPriority w:val="0"/>
    <w:pPr>
      <w:ind w:left="1680" w:leftChars="800"/>
    </w:pPr>
  </w:style>
  <w:style w:type="paragraph" w:customStyle="1" w:styleId="14">
    <w:name w:val="NOTE_Intent5"/>
    <w:basedOn w:val="9"/>
    <w:qFormat/>
    <w:uiPriority w:val="0"/>
    <w:pPr>
      <w:ind w:left="2100" w:leftChars="1000"/>
    </w:pPr>
  </w:style>
  <w:style w:type="paragraph" w:customStyle="1" w:styleId="15">
    <w:name w:val="NOTE_Number2"/>
    <w:basedOn w:val="1"/>
    <w:qFormat/>
    <w:uiPriority w:val="0"/>
    <w:pPr>
      <w:numPr>
        <w:ilvl w:val="0"/>
        <w:numId w:val="1"/>
      </w:numPr>
      <w:tabs>
        <w:tab w:val="left" w:pos="420"/>
      </w:tabs>
    </w:pPr>
  </w:style>
  <w:style w:type="paragraph" w:customStyle="1" w:styleId="16">
    <w:name w:val="NOTE_Bullets1"/>
    <w:basedOn w:val="9"/>
    <w:qFormat/>
    <w:uiPriority w:val="0"/>
    <w:pPr>
      <w:numPr>
        <w:ilvl w:val="0"/>
        <w:numId w:val="2"/>
      </w:numPr>
    </w:pPr>
  </w:style>
  <w:style w:type="paragraph" w:customStyle="1" w:styleId="17">
    <w:name w:val="NOTE_Bullets2"/>
    <w:basedOn w:val="9"/>
    <w:qFormat/>
    <w:uiPriority w:val="0"/>
    <w:pPr>
      <w:numPr>
        <w:ilvl w:val="0"/>
        <w:numId w:val="3"/>
      </w:numPr>
    </w:pPr>
  </w:style>
  <w:style w:type="character" w:customStyle="1" w:styleId="18">
    <w:name w:val="正文文本 Char"/>
    <w:basedOn w:val="8"/>
    <w:link w:val="4"/>
    <w:qFormat/>
    <w:uiPriority w:val="0"/>
    <w:rPr>
      <w:kern w:val="2"/>
      <w:sz w:val="21"/>
      <w:szCs w:val="24"/>
    </w:rPr>
  </w:style>
  <w:style w:type="character" w:customStyle="1" w:styleId="19">
    <w:name w:val="页眉 Char"/>
    <w:basedOn w:val="8"/>
    <w:link w:val="6"/>
    <w:qFormat/>
    <w:uiPriority w:val="0"/>
    <w:rPr>
      <w:kern w:val="2"/>
      <w:sz w:val="18"/>
      <w:szCs w:val="18"/>
    </w:rPr>
  </w:style>
  <w:style w:type="character" w:customStyle="1" w:styleId="20">
    <w:name w:val="页脚 Char"/>
    <w:basedOn w:val="8"/>
    <w:link w:val="5"/>
    <w:qFormat/>
    <w:uiPriority w:val="0"/>
    <w:rPr>
      <w:kern w:val="2"/>
      <w:sz w:val="18"/>
      <w:szCs w:val="18"/>
    </w:rPr>
  </w:style>
  <w:style w:type="paragraph" w:customStyle="1" w:styleId="21">
    <w:name w:val="NOTE_Number1"/>
    <w:basedOn w:val="9"/>
    <w:qFormat/>
    <w:uiPriority w:val="0"/>
    <w:pPr>
      <w:numPr>
        <w:ilvl w:val="0"/>
        <w:numId w:val="4"/>
      </w:numPr>
    </w:pPr>
  </w:style>
  <w:style w:type="paragraph" w:customStyle="1" w:styleId="22">
    <w:name w:val="NOTE_Checklist"/>
    <w:basedOn w:val="9"/>
    <w:qFormat/>
    <w:uiPriority w:val="0"/>
    <w:pPr>
      <w:numPr>
        <w:ilvl w:val="0"/>
        <w:numId w:val="5"/>
      </w:numPr>
    </w:pPr>
  </w:style>
  <w:style w:type="paragraph" w:customStyle="1" w:styleId="23">
    <w:name w:val="NOTE_ChecklistFinished"/>
    <w:basedOn w:val="22"/>
    <w:qFormat/>
    <w:uiPriority w:val="0"/>
    <w:pPr>
      <w:numPr>
        <w:numId w:val="6"/>
      </w:numPr>
    </w:pPr>
    <w:rPr>
      <w:strike/>
      <w:color w:val="595959"/>
    </w:rPr>
  </w:style>
  <w:style w:type="paragraph" w:customStyle="1" w:styleId="24">
    <w:name w:val="NOTE_Centered"/>
    <w:basedOn w:val="9"/>
    <w:qFormat/>
    <w:uiPriority w:val="0"/>
    <w:pPr>
      <w:jc w:val="center"/>
    </w:pPr>
  </w:style>
  <w:style w:type="paragraph" w:customStyle="1" w:styleId="25">
    <w:name w:val="NOTE_Right"/>
    <w:basedOn w:val="9"/>
    <w:qFormat/>
    <w:uiPriority w:val="0"/>
    <w:pPr>
      <w:jc w:val="right"/>
    </w:pPr>
  </w:style>
  <w:style w:type="character" w:customStyle="1" w:styleId="26">
    <w:name w:val="批注文字 Char"/>
    <w:basedOn w:val="8"/>
    <w:link w:val="3"/>
    <w:qFormat/>
    <w:uiPriority w:val="0"/>
    <w:rPr>
      <w:rFonts w:ascii="仿宋_GB2312" w:hAnsi="仿宋_GB2312" w:eastAsia="仿宋_GB2312" w:cs="仿宋_GB2312"/>
      <w:sz w:val="22"/>
      <w:szCs w:val="22"/>
      <w:lang w:val="zh-CN" w:bidi="zh-CN"/>
    </w:rPr>
  </w:style>
  <w:style w:type="paragraph" w:customStyle="1" w:styleId="27">
    <w:name w:val="Normal"/>
    <w:qFormat/>
    <w:uiPriority w:val="0"/>
    <w:pPr>
      <w:jc w:val="both"/>
    </w:pPr>
    <w:rPr>
      <w:rFonts w:ascii="方正黑体简体" w:hAnsi="宋体"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457</Words>
  <Characters>2608</Characters>
  <Lines>21</Lines>
  <Paragraphs>6</Paragraphs>
  <TotalTime>3</TotalTime>
  <ScaleCrop>false</ScaleCrop>
  <LinksUpToDate>false</LinksUpToDate>
  <CharactersWithSpaces>3059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2020-05-01T18:44:00Z</dcterms:created>
  <dc:creator>tian</dc:creator>
  <cp:lastModifiedBy>oa</cp:lastModifiedBy>
  <cp:lastPrinted>2021-08-23T23:10:00Z</cp:lastPrinted>
  <dcterms:modified xsi:type="dcterms:W3CDTF">2022-01-13T15:41:32Z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9f030010125e492f8b2b83e3e34b0979</vt:lpwstr>
  </property>
  <property fmtid="{D5CDD505-2E9C-101B-9397-08002B2CF9AE}" pid="4" name="KSOSaveFontToCloudKey">
    <vt:lpwstr>432805902_btnclosed</vt:lpwstr>
  </property>
</Properties>
</file>