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Times New Roman" w:hAnsi="Times New Roman" w:eastAsia="仿宋"/>
          <w:b/>
          <w:sz w:val="30"/>
          <w:szCs w:val="30"/>
        </w:rPr>
      </w:pPr>
      <w:r>
        <w:rPr>
          <w:rFonts w:hint="eastAsia" w:ascii="Times New Roman" w:hAnsi="Times New Roman" w:eastAsia="仿宋"/>
          <w:b/>
          <w:sz w:val="30"/>
          <w:szCs w:val="30"/>
        </w:rPr>
        <w:t>经营者集中简易案件公示表</w:t>
      </w:r>
    </w:p>
    <w:p>
      <w:pPr>
        <w:spacing w:line="440" w:lineRule="exact"/>
        <w:rPr>
          <w:rFonts w:ascii="Times New Roman" w:hAnsi="Times New Roman" w:eastAsia="仿宋"/>
          <w:sz w:val="28"/>
          <w:szCs w:val="28"/>
        </w:rPr>
      </w:pPr>
    </w:p>
    <w:tbl>
      <w:tblPr>
        <w:tblStyle w:val="7"/>
        <w:tblW w:w="8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796"/>
        <w:gridCol w:w="5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b/>
                <w:color w:val="333333"/>
                <w:kern w:val="0"/>
                <w:sz w:val="24"/>
                <w:szCs w:val="24"/>
              </w:rPr>
              <w:t>案件名称</w:t>
            </w: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  <w:bookmarkStart w:id="0" w:name="_Hlk87269012"/>
            <w:bookmarkStart w:id="1" w:name="_GoBack"/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szCs w:val="24"/>
              </w:rPr>
              <w:t>浙江金控投资有限公司</w:t>
            </w:r>
            <w:bookmarkEnd w:id="0"/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szCs w:val="24"/>
              </w:rPr>
              <w:t>与上海建工股权投资基金管理有限公司等经营者新设合营企业案</w:t>
            </w:r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809" w:type="dxa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b/>
                <w:color w:val="333333"/>
                <w:kern w:val="0"/>
                <w:sz w:val="24"/>
                <w:szCs w:val="24"/>
              </w:rPr>
              <w:t>交易概况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仿宋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b/>
                <w:color w:val="333333"/>
                <w:kern w:val="0"/>
                <w:sz w:val="24"/>
                <w:szCs w:val="24"/>
              </w:rPr>
              <w:t>（限200字内）</w:t>
            </w: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本次交易涉及设立一家将由浙江金控投资有限公司（“浙江金控投资”）、上海建工股权投资基金管理有限公司（“上海建工基金”）、浙江省</w:t>
            </w:r>
            <w:r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投资集团股份有限公司</w:t>
            </w: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（“浙江建设”）及七彩文旅投资管理（杭州）有限公司（“七彩文旅”）共同出资的</w:t>
            </w:r>
            <w:r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浙江财金未来社区股权投资有限责任公司</w:t>
            </w: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（“合营企业”）。</w:t>
            </w:r>
          </w:p>
          <w:p>
            <w:pPr>
              <w:spacing w:line="500" w:lineRule="exact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合营企业将主要从事未来社区项目投资业务。</w:t>
            </w:r>
          </w:p>
          <w:p>
            <w:pPr>
              <w:spacing w:line="500" w:lineRule="exact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本次交易完成后，合营企业由浙江金控投资、上海建工基金、浙江建设及七彩文旅共同控制。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b/>
                <w:color w:val="333333"/>
                <w:kern w:val="0"/>
                <w:sz w:val="24"/>
                <w:szCs w:val="24"/>
              </w:rPr>
              <w:t>参与集中的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仿宋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b/>
                <w:color w:val="333333"/>
                <w:kern w:val="0"/>
                <w:sz w:val="24"/>
                <w:szCs w:val="24"/>
              </w:rPr>
              <w:t>经营者简介</w:t>
            </w:r>
          </w:p>
        </w:tc>
        <w:tc>
          <w:tcPr>
            <w:tcW w:w="1796" w:type="dxa"/>
          </w:tcPr>
          <w:p>
            <w:pPr>
              <w:spacing w:line="500" w:lineRule="exact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1、浙江金控投资</w:t>
            </w:r>
          </w:p>
        </w:tc>
        <w:tc>
          <w:tcPr>
            <w:tcW w:w="5153" w:type="dxa"/>
          </w:tcPr>
          <w:p>
            <w:pPr>
              <w:spacing w:line="500" w:lineRule="exact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浙江金控投资成立于2</w:t>
            </w:r>
            <w:r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017</w:t>
            </w: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年1</w:t>
            </w:r>
            <w:r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月2</w:t>
            </w:r>
            <w:r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日，系浙江省金融控股有限公司1</w:t>
            </w:r>
            <w:r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00</w:t>
            </w: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%出资设立的一人有限责任公司，主要从事实业投资、私募股权投资业务、投资管理等业务。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" w:cs="宋体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96" w:type="dxa"/>
          </w:tcPr>
          <w:p>
            <w:pPr>
              <w:spacing w:line="500" w:lineRule="exact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2、上海建工基金</w:t>
            </w:r>
          </w:p>
        </w:tc>
        <w:tc>
          <w:tcPr>
            <w:tcW w:w="5153" w:type="dxa"/>
          </w:tcPr>
          <w:p>
            <w:pPr>
              <w:spacing w:line="500" w:lineRule="exact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上海建工基金成立于 2015 年</w:t>
            </w:r>
            <w:r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9</w:t>
            </w: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25</w:t>
            </w: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日，系上海建工集团投资有限公司发起设立的一人有限责任公司，注册资本为人民币</w:t>
            </w:r>
            <w:r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亿元，主要从事股权投资、股权投资管理等业务。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" w:cs="宋体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96" w:type="dxa"/>
          </w:tcPr>
          <w:p>
            <w:pPr>
              <w:spacing w:line="500" w:lineRule="exact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3、浙江建设</w:t>
            </w:r>
          </w:p>
        </w:tc>
        <w:tc>
          <w:tcPr>
            <w:tcW w:w="5153" w:type="dxa"/>
          </w:tcPr>
          <w:p>
            <w:pPr>
              <w:spacing w:line="500" w:lineRule="exact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浙江建设的</w:t>
            </w:r>
            <w:r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前身为1998</w:t>
            </w: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年成立的</w:t>
            </w:r>
            <w:r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浙江省建筑工程集团总公司（浙江省建筑工程总公司），系一家全民所有制企业。</w:t>
            </w: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经过多次变更成为目前的上市公司，浙江建设要从事建设工程总承包；建筑工程；建筑构配件生产、销售；国际工程承包、劳务输出及所需设备、材料的出口；物业管理等业务。</w:t>
            </w:r>
          </w:p>
          <w:p>
            <w:pPr>
              <w:widowControl/>
              <w:snapToGrid w:val="0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" w:cs="宋体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96" w:type="dxa"/>
          </w:tcPr>
          <w:p>
            <w:pPr>
              <w:spacing w:line="500" w:lineRule="exact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4、七彩文旅</w:t>
            </w:r>
          </w:p>
        </w:tc>
        <w:tc>
          <w:tcPr>
            <w:tcW w:w="5153" w:type="dxa"/>
          </w:tcPr>
          <w:p>
            <w:pPr>
              <w:spacing w:line="500" w:lineRule="exact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七彩文旅成立于2</w:t>
            </w:r>
            <w:r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017</w:t>
            </w: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4</w:t>
            </w: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月1</w:t>
            </w:r>
            <w:r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8</w:t>
            </w: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日，</w:t>
            </w:r>
            <w:r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系七彩文化科技集团有限公司1</w:t>
            </w:r>
            <w:r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00</w:t>
            </w: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%出资，注册资本为1</w:t>
            </w:r>
            <w:r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000</w:t>
            </w: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万人民币，主要从事投资管理业务。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b/>
                <w:color w:val="333333"/>
                <w:kern w:val="0"/>
                <w:sz w:val="24"/>
                <w:szCs w:val="24"/>
              </w:rPr>
              <w:t>简易案件理由（可以单选，也可以多选）</w:t>
            </w: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sym w:font="Wingdings" w:char="F0FE"/>
            </w: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1.在同一相关市场，所有参与集中的经营者所占市场份额之和小于15%。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" w:cs="宋体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□2.存在上下游关系的参与集中的经营者，在上下游市场所占的市场份额均小于25%。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" w:cs="宋体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□3.不在同一相关市场、也不存在上下游关系的参与集中的经营者，在与交易有关的每个市场所占的份额均小于25%。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" w:cs="宋体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□4.参与集中的经营者在中国境外设立合营企业，合营企业不在中国境内从事经济活动。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" w:cs="宋体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□5.参与集中的经营者收购境外企业股权或资产的，该境外企业不在中国境内从事经济活动。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" w:cs="宋体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□6.由两个以上的经营者共同控制的合营企业，通过集中被其中一个或一个以上经营者控制。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b/>
                <w:color w:val="333333"/>
                <w:kern w:val="0"/>
                <w:sz w:val="24"/>
                <w:szCs w:val="24"/>
              </w:rPr>
              <w:t>备注</w:t>
            </w: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相关</w:t>
            </w: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产品</w:t>
            </w:r>
            <w:r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市场</w:t>
            </w: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：房地产领域股权投资</w:t>
            </w:r>
            <w:r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市场</w:t>
            </w:r>
          </w:p>
          <w:p>
            <w:pPr>
              <w:spacing w:line="500" w:lineRule="exact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相关地域市场：中国境内</w:t>
            </w:r>
          </w:p>
          <w:p>
            <w:pPr>
              <w:spacing w:line="500" w:lineRule="exact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集中各方在相关市场的市场份额：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浙江金控投资：</w:t>
            </w:r>
            <w:r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0%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上海建工基金：约</w:t>
            </w:r>
            <w:r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0.5%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浙江建设：</w:t>
            </w:r>
            <w:r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0%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七彩文旅：约0</w:t>
            </w:r>
            <w:r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.25%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合计：</w:t>
            </w:r>
            <w:r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  <w:t>[0-1]%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>
      <w:pPr>
        <w:snapToGrid w:val="0"/>
        <w:spacing w:line="240" w:lineRule="exact"/>
        <w:jc w:val="left"/>
        <w:rPr>
          <w:rFonts w:ascii="Times New Roman" w:hAnsi="Times New Roman" w:eastAsia="仿宋"/>
          <w:sz w:val="24"/>
          <w:szCs w:val="24"/>
        </w:rPr>
      </w:pPr>
    </w:p>
    <w:p>
      <w:pPr>
        <w:rPr>
          <w:rFonts w:ascii="Times New Roman" w:hAnsi="Times New Roman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580ABF"/>
    <w:multiLevelType w:val="multilevel"/>
    <w:tmpl w:val="5F580ABF"/>
    <w:lvl w:ilvl="0" w:tentative="0">
      <w:start w:val="1"/>
      <w:numFmt w:val="bullet"/>
      <w:lvlText w:val="-"/>
      <w:lvlJc w:val="left"/>
      <w:pPr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0DF"/>
    <w:rsid w:val="00005469"/>
    <w:rsid w:val="00037065"/>
    <w:rsid w:val="00073539"/>
    <w:rsid w:val="000B2B29"/>
    <w:rsid w:val="000C2D55"/>
    <w:rsid w:val="000D7EBA"/>
    <w:rsid w:val="000F73E1"/>
    <w:rsid w:val="00110C92"/>
    <w:rsid w:val="001164CD"/>
    <w:rsid w:val="001536A8"/>
    <w:rsid w:val="00155717"/>
    <w:rsid w:val="00180F61"/>
    <w:rsid w:val="001837A3"/>
    <w:rsid w:val="00267A76"/>
    <w:rsid w:val="00272976"/>
    <w:rsid w:val="002732F8"/>
    <w:rsid w:val="00275810"/>
    <w:rsid w:val="002B57D1"/>
    <w:rsid w:val="002B683A"/>
    <w:rsid w:val="002E18AC"/>
    <w:rsid w:val="002E33C9"/>
    <w:rsid w:val="00375C13"/>
    <w:rsid w:val="003A7257"/>
    <w:rsid w:val="003C0AEB"/>
    <w:rsid w:val="003E1740"/>
    <w:rsid w:val="00481614"/>
    <w:rsid w:val="00490B0E"/>
    <w:rsid w:val="004F7688"/>
    <w:rsid w:val="00594460"/>
    <w:rsid w:val="005D0930"/>
    <w:rsid w:val="005D58EF"/>
    <w:rsid w:val="005E13AC"/>
    <w:rsid w:val="0063118B"/>
    <w:rsid w:val="006467D8"/>
    <w:rsid w:val="006A531B"/>
    <w:rsid w:val="006C3FE7"/>
    <w:rsid w:val="006E4BE3"/>
    <w:rsid w:val="006F2A8E"/>
    <w:rsid w:val="006F7693"/>
    <w:rsid w:val="00710140"/>
    <w:rsid w:val="00726E5D"/>
    <w:rsid w:val="00785E28"/>
    <w:rsid w:val="007F2275"/>
    <w:rsid w:val="007F789D"/>
    <w:rsid w:val="00832C56"/>
    <w:rsid w:val="00835A61"/>
    <w:rsid w:val="00885236"/>
    <w:rsid w:val="00891095"/>
    <w:rsid w:val="008B65E9"/>
    <w:rsid w:val="008D4276"/>
    <w:rsid w:val="008D4574"/>
    <w:rsid w:val="00915F0F"/>
    <w:rsid w:val="00932A3D"/>
    <w:rsid w:val="009532DF"/>
    <w:rsid w:val="00997019"/>
    <w:rsid w:val="009A5029"/>
    <w:rsid w:val="009B4582"/>
    <w:rsid w:val="009B62EE"/>
    <w:rsid w:val="009D38D5"/>
    <w:rsid w:val="00A35DE7"/>
    <w:rsid w:val="00A53F26"/>
    <w:rsid w:val="00A63221"/>
    <w:rsid w:val="00A7363A"/>
    <w:rsid w:val="00AA0CC5"/>
    <w:rsid w:val="00B04302"/>
    <w:rsid w:val="00B13917"/>
    <w:rsid w:val="00B16AFE"/>
    <w:rsid w:val="00B20505"/>
    <w:rsid w:val="00B65DD5"/>
    <w:rsid w:val="00BD10B6"/>
    <w:rsid w:val="00BE3DAC"/>
    <w:rsid w:val="00C07076"/>
    <w:rsid w:val="00C106C1"/>
    <w:rsid w:val="00C13588"/>
    <w:rsid w:val="00C214B8"/>
    <w:rsid w:val="00C7117A"/>
    <w:rsid w:val="00CB00DF"/>
    <w:rsid w:val="00D06145"/>
    <w:rsid w:val="00D36BD6"/>
    <w:rsid w:val="00D73C72"/>
    <w:rsid w:val="00D75100"/>
    <w:rsid w:val="00D91DC2"/>
    <w:rsid w:val="00DA6756"/>
    <w:rsid w:val="00DB3909"/>
    <w:rsid w:val="00E0592B"/>
    <w:rsid w:val="00E11649"/>
    <w:rsid w:val="00E31738"/>
    <w:rsid w:val="00E86786"/>
    <w:rsid w:val="00ED2F80"/>
    <w:rsid w:val="00F06C6C"/>
    <w:rsid w:val="00F1624E"/>
    <w:rsid w:val="00F32F8A"/>
    <w:rsid w:val="00F760FF"/>
    <w:rsid w:val="00F810AA"/>
    <w:rsid w:val="00FB43EC"/>
    <w:rsid w:val="00FB6B40"/>
    <w:rsid w:val="00FE2280"/>
    <w:rsid w:val="00FE5BDB"/>
    <w:rsid w:val="96F1E5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9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批注框文本 字符"/>
    <w:basedOn w:val="9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批注文字 字符"/>
    <w:basedOn w:val="9"/>
    <w:link w:val="2"/>
    <w:semiHidden/>
    <w:qFormat/>
    <w:uiPriority w:val="99"/>
    <w:rPr>
      <w:rFonts w:ascii="Calibri" w:hAnsi="Calibri" w:eastAsia="宋体" w:cs="Times New Roman"/>
    </w:rPr>
  </w:style>
  <w:style w:type="character" w:customStyle="1" w:styleId="15">
    <w:name w:val="批注主题 字符"/>
    <w:basedOn w:val="14"/>
    <w:link w:val="6"/>
    <w:semiHidden/>
    <w:qFormat/>
    <w:uiPriority w:val="99"/>
    <w:rPr>
      <w:rFonts w:ascii="Calibri" w:hAnsi="Calibri" w:eastAsia="宋体" w:cs="Times New Roman"/>
      <w:b/>
      <w:bCs/>
    </w:rPr>
  </w:style>
  <w:style w:type="paragraph" w:customStyle="1" w:styleId="16">
    <w:name w:val="Revision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161</Words>
  <Characters>918</Characters>
  <Lines>7</Lines>
  <Paragraphs>2</Paragraphs>
  <TotalTime>124</TotalTime>
  <ScaleCrop>false</ScaleCrop>
  <LinksUpToDate>false</LinksUpToDate>
  <CharactersWithSpaces>1077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2021-11-14T11:11:00Z</dcterms:created>
  <dc:creator>ZLWD</dc:creator>
  <cp:lastModifiedBy>greatwall</cp:lastModifiedBy>
  <dcterms:modified xsi:type="dcterms:W3CDTF">2021-12-21T16:06:43Z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