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ascii="SimHei" w:hAnsi="Times New Roman" w:eastAsia="SimHei"/>
          <w:sz w:val="30"/>
          <w:szCs w:val="30"/>
        </w:rPr>
      </w:pPr>
      <w:r>
        <w:rPr>
          <w:rFonts w:hint="eastAsia" w:ascii="SimHei" w:hAnsi="Times New Roman" w:eastAsia="SimHei"/>
          <w:sz w:val="30"/>
          <w:szCs w:val="30"/>
        </w:rPr>
        <w:t>经营者集中简易案件公示表</w:t>
      </w:r>
    </w:p>
    <w:p>
      <w:pPr>
        <w:spacing w:line="440" w:lineRule="exact"/>
        <w:jc w:val="center"/>
        <w:rPr>
          <w:rFonts w:ascii="SimHei" w:hAnsi="Times New Roman" w:eastAsia="SimHei"/>
          <w:sz w:val="30"/>
          <w:szCs w:val="30"/>
        </w:rPr>
      </w:pPr>
    </w:p>
    <w:tbl>
      <w:tblPr>
        <w:tblStyle w:val="8"/>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3"/>
        <w:gridCol w:w="2281"/>
        <w:gridCol w:w="4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3" w:type="dxa"/>
            <w:shd w:val="clear" w:color="auto" w:fill="D9D9D9"/>
          </w:tcPr>
          <w:p>
            <w:pPr>
              <w:snapToGrid w:val="0"/>
              <w:spacing w:before="156" w:beforeLines="50" w:after="156" w:afterLines="50"/>
              <w:rPr>
                <w:rFonts w:ascii="Times New Roman" w:hAnsi="Times New Roman" w:eastAsia="FangSong_GB2312"/>
                <w:sz w:val="24"/>
                <w:szCs w:val="24"/>
              </w:rPr>
            </w:pPr>
            <w:r>
              <w:rPr>
                <w:rFonts w:ascii="Times New Roman" w:hAnsi="Times New Roman" w:eastAsia="FangSong_GB2312"/>
                <w:sz w:val="24"/>
                <w:szCs w:val="24"/>
              </w:rPr>
              <w:t>案件名称</w:t>
            </w:r>
          </w:p>
        </w:tc>
        <w:tc>
          <w:tcPr>
            <w:tcW w:w="7045" w:type="dxa"/>
            <w:gridSpan w:val="2"/>
          </w:tcPr>
          <w:p>
            <w:pPr>
              <w:snapToGrid w:val="0"/>
              <w:spacing w:before="156" w:beforeLines="50" w:after="156" w:afterLines="50"/>
              <w:rPr>
                <w:rFonts w:ascii="Arial" w:hAnsi="Arial" w:eastAsia="FangSong_GB2312" w:cs="Arial"/>
                <w:kern w:val="0"/>
                <w:szCs w:val="21"/>
              </w:rPr>
            </w:pPr>
            <w:bookmarkStart w:id="0" w:name="_GoBack"/>
            <w:r>
              <w:rPr>
                <w:rFonts w:hint="eastAsia" w:ascii="Arial" w:hAnsi="Arial" w:eastAsia="FangSong_GB2312" w:cs="Arial"/>
                <w:kern w:val="0"/>
                <w:szCs w:val="21"/>
              </w:rPr>
              <w:t>加拿大公共部门养老金投资委员会和阿布扎比投资委员会新设合营企业案</w:t>
            </w:r>
            <w:bookmarkEnd w:id="0"/>
            <w:r>
              <w:rPr>
                <w:rFonts w:hint="eastAsia" w:ascii="Arial" w:hAnsi="Arial" w:eastAsia="FangSong_GB2312" w:cs="Arial"/>
                <w:kern w:val="0"/>
                <w:szCs w:val="21"/>
              </w:rPr>
              <w:t xml:space="preserve"> （“</w:t>
            </w:r>
            <w:r>
              <w:rPr>
                <w:rFonts w:hint="eastAsia" w:ascii="Arial" w:hAnsi="Arial" w:eastAsia="FangSong_GB2312" w:cs="Arial"/>
                <w:b/>
                <w:bCs/>
                <w:kern w:val="0"/>
                <w:szCs w:val="21"/>
              </w:rPr>
              <w:t>本次交易</w:t>
            </w:r>
            <w:r>
              <w:rPr>
                <w:rFonts w:hint="eastAsia" w:ascii="Arial" w:hAnsi="Arial" w:eastAsia="FangSong_GB2312" w:cs="Arial"/>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3" w:hRule="atLeast"/>
        </w:trPr>
        <w:tc>
          <w:tcPr>
            <w:tcW w:w="1713" w:type="dxa"/>
            <w:shd w:val="clear" w:color="auto" w:fill="D9D9D9"/>
          </w:tcPr>
          <w:p>
            <w:pPr>
              <w:snapToGrid w:val="0"/>
              <w:spacing w:before="156" w:beforeLines="50" w:after="156" w:afterLines="50"/>
              <w:rPr>
                <w:rFonts w:ascii="Times New Roman" w:hAnsi="Times New Roman" w:eastAsia="FangSong_GB2312"/>
                <w:sz w:val="24"/>
                <w:szCs w:val="24"/>
              </w:rPr>
            </w:pPr>
            <w:r>
              <w:rPr>
                <w:rFonts w:ascii="Times New Roman" w:hAnsi="Times New Roman" w:eastAsia="FangSong_GB2312"/>
                <w:sz w:val="24"/>
                <w:szCs w:val="24"/>
              </w:rPr>
              <w:t>交易概况（限200字内）</w:t>
            </w:r>
          </w:p>
        </w:tc>
        <w:tc>
          <w:tcPr>
            <w:tcW w:w="7045" w:type="dxa"/>
            <w:gridSpan w:val="2"/>
          </w:tcPr>
          <w:p>
            <w:pPr>
              <w:snapToGrid w:val="0"/>
              <w:spacing w:before="156" w:beforeLines="50" w:after="156" w:afterLines="50"/>
              <w:rPr>
                <w:rFonts w:ascii="Arial" w:hAnsi="Arial" w:eastAsia="FangSong_GB2312" w:cs="Arial"/>
                <w:kern w:val="0"/>
                <w:szCs w:val="21"/>
              </w:rPr>
            </w:pPr>
            <w:r>
              <w:rPr>
                <w:rFonts w:hint="eastAsia" w:ascii="Arial" w:hAnsi="Arial" w:eastAsia="FangSong_GB2312" w:cs="Arial"/>
                <w:kern w:val="0"/>
                <w:szCs w:val="21"/>
              </w:rPr>
              <w:t>本次交易涉及成立新设合营企业</w:t>
            </w:r>
            <w:r>
              <w:rPr>
                <w:rFonts w:ascii="Arial" w:hAnsi="Arial" w:eastAsia="FangSong_GB2312" w:cs="Arial"/>
                <w:kern w:val="0"/>
                <w:szCs w:val="21"/>
              </w:rPr>
              <w:t>B2R Local No. 1 Pty Ltd (“</w:t>
            </w:r>
            <w:r>
              <w:rPr>
                <w:rFonts w:hint="eastAsia" w:ascii="Arial" w:hAnsi="Arial" w:eastAsia="FangSong_GB2312" w:cs="Arial"/>
                <w:kern w:val="0"/>
                <w:szCs w:val="21"/>
              </w:rPr>
              <w:t>合营企业</w:t>
            </w:r>
            <w:r>
              <w:rPr>
                <w:rFonts w:ascii="Arial" w:hAnsi="Arial" w:eastAsia="FangSong_GB2312" w:cs="Arial"/>
                <w:kern w:val="0"/>
                <w:szCs w:val="21"/>
              </w:rPr>
              <w:t>”),</w:t>
            </w:r>
            <w:r>
              <w:rPr>
                <w:rFonts w:hint="eastAsia" w:ascii="Arial" w:hAnsi="Arial" w:eastAsia="FangSong_GB2312" w:cs="Arial"/>
                <w:kern w:val="0"/>
                <w:szCs w:val="21"/>
              </w:rPr>
              <w:t>交易后将由加拿大公共部门养老金投资委员会(</w:t>
            </w:r>
            <w:r>
              <w:rPr>
                <w:rFonts w:ascii="Arial" w:hAnsi="Arial" w:eastAsia="FangSong_GB2312" w:cs="Arial"/>
                <w:kern w:val="0"/>
                <w:szCs w:val="21"/>
              </w:rPr>
              <w:t>PSP)</w:t>
            </w:r>
            <w:r>
              <w:rPr>
                <w:rFonts w:hint="eastAsia" w:ascii="Arial" w:hAnsi="Arial" w:eastAsia="FangSong_GB2312" w:cs="Arial"/>
                <w:kern w:val="0"/>
                <w:szCs w:val="21"/>
              </w:rPr>
              <w:t>和阿布扎比投资委员会(</w:t>
            </w:r>
            <w:r>
              <w:rPr>
                <w:rFonts w:ascii="Arial" w:hAnsi="Arial" w:eastAsia="FangSong_GB2312" w:cs="Arial"/>
                <w:kern w:val="0"/>
                <w:szCs w:val="21"/>
              </w:rPr>
              <w:t>ADIC)</w:t>
            </w:r>
            <w:r>
              <w:rPr>
                <w:rFonts w:hint="eastAsia" w:ascii="Arial" w:hAnsi="Arial" w:eastAsia="FangSong_GB2312" w:cs="Arial"/>
                <w:kern w:val="0"/>
                <w:szCs w:val="21"/>
              </w:rPr>
              <w:t>共同控制。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713" w:type="dxa"/>
            <w:vMerge w:val="restart"/>
            <w:shd w:val="clear" w:color="auto" w:fill="D9D9D9"/>
          </w:tcPr>
          <w:p>
            <w:pPr>
              <w:snapToGrid w:val="0"/>
              <w:spacing w:before="156" w:beforeLines="50" w:after="156" w:afterLines="50"/>
              <w:rPr>
                <w:rFonts w:ascii="Times New Roman" w:hAnsi="Times New Roman" w:eastAsia="FangSong_GB2312"/>
                <w:sz w:val="24"/>
                <w:szCs w:val="24"/>
              </w:rPr>
            </w:pPr>
            <w:r>
              <w:rPr>
                <w:rFonts w:ascii="Times New Roman" w:hAnsi="Times New Roman" w:eastAsia="FangSong_GB2312"/>
                <w:sz w:val="24"/>
                <w:szCs w:val="24"/>
              </w:rPr>
              <w:t>参与集中的经营者简介</w:t>
            </w:r>
          </w:p>
        </w:tc>
        <w:tc>
          <w:tcPr>
            <w:tcW w:w="2281" w:type="dxa"/>
          </w:tcPr>
          <w:p>
            <w:pPr>
              <w:snapToGrid w:val="0"/>
              <w:spacing w:before="156" w:beforeLines="50" w:after="156" w:afterLines="50"/>
              <w:jc w:val="left"/>
              <w:rPr>
                <w:rFonts w:ascii="Times New Roman" w:hAnsi="Times New Roman" w:eastAsia="FangSong_GB2312"/>
                <w:sz w:val="24"/>
                <w:szCs w:val="24"/>
              </w:rPr>
            </w:pPr>
            <w:r>
              <w:rPr>
                <w:rFonts w:ascii="Times New Roman" w:hAnsi="Times New Roman" w:eastAsia="FangSong_GB2312"/>
                <w:sz w:val="24"/>
                <w:szCs w:val="24"/>
              </w:rPr>
              <w:t>1</w:t>
            </w:r>
            <w:r>
              <w:rPr>
                <w:rFonts w:hint="eastAsia" w:ascii="Times New Roman" w:hAnsi="Times New Roman" w:eastAsia="FangSong_GB2312"/>
                <w:sz w:val="24"/>
                <w:szCs w:val="24"/>
              </w:rPr>
              <w:t>．</w:t>
            </w:r>
            <w:r>
              <w:rPr>
                <w:rFonts w:ascii="Arial" w:hAnsi="Arial" w:eastAsia="FangSong_GB2312" w:cs="Arial"/>
                <w:kern w:val="0"/>
                <w:szCs w:val="21"/>
              </w:rPr>
              <w:t>PSP</w:t>
            </w:r>
          </w:p>
        </w:tc>
        <w:tc>
          <w:tcPr>
            <w:tcW w:w="4764" w:type="dxa"/>
          </w:tcPr>
          <w:p>
            <w:pPr>
              <w:snapToGrid w:val="0"/>
              <w:spacing w:before="156" w:beforeLines="50" w:after="156" w:afterLines="50"/>
              <w:rPr>
                <w:rFonts w:eastAsia="FangSong_GB2312"/>
                <w:sz w:val="24"/>
                <w:szCs w:val="24"/>
              </w:rPr>
            </w:pPr>
            <w:r>
              <w:rPr>
                <w:rFonts w:hint="eastAsia" w:ascii="Arial" w:hAnsi="Arial" w:eastAsia="FangSong_GB2312" w:cs="Arial"/>
                <w:kern w:val="0"/>
                <w:szCs w:val="21"/>
              </w:rPr>
              <w:t>PSP是一家由加拿大国会依据“公共部门养老金投资委员会法案”设立的加拿大皇家公司。PSP在全球范围内管理着多样化的投资组合，包括股票，债券和其他固定收益证券，以及私募股权、房地产、基础设施、自然资源和信贷投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713" w:type="dxa"/>
            <w:vMerge w:val="continue"/>
            <w:shd w:val="clear" w:color="auto" w:fill="D9D9D9"/>
          </w:tcPr>
          <w:p>
            <w:pPr>
              <w:snapToGrid w:val="0"/>
              <w:spacing w:before="156" w:beforeLines="50" w:after="156" w:afterLines="50"/>
              <w:rPr>
                <w:rFonts w:ascii="Times New Roman" w:hAnsi="Times New Roman" w:eastAsia="FangSong_GB2312"/>
                <w:sz w:val="24"/>
                <w:szCs w:val="24"/>
              </w:rPr>
            </w:pPr>
          </w:p>
        </w:tc>
        <w:tc>
          <w:tcPr>
            <w:tcW w:w="2281" w:type="dxa"/>
          </w:tcPr>
          <w:p>
            <w:pPr>
              <w:snapToGrid w:val="0"/>
              <w:spacing w:before="156" w:beforeLines="50" w:after="156" w:afterLines="50"/>
              <w:rPr>
                <w:rFonts w:ascii="Arial" w:hAnsi="Arial" w:eastAsia="FangSong_GB2312" w:cs="Arial"/>
                <w:kern w:val="0"/>
                <w:szCs w:val="21"/>
              </w:rPr>
            </w:pPr>
            <w:r>
              <w:rPr>
                <w:rFonts w:hint="eastAsia" w:ascii="Arial" w:hAnsi="Arial" w:eastAsia="FangSong_GB2312" w:cs="Arial"/>
                <w:kern w:val="0"/>
                <w:szCs w:val="21"/>
              </w:rPr>
              <w:t xml:space="preserve">2. </w:t>
            </w:r>
            <w:r>
              <w:rPr>
                <w:rFonts w:ascii="Arial" w:hAnsi="Arial" w:eastAsia="FangSong_GB2312" w:cs="Arial"/>
                <w:kern w:val="0"/>
                <w:szCs w:val="21"/>
              </w:rPr>
              <w:t>ADIC</w:t>
            </w:r>
          </w:p>
        </w:tc>
        <w:tc>
          <w:tcPr>
            <w:tcW w:w="4764" w:type="dxa"/>
          </w:tcPr>
          <w:p>
            <w:pPr>
              <w:snapToGrid w:val="0"/>
              <w:spacing w:before="156" w:beforeLines="50" w:after="156" w:afterLines="50"/>
              <w:rPr>
                <w:rFonts w:ascii="Arial" w:hAnsi="Arial" w:eastAsia="FangSong_GB2312" w:cs="Arial"/>
                <w:kern w:val="0"/>
                <w:szCs w:val="21"/>
              </w:rPr>
            </w:pPr>
            <w:r>
              <w:rPr>
                <w:rFonts w:hint="eastAsia" w:ascii="Arial" w:hAnsi="Arial" w:eastAsia="FangSong_GB2312" w:cs="Arial"/>
                <w:kern w:val="0"/>
                <w:szCs w:val="21"/>
              </w:rPr>
              <w:t>ADIC 实施全球多元化投资策略，通过高度多元化的资产类别和积极的投资管理策略的广泛投资组合实现正资本回报，包括在私募股权、房地产和基础设施领域开展业务。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1713" w:type="dxa"/>
            <w:vMerge w:val="continue"/>
            <w:shd w:val="clear" w:color="auto" w:fill="D9D9D9"/>
          </w:tcPr>
          <w:p>
            <w:pPr>
              <w:snapToGrid w:val="0"/>
              <w:spacing w:before="156" w:beforeLines="50" w:after="156" w:afterLines="50"/>
              <w:rPr>
                <w:rFonts w:ascii="Times New Roman" w:hAnsi="Times New Roman" w:eastAsia="FangSong_GB2312"/>
                <w:sz w:val="24"/>
                <w:szCs w:val="24"/>
              </w:rPr>
            </w:pPr>
          </w:p>
        </w:tc>
        <w:tc>
          <w:tcPr>
            <w:tcW w:w="2281" w:type="dxa"/>
          </w:tcPr>
          <w:p>
            <w:pPr>
              <w:snapToGrid w:val="0"/>
              <w:spacing w:before="156" w:beforeLines="50" w:after="156" w:afterLines="50"/>
              <w:rPr>
                <w:rFonts w:ascii="Arial" w:hAnsi="Arial" w:eastAsia="FangSong_GB2312" w:cs="Arial"/>
                <w:kern w:val="0"/>
                <w:szCs w:val="21"/>
              </w:rPr>
            </w:pPr>
            <w:r>
              <w:rPr>
                <w:rFonts w:hint="eastAsia" w:ascii="Arial" w:hAnsi="Arial" w:eastAsia="FangSong_GB2312" w:cs="Arial"/>
                <w:kern w:val="0"/>
                <w:szCs w:val="21"/>
              </w:rPr>
              <w:t>3.</w:t>
            </w:r>
            <w:r>
              <w:rPr>
                <w:rFonts w:ascii="Arial" w:hAnsi="Arial" w:eastAsia="FangSong_GB2312" w:cs="Arial"/>
                <w:kern w:val="0"/>
                <w:szCs w:val="21"/>
              </w:rPr>
              <w:t xml:space="preserve"> </w:t>
            </w:r>
            <w:r>
              <w:rPr>
                <w:rFonts w:hint="eastAsia" w:ascii="Arial" w:hAnsi="Arial" w:eastAsia="FangSong_GB2312" w:cs="Arial"/>
                <w:kern w:val="0"/>
                <w:szCs w:val="21"/>
              </w:rPr>
              <w:t>合营企业</w:t>
            </w:r>
          </w:p>
        </w:tc>
        <w:tc>
          <w:tcPr>
            <w:tcW w:w="4764" w:type="dxa"/>
          </w:tcPr>
          <w:p>
            <w:pPr>
              <w:snapToGrid w:val="0"/>
              <w:spacing w:before="156" w:beforeLines="50" w:after="156" w:afterLines="50"/>
              <w:rPr>
                <w:rFonts w:ascii="Arial" w:hAnsi="Arial" w:eastAsia="FangSong_GB2312" w:cs="Arial"/>
                <w:kern w:val="0"/>
                <w:szCs w:val="21"/>
              </w:rPr>
            </w:pPr>
            <w:r>
              <w:rPr>
                <w:rFonts w:hint="eastAsia" w:ascii="Arial" w:hAnsi="Arial" w:eastAsia="FangSong_GB2312" w:cs="Arial"/>
                <w:kern w:val="0"/>
                <w:szCs w:val="21"/>
              </w:rPr>
              <w:t>合营企业仅在澳大利亚运营，其业务活动包括在澳大利亚主要城市收购、开发和管理住宅租赁物业。合资企业不会在澳大利亚境外开展业务，也不会在中国开展任何业务活动。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1713" w:type="dxa"/>
            <w:vMerge w:val="restart"/>
            <w:shd w:val="clear" w:color="auto" w:fill="D9D9D9"/>
          </w:tcPr>
          <w:p>
            <w:pPr>
              <w:snapToGrid w:val="0"/>
              <w:spacing w:before="156" w:beforeLines="50" w:after="156" w:afterLines="50"/>
              <w:rPr>
                <w:rFonts w:ascii="Times New Roman" w:hAnsi="Times New Roman" w:eastAsia="FangSong_GB2312"/>
                <w:sz w:val="24"/>
                <w:szCs w:val="24"/>
              </w:rPr>
            </w:pPr>
            <w:r>
              <w:rPr>
                <w:rFonts w:ascii="Times New Roman" w:hAnsi="Times New Roman" w:eastAsia="FangSong_GB2312"/>
                <w:sz w:val="24"/>
                <w:szCs w:val="24"/>
              </w:rPr>
              <w:t>简易案件理由（可以单选，也可以多选）</w:t>
            </w:r>
          </w:p>
        </w:tc>
        <w:tc>
          <w:tcPr>
            <w:tcW w:w="7045" w:type="dxa"/>
            <w:gridSpan w:val="2"/>
          </w:tcPr>
          <w:p>
            <w:pPr>
              <w:snapToGrid w:val="0"/>
              <w:spacing w:before="156" w:beforeLines="50" w:after="156" w:afterLines="50"/>
              <w:rPr>
                <w:rFonts w:ascii="Times New Roman" w:hAnsi="Times New Roman" w:eastAsia="FangSong_GB2312"/>
                <w:sz w:val="24"/>
                <w:szCs w:val="24"/>
              </w:rPr>
            </w:pPr>
            <w:r>
              <w:rPr>
                <w:rFonts w:ascii="Times New Roman" w:hAnsi="Times New Roman" w:eastAsia="FangSong_GB2312"/>
                <w:sz w:val="24"/>
                <w:szCs w:val="24"/>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1713" w:type="dxa"/>
            <w:vMerge w:val="continue"/>
            <w:shd w:val="clear" w:color="auto" w:fill="D9D9D9"/>
          </w:tcPr>
          <w:p>
            <w:pPr>
              <w:snapToGrid w:val="0"/>
              <w:spacing w:before="156" w:beforeLines="50" w:after="156" w:afterLines="50"/>
              <w:rPr>
                <w:rFonts w:ascii="Times New Roman" w:hAnsi="Times New Roman" w:eastAsia="FangSong_GB2312"/>
                <w:sz w:val="24"/>
                <w:szCs w:val="24"/>
              </w:rPr>
            </w:pPr>
          </w:p>
        </w:tc>
        <w:tc>
          <w:tcPr>
            <w:tcW w:w="7045" w:type="dxa"/>
            <w:gridSpan w:val="2"/>
          </w:tcPr>
          <w:p>
            <w:pPr>
              <w:snapToGrid w:val="0"/>
              <w:spacing w:before="156" w:beforeLines="50" w:after="156" w:afterLines="50"/>
              <w:rPr>
                <w:rFonts w:ascii="Times New Roman" w:hAnsi="Times New Roman" w:eastAsia="FangSong_GB2312"/>
                <w:sz w:val="24"/>
                <w:szCs w:val="24"/>
              </w:rPr>
            </w:pPr>
            <w:r>
              <w:rPr>
                <w:rFonts w:ascii="Times New Roman" w:hAnsi="Times New Roman" w:eastAsia="FangSong_GB2312"/>
                <w:sz w:val="24"/>
                <w:szCs w:val="24"/>
              </w:rPr>
              <w:t xml:space="preserve">□2、存在上下游关系的参与集中的经营者，在上下游市场所占的市场份额均小于25%。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713" w:type="dxa"/>
            <w:vMerge w:val="continue"/>
            <w:shd w:val="clear" w:color="auto" w:fill="D9D9D9"/>
          </w:tcPr>
          <w:p>
            <w:pPr>
              <w:snapToGrid w:val="0"/>
              <w:spacing w:before="156" w:beforeLines="50" w:after="156" w:afterLines="50"/>
              <w:rPr>
                <w:rFonts w:ascii="Times New Roman" w:hAnsi="Times New Roman" w:eastAsia="FangSong_GB2312"/>
                <w:sz w:val="24"/>
                <w:szCs w:val="24"/>
              </w:rPr>
            </w:pPr>
          </w:p>
        </w:tc>
        <w:tc>
          <w:tcPr>
            <w:tcW w:w="7045" w:type="dxa"/>
            <w:gridSpan w:val="2"/>
          </w:tcPr>
          <w:p>
            <w:pPr>
              <w:snapToGrid w:val="0"/>
              <w:spacing w:before="156" w:beforeLines="50" w:after="156" w:afterLines="50"/>
              <w:rPr>
                <w:rFonts w:ascii="Times New Roman" w:hAnsi="Times New Roman" w:eastAsia="FangSong_GB2312"/>
                <w:sz w:val="24"/>
                <w:szCs w:val="24"/>
              </w:rPr>
            </w:pPr>
            <w:r>
              <w:rPr>
                <w:rFonts w:ascii="Times New Roman" w:hAnsi="Times New Roman" w:eastAsia="FangSong_GB2312"/>
                <w:sz w:val="24"/>
                <w:szCs w:val="24"/>
              </w:rPr>
              <w:t>□3、不在同一相关市场、也不存在上下游关系的参与集中的经营者，在与交易有关的每个市场所占的份额均小于25%。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1713" w:type="dxa"/>
            <w:vMerge w:val="continue"/>
            <w:shd w:val="clear" w:color="auto" w:fill="D9D9D9"/>
          </w:tcPr>
          <w:p>
            <w:pPr>
              <w:snapToGrid w:val="0"/>
              <w:spacing w:before="156" w:beforeLines="50" w:after="156" w:afterLines="50"/>
              <w:rPr>
                <w:rFonts w:ascii="Times New Roman" w:hAnsi="Times New Roman" w:eastAsia="FangSong_GB2312"/>
                <w:sz w:val="24"/>
                <w:szCs w:val="24"/>
              </w:rPr>
            </w:pPr>
          </w:p>
        </w:tc>
        <w:tc>
          <w:tcPr>
            <w:tcW w:w="7045" w:type="dxa"/>
            <w:gridSpan w:val="2"/>
          </w:tcPr>
          <w:p>
            <w:pPr>
              <w:snapToGrid w:val="0"/>
              <w:spacing w:before="156" w:beforeLines="50" w:after="156" w:afterLines="50"/>
              <w:rPr>
                <w:rFonts w:ascii="Times New Roman" w:hAnsi="Times New Roman" w:eastAsia="FangSong_GB2312"/>
                <w:sz w:val="24"/>
                <w:szCs w:val="24"/>
              </w:rPr>
            </w:pPr>
            <w:r>
              <w:rPr>
                <w:rFonts w:ascii="Wingdings" w:hAnsi="Wingdings" w:eastAsia="SimHei"/>
                <w:b/>
                <w:sz w:val="24"/>
                <w:szCs w:val="24"/>
              </w:rPr>
              <w:sym w:font="Wingdings 2" w:char="F052"/>
            </w:r>
            <w:r>
              <w:rPr>
                <w:rFonts w:ascii="Times New Roman" w:hAnsi="Times New Roman" w:eastAsia="FangSong_GB2312"/>
                <w:sz w:val="24"/>
                <w:szCs w:val="24"/>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1713" w:type="dxa"/>
            <w:vMerge w:val="continue"/>
            <w:shd w:val="clear" w:color="auto" w:fill="D9D9D9"/>
          </w:tcPr>
          <w:p>
            <w:pPr>
              <w:snapToGrid w:val="0"/>
              <w:spacing w:before="156" w:beforeLines="50" w:after="156" w:afterLines="50"/>
              <w:rPr>
                <w:rFonts w:ascii="Times New Roman" w:hAnsi="Times New Roman" w:eastAsia="FangSong_GB2312"/>
                <w:sz w:val="24"/>
                <w:szCs w:val="24"/>
              </w:rPr>
            </w:pPr>
          </w:p>
        </w:tc>
        <w:tc>
          <w:tcPr>
            <w:tcW w:w="7045" w:type="dxa"/>
            <w:gridSpan w:val="2"/>
          </w:tcPr>
          <w:p>
            <w:pPr>
              <w:snapToGrid w:val="0"/>
              <w:spacing w:before="156" w:beforeLines="50" w:after="156" w:afterLines="50"/>
              <w:rPr>
                <w:rFonts w:ascii="Times New Roman" w:hAnsi="Times New Roman" w:eastAsia="FangSong_GB2312"/>
                <w:sz w:val="24"/>
                <w:szCs w:val="24"/>
              </w:rPr>
            </w:pPr>
            <w:r>
              <w:rPr>
                <w:rFonts w:ascii="Times New Roman" w:hAnsi="Times New Roman" w:eastAsia="FangSong_GB2312"/>
                <w:sz w:val="24"/>
                <w:szCs w:val="24"/>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713" w:type="dxa"/>
            <w:vMerge w:val="continue"/>
            <w:shd w:val="clear" w:color="auto" w:fill="D9D9D9"/>
          </w:tcPr>
          <w:p>
            <w:pPr>
              <w:snapToGrid w:val="0"/>
              <w:spacing w:before="156" w:beforeLines="50" w:after="156" w:afterLines="50"/>
              <w:rPr>
                <w:rFonts w:ascii="Times New Roman" w:hAnsi="Times New Roman" w:eastAsia="FangSong_GB2312"/>
                <w:sz w:val="24"/>
                <w:szCs w:val="24"/>
              </w:rPr>
            </w:pPr>
          </w:p>
        </w:tc>
        <w:tc>
          <w:tcPr>
            <w:tcW w:w="7045" w:type="dxa"/>
            <w:gridSpan w:val="2"/>
          </w:tcPr>
          <w:p>
            <w:pPr>
              <w:snapToGrid w:val="0"/>
              <w:spacing w:before="156" w:beforeLines="50" w:after="156" w:afterLines="50"/>
              <w:rPr>
                <w:rFonts w:ascii="Times New Roman" w:hAnsi="Times New Roman" w:eastAsia="FangSong_GB2312"/>
                <w:sz w:val="24"/>
                <w:szCs w:val="24"/>
              </w:rPr>
            </w:pPr>
            <w:r>
              <w:rPr>
                <w:rFonts w:ascii="Times New Roman" w:hAnsi="Times New Roman" w:eastAsia="FangSong_GB2312"/>
                <w:sz w:val="24"/>
                <w:szCs w:val="24"/>
              </w:rPr>
              <w:t>□6、由两个以上的经营者共同控制的合营企业，通过集中被其中一个或一个以上经营者控制。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13" w:type="dxa"/>
            <w:shd w:val="clear" w:color="auto" w:fill="D9D9D9"/>
          </w:tcPr>
          <w:p>
            <w:pPr>
              <w:snapToGrid w:val="0"/>
              <w:spacing w:before="156" w:beforeLines="50" w:after="156" w:afterLines="50"/>
              <w:rPr>
                <w:rFonts w:ascii="Times New Roman" w:hAnsi="Times New Roman" w:eastAsia="FangSong_GB2312"/>
                <w:sz w:val="24"/>
                <w:szCs w:val="24"/>
              </w:rPr>
            </w:pPr>
            <w:r>
              <w:rPr>
                <w:rFonts w:ascii="Times New Roman" w:hAnsi="Times New Roman" w:eastAsia="FangSong_GB2312"/>
                <w:sz w:val="24"/>
                <w:szCs w:val="24"/>
              </w:rPr>
              <w:t>备注</w:t>
            </w:r>
          </w:p>
        </w:tc>
        <w:tc>
          <w:tcPr>
            <w:tcW w:w="7045" w:type="dxa"/>
            <w:gridSpan w:val="2"/>
          </w:tcPr>
          <w:p>
            <w:pPr>
              <w:snapToGrid w:val="0"/>
              <w:spacing w:before="156" w:beforeLines="50" w:after="156" w:afterLines="50"/>
              <w:rPr>
                <w:rFonts w:ascii="Times New Roman" w:hAnsi="Times New Roman" w:eastAsia="FangSong_GB2312"/>
                <w:sz w:val="24"/>
                <w:szCs w:val="24"/>
              </w:rPr>
            </w:pPr>
            <w:r>
              <w:rPr>
                <w:rFonts w:hint="eastAsia" w:ascii="Arial" w:hAnsi="Arial" w:eastAsia="FangSong_GB2312" w:cs="Arial"/>
                <w:kern w:val="0"/>
                <w:szCs w:val="21"/>
              </w:rPr>
              <w:t>不适用</w:t>
            </w:r>
          </w:p>
        </w:tc>
      </w:tr>
    </w:tbl>
    <w:p>
      <w:pPr>
        <w:ind w:firstLine="480" w:firstLineChars="200"/>
        <w:jc w:val="left"/>
        <w:rPr>
          <w:rFonts w:eastAsia="KaiTi_GB2312"/>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SimHei">
    <w:panose1 w:val="02010609060101010101"/>
    <w:charset w:val="86"/>
    <w:family w:val="modern"/>
    <w:pitch w:val="default"/>
    <w:sig w:usb0="800002BF" w:usb1="38CF7CFA" w:usb2="00000016" w:usb3="00000000" w:csb0="00040001" w:csb1="00000000"/>
  </w:font>
  <w:font w:name="FangSong_GB2312">
    <w:panose1 w:val="02010609030101010101"/>
    <w:charset w:val="86"/>
    <w:family w:val="modern"/>
    <w:pitch w:val="default"/>
    <w:sig w:usb0="00000001" w:usb1="080E0000" w:usb2="00000000" w:usb3="00000000" w:csb0="00040000" w:csb1="00000000"/>
  </w:font>
  <w:font w:name="Arial">
    <w:altName w:val="Times New Roman"/>
    <w:panose1 w:val="020B0604020202020204"/>
    <w:charset w:val="00"/>
    <w:family w:val="swiss"/>
    <w:pitch w:val="default"/>
    <w:sig w:usb0="00000000" w:usb1="00000000" w:usb2="00000009" w:usb3="00000000" w:csb0="000001FF" w:csb1="00000000"/>
  </w:font>
  <w:font w:name="Wingdings 2">
    <w:panose1 w:val="05020102010507070707"/>
    <w:charset w:val="02"/>
    <w:family w:val="roman"/>
    <w:pitch w:val="default"/>
    <w:sig w:usb0="00000000" w:usb1="00000000" w:usb2="00000000" w:usb3="00000000" w:csb0="80000000" w:csb1="00000000"/>
  </w:font>
  <w:font w:name="KaiTi_GB2312">
    <w:altName w:val="楷体"/>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1"/>
  <w:bordersDoNotSurroundHeader w:val="true"/>
  <w:bordersDoNotSurroundFooter w:val="true"/>
  <w:doNotTrackMoves/>
  <w:doNotTrackFormatting/>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095"/>
    <w:rsid w:val="00011998"/>
    <w:rsid w:val="00015D5D"/>
    <w:rsid w:val="00020FE0"/>
    <w:rsid w:val="000408F8"/>
    <w:rsid w:val="0004215E"/>
    <w:rsid w:val="000425BC"/>
    <w:rsid w:val="00042EB5"/>
    <w:rsid w:val="000452B1"/>
    <w:rsid w:val="000464C3"/>
    <w:rsid w:val="0005079C"/>
    <w:rsid w:val="00050979"/>
    <w:rsid w:val="00062F5A"/>
    <w:rsid w:val="000678E4"/>
    <w:rsid w:val="00072615"/>
    <w:rsid w:val="00074740"/>
    <w:rsid w:val="000904C0"/>
    <w:rsid w:val="00094095"/>
    <w:rsid w:val="00095A28"/>
    <w:rsid w:val="00095E1F"/>
    <w:rsid w:val="000C29C8"/>
    <w:rsid w:val="000C73F0"/>
    <w:rsid w:val="000D360A"/>
    <w:rsid w:val="00103183"/>
    <w:rsid w:val="00110162"/>
    <w:rsid w:val="00111CF1"/>
    <w:rsid w:val="0011751B"/>
    <w:rsid w:val="001446C5"/>
    <w:rsid w:val="001501A4"/>
    <w:rsid w:val="00150DF4"/>
    <w:rsid w:val="00152E38"/>
    <w:rsid w:val="001554A0"/>
    <w:rsid w:val="00163F28"/>
    <w:rsid w:val="00165D39"/>
    <w:rsid w:val="0017134F"/>
    <w:rsid w:val="0018598F"/>
    <w:rsid w:val="001B2274"/>
    <w:rsid w:val="001B47CE"/>
    <w:rsid w:val="001B5324"/>
    <w:rsid w:val="001B608E"/>
    <w:rsid w:val="001C05BB"/>
    <w:rsid w:val="001D14E0"/>
    <w:rsid w:val="001D4460"/>
    <w:rsid w:val="001E5F02"/>
    <w:rsid w:val="001F1081"/>
    <w:rsid w:val="001F4C01"/>
    <w:rsid w:val="002012D4"/>
    <w:rsid w:val="002019AE"/>
    <w:rsid w:val="00204DCE"/>
    <w:rsid w:val="00205CD9"/>
    <w:rsid w:val="002064CB"/>
    <w:rsid w:val="002073C5"/>
    <w:rsid w:val="002151A9"/>
    <w:rsid w:val="00216BCC"/>
    <w:rsid w:val="002314F4"/>
    <w:rsid w:val="00244AB5"/>
    <w:rsid w:val="00245776"/>
    <w:rsid w:val="00245828"/>
    <w:rsid w:val="0026785E"/>
    <w:rsid w:val="00277B8F"/>
    <w:rsid w:val="00293473"/>
    <w:rsid w:val="00294CE9"/>
    <w:rsid w:val="002B018C"/>
    <w:rsid w:val="002B1A42"/>
    <w:rsid w:val="002B4BF6"/>
    <w:rsid w:val="002C4B3B"/>
    <w:rsid w:val="002C6003"/>
    <w:rsid w:val="002C6A77"/>
    <w:rsid w:val="002E16C2"/>
    <w:rsid w:val="002F0DD2"/>
    <w:rsid w:val="002F10AC"/>
    <w:rsid w:val="002F2D60"/>
    <w:rsid w:val="00307976"/>
    <w:rsid w:val="00307FFB"/>
    <w:rsid w:val="003207A2"/>
    <w:rsid w:val="00322C3E"/>
    <w:rsid w:val="00352127"/>
    <w:rsid w:val="003530C9"/>
    <w:rsid w:val="00373F46"/>
    <w:rsid w:val="00374FCC"/>
    <w:rsid w:val="00393CD4"/>
    <w:rsid w:val="003B715D"/>
    <w:rsid w:val="003C3396"/>
    <w:rsid w:val="003C670D"/>
    <w:rsid w:val="003D1495"/>
    <w:rsid w:val="003D3569"/>
    <w:rsid w:val="003E5095"/>
    <w:rsid w:val="003F2010"/>
    <w:rsid w:val="003F3E81"/>
    <w:rsid w:val="00406E49"/>
    <w:rsid w:val="00423F2C"/>
    <w:rsid w:val="00425157"/>
    <w:rsid w:val="00440477"/>
    <w:rsid w:val="00452AFA"/>
    <w:rsid w:val="004556BD"/>
    <w:rsid w:val="00462174"/>
    <w:rsid w:val="004673F6"/>
    <w:rsid w:val="00474C4A"/>
    <w:rsid w:val="00495208"/>
    <w:rsid w:val="004B0CD7"/>
    <w:rsid w:val="004B1363"/>
    <w:rsid w:val="004B343A"/>
    <w:rsid w:val="004B7818"/>
    <w:rsid w:val="004D1075"/>
    <w:rsid w:val="004D13DF"/>
    <w:rsid w:val="004D1D71"/>
    <w:rsid w:val="004D6686"/>
    <w:rsid w:val="004E26D8"/>
    <w:rsid w:val="004E33FB"/>
    <w:rsid w:val="004E7C67"/>
    <w:rsid w:val="004F3F7F"/>
    <w:rsid w:val="00505CE0"/>
    <w:rsid w:val="0051682C"/>
    <w:rsid w:val="00516846"/>
    <w:rsid w:val="00524A3F"/>
    <w:rsid w:val="00530BAB"/>
    <w:rsid w:val="00535CD6"/>
    <w:rsid w:val="005533F9"/>
    <w:rsid w:val="0056169A"/>
    <w:rsid w:val="005639E8"/>
    <w:rsid w:val="005901FF"/>
    <w:rsid w:val="005909A8"/>
    <w:rsid w:val="00592542"/>
    <w:rsid w:val="005A1138"/>
    <w:rsid w:val="005A493C"/>
    <w:rsid w:val="005A7CB9"/>
    <w:rsid w:val="005C34DB"/>
    <w:rsid w:val="005E0356"/>
    <w:rsid w:val="005E2902"/>
    <w:rsid w:val="005E3515"/>
    <w:rsid w:val="005F1530"/>
    <w:rsid w:val="005F167B"/>
    <w:rsid w:val="005F68D2"/>
    <w:rsid w:val="005F7B6E"/>
    <w:rsid w:val="0061018B"/>
    <w:rsid w:val="00612426"/>
    <w:rsid w:val="00614763"/>
    <w:rsid w:val="006155E2"/>
    <w:rsid w:val="0062049A"/>
    <w:rsid w:val="00627614"/>
    <w:rsid w:val="0063005D"/>
    <w:rsid w:val="00663102"/>
    <w:rsid w:val="00663F2D"/>
    <w:rsid w:val="0067305F"/>
    <w:rsid w:val="006803AB"/>
    <w:rsid w:val="0069648E"/>
    <w:rsid w:val="0069792C"/>
    <w:rsid w:val="006C6DB6"/>
    <w:rsid w:val="006F5B94"/>
    <w:rsid w:val="006F7298"/>
    <w:rsid w:val="00702EC0"/>
    <w:rsid w:val="007049C3"/>
    <w:rsid w:val="00731C47"/>
    <w:rsid w:val="0073494C"/>
    <w:rsid w:val="00737755"/>
    <w:rsid w:val="007400B8"/>
    <w:rsid w:val="0075149B"/>
    <w:rsid w:val="00751E70"/>
    <w:rsid w:val="00752582"/>
    <w:rsid w:val="007544F4"/>
    <w:rsid w:val="0077058C"/>
    <w:rsid w:val="00783E49"/>
    <w:rsid w:val="00790EEB"/>
    <w:rsid w:val="007916C9"/>
    <w:rsid w:val="00791DA5"/>
    <w:rsid w:val="00796180"/>
    <w:rsid w:val="007A384D"/>
    <w:rsid w:val="007A44AD"/>
    <w:rsid w:val="007C59DC"/>
    <w:rsid w:val="007E3869"/>
    <w:rsid w:val="007E41E8"/>
    <w:rsid w:val="007E4945"/>
    <w:rsid w:val="007E6C38"/>
    <w:rsid w:val="007F42DE"/>
    <w:rsid w:val="008040FB"/>
    <w:rsid w:val="00813A8D"/>
    <w:rsid w:val="00814649"/>
    <w:rsid w:val="00821820"/>
    <w:rsid w:val="008268B2"/>
    <w:rsid w:val="0083211E"/>
    <w:rsid w:val="008345D6"/>
    <w:rsid w:val="008409A8"/>
    <w:rsid w:val="00857EA2"/>
    <w:rsid w:val="00860058"/>
    <w:rsid w:val="00883EDC"/>
    <w:rsid w:val="008B5F77"/>
    <w:rsid w:val="008C32CA"/>
    <w:rsid w:val="008C5149"/>
    <w:rsid w:val="008D04E4"/>
    <w:rsid w:val="008E0C8C"/>
    <w:rsid w:val="008E244D"/>
    <w:rsid w:val="008E6014"/>
    <w:rsid w:val="008E6430"/>
    <w:rsid w:val="008E7D49"/>
    <w:rsid w:val="008F51A5"/>
    <w:rsid w:val="009016D2"/>
    <w:rsid w:val="009125DD"/>
    <w:rsid w:val="009368E8"/>
    <w:rsid w:val="00936A3F"/>
    <w:rsid w:val="00960F64"/>
    <w:rsid w:val="009648D4"/>
    <w:rsid w:val="00967F8A"/>
    <w:rsid w:val="009811A0"/>
    <w:rsid w:val="00992DA8"/>
    <w:rsid w:val="009C7BB6"/>
    <w:rsid w:val="009D3F28"/>
    <w:rsid w:val="009E402C"/>
    <w:rsid w:val="009E75BB"/>
    <w:rsid w:val="009F44EF"/>
    <w:rsid w:val="009F4A14"/>
    <w:rsid w:val="009F4E03"/>
    <w:rsid w:val="00A33BE2"/>
    <w:rsid w:val="00A3707A"/>
    <w:rsid w:val="00A56B2F"/>
    <w:rsid w:val="00A74B48"/>
    <w:rsid w:val="00A91442"/>
    <w:rsid w:val="00AA20C6"/>
    <w:rsid w:val="00AB4B37"/>
    <w:rsid w:val="00AC07D4"/>
    <w:rsid w:val="00AF7DF8"/>
    <w:rsid w:val="00B03F19"/>
    <w:rsid w:val="00B0563B"/>
    <w:rsid w:val="00B2685E"/>
    <w:rsid w:val="00B32B24"/>
    <w:rsid w:val="00B43CE8"/>
    <w:rsid w:val="00B4624D"/>
    <w:rsid w:val="00B5573F"/>
    <w:rsid w:val="00B626AC"/>
    <w:rsid w:val="00B66047"/>
    <w:rsid w:val="00B871A4"/>
    <w:rsid w:val="00BA0750"/>
    <w:rsid w:val="00BA76BC"/>
    <w:rsid w:val="00BB2377"/>
    <w:rsid w:val="00BB4B46"/>
    <w:rsid w:val="00BB6CE0"/>
    <w:rsid w:val="00BC7777"/>
    <w:rsid w:val="00BD3065"/>
    <w:rsid w:val="00BD4BF9"/>
    <w:rsid w:val="00BD57D8"/>
    <w:rsid w:val="00C016B8"/>
    <w:rsid w:val="00C15A90"/>
    <w:rsid w:val="00C16786"/>
    <w:rsid w:val="00C30003"/>
    <w:rsid w:val="00C31917"/>
    <w:rsid w:val="00C332E8"/>
    <w:rsid w:val="00C47370"/>
    <w:rsid w:val="00C56ED6"/>
    <w:rsid w:val="00C6320F"/>
    <w:rsid w:val="00C64F27"/>
    <w:rsid w:val="00C7070C"/>
    <w:rsid w:val="00C80A0A"/>
    <w:rsid w:val="00C82773"/>
    <w:rsid w:val="00C83199"/>
    <w:rsid w:val="00C847F8"/>
    <w:rsid w:val="00C9068E"/>
    <w:rsid w:val="00CB1B53"/>
    <w:rsid w:val="00CB51F5"/>
    <w:rsid w:val="00CE289F"/>
    <w:rsid w:val="00CF1C58"/>
    <w:rsid w:val="00CF5D48"/>
    <w:rsid w:val="00D0763D"/>
    <w:rsid w:val="00D21777"/>
    <w:rsid w:val="00D261F0"/>
    <w:rsid w:val="00D37E80"/>
    <w:rsid w:val="00D415B3"/>
    <w:rsid w:val="00D42034"/>
    <w:rsid w:val="00D52DFB"/>
    <w:rsid w:val="00D53CCB"/>
    <w:rsid w:val="00D563DE"/>
    <w:rsid w:val="00D568A7"/>
    <w:rsid w:val="00D65F4E"/>
    <w:rsid w:val="00D858A2"/>
    <w:rsid w:val="00D92AA8"/>
    <w:rsid w:val="00D92C5A"/>
    <w:rsid w:val="00DD2EF5"/>
    <w:rsid w:val="00DE0034"/>
    <w:rsid w:val="00DF200E"/>
    <w:rsid w:val="00DF286D"/>
    <w:rsid w:val="00DF4049"/>
    <w:rsid w:val="00DF45CD"/>
    <w:rsid w:val="00E00D39"/>
    <w:rsid w:val="00E237F3"/>
    <w:rsid w:val="00E3423E"/>
    <w:rsid w:val="00E40193"/>
    <w:rsid w:val="00E50D17"/>
    <w:rsid w:val="00E5213E"/>
    <w:rsid w:val="00E541EF"/>
    <w:rsid w:val="00E66095"/>
    <w:rsid w:val="00E660E6"/>
    <w:rsid w:val="00E76768"/>
    <w:rsid w:val="00E80FC6"/>
    <w:rsid w:val="00E8223B"/>
    <w:rsid w:val="00E83A19"/>
    <w:rsid w:val="00E94B00"/>
    <w:rsid w:val="00EA46B4"/>
    <w:rsid w:val="00EB79E4"/>
    <w:rsid w:val="00ED21B1"/>
    <w:rsid w:val="00ED611A"/>
    <w:rsid w:val="00EE3BB5"/>
    <w:rsid w:val="00EF609C"/>
    <w:rsid w:val="00F2672D"/>
    <w:rsid w:val="00F31570"/>
    <w:rsid w:val="00F33470"/>
    <w:rsid w:val="00F342A9"/>
    <w:rsid w:val="00F375CD"/>
    <w:rsid w:val="00F40985"/>
    <w:rsid w:val="00F53E17"/>
    <w:rsid w:val="00F648B5"/>
    <w:rsid w:val="00F7191A"/>
    <w:rsid w:val="00F72AC4"/>
    <w:rsid w:val="00F73FD5"/>
    <w:rsid w:val="00F77C5B"/>
    <w:rsid w:val="00F830E3"/>
    <w:rsid w:val="00F87C1F"/>
    <w:rsid w:val="00F902C8"/>
    <w:rsid w:val="00FA0F0E"/>
    <w:rsid w:val="00FA3724"/>
    <w:rsid w:val="00FB365B"/>
    <w:rsid w:val="00FC34C6"/>
    <w:rsid w:val="00FD115C"/>
    <w:rsid w:val="00FD23D9"/>
    <w:rsid w:val="00FE53CE"/>
    <w:rsid w:val="00FF523F"/>
    <w:rsid w:val="4D8F819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endnote text"/>
    <w:basedOn w:val="1"/>
    <w:link w:val="13"/>
    <w:semiHidden/>
    <w:unhideWhenUsed/>
    <w:qFormat/>
    <w:uiPriority w:val="99"/>
    <w:pPr>
      <w:snapToGrid w:val="0"/>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2"/>
    <w:next w:val="2"/>
    <w:link w:val="18"/>
    <w:semiHidden/>
    <w:unhideWhenUsed/>
    <w:qFormat/>
    <w:uiPriority w:val="99"/>
    <w:rPr>
      <w:b/>
      <w:bCs/>
    </w:r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endnote reference"/>
    <w:semiHidden/>
    <w:unhideWhenUsed/>
    <w:qFormat/>
    <w:uiPriority w:val="99"/>
    <w:rPr>
      <w:vertAlign w:val="superscript"/>
    </w:rPr>
  </w:style>
  <w:style w:type="character" w:styleId="12">
    <w:name w:val="annotation reference"/>
    <w:basedOn w:val="10"/>
    <w:semiHidden/>
    <w:unhideWhenUsed/>
    <w:qFormat/>
    <w:uiPriority w:val="99"/>
    <w:rPr>
      <w:sz w:val="21"/>
      <w:szCs w:val="21"/>
    </w:rPr>
  </w:style>
  <w:style w:type="character" w:customStyle="1" w:styleId="13">
    <w:name w:val="Endnote Text Char"/>
    <w:basedOn w:val="10"/>
    <w:link w:val="3"/>
    <w:semiHidden/>
    <w:qFormat/>
    <w:uiPriority w:val="99"/>
  </w:style>
  <w:style w:type="character" w:customStyle="1" w:styleId="14">
    <w:name w:val="Header Char"/>
    <w:link w:val="6"/>
    <w:qFormat/>
    <w:uiPriority w:val="99"/>
    <w:rPr>
      <w:sz w:val="18"/>
      <w:szCs w:val="18"/>
    </w:rPr>
  </w:style>
  <w:style w:type="character" w:customStyle="1" w:styleId="15">
    <w:name w:val="Footer Char"/>
    <w:link w:val="5"/>
    <w:qFormat/>
    <w:uiPriority w:val="99"/>
    <w:rPr>
      <w:sz w:val="18"/>
      <w:szCs w:val="18"/>
    </w:rPr>
  </w:style>
  <w:style w:type="character" w:customStyle="1" w:styleId="16">
    <w:name w:val="Balloon Text Char"/>
    <w:link w:val="4"/>
    <w:semiHidden/>
    <w:qFormat/>
    <w:uiPriority w:val="99"/>
    <w:rPr>
      <w:kern w:val="2"/>
      <w:sz w:val="18"/>
      <w:szCs w:val="18"/>
    </w:rPr>
  </w:style>
  <w:style w:type="character" w:customStyle="1" w:styleId="17">
    <w:name w:val="Comment Text Char"/>
    <w:basedOn w:val="10"/>
    <w:link w:val="2"/>
    <w:semiHidden/>
    <w:qFormat/>
    <w:uiPriority w:val="99"/>
    <w:rPr>
      <w:kern w:val="2"/>
      <w:sz w:val="21"/>
      <w:szCs w:val="22"/>
    </w:rPr>
  </w:style>
  <w:style w:type="character" w:customStyle="1" w:styleId="18">
    <w:name w:val="Comment Subject Char"/>
    <w:basedOn w:val="17"/>
    <w:link w:val="7"/>
    <w:semiHidden/>
    <w:qFormat/>
    <w:uiPriority w:val="99"/>
    <w:rPr>
      <w:b/>
      <w:bCs/>
      <w:kern w:val="2"/>
      <w:sz w:val="21"/>
      <w:szCs w:val="22"/>
    </w:rPr>
  </w:style>
  <w:style w:type="paragraph" w:customStyle="1" w:styleId="19">
    <w:name w:val="Block Text Blue"/>
    <w:basedOn w:val="1"/>
    <w:qFormat/>
    <w:uiPriority w:val="0"/>
    <w:pPr>
      <w:widowControl/>
      <w:spacing w:after="240"/>
    </w:pPr>
    <w:rPr>
      <w:rFonts w:ascii="Times New Roman" w:hAnsi="Times New Roman" w:eastAsiaTheme="minorEastAsia"/>
      <w:color w:val="0000FF"/>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King &amp; Wood Mallesons</Company>
  <Pages>2</Pages>
  <Words>386</Words>
  <Characters>418</Characters>
  <Lines>32</Lines>
  <Paragraphs>23</Paragraphs>
  <TotalTime>11</TotalTime>
  <ScaleCrop>false</ScaleCrop>
  <LinksUpToDate>false</LinksUpToDate>
  <CharactersWithSpaces>781</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2021-09-21T16:46:00Z</dcterms:created>
  <dc:creator>KWM</dc:creator>
  <cp:lastModifiedBy>greatwall</cp:lastModifiedBy>
  <cp:lastPrinted>2019-12-11T21:16:00Z</cp:lastPrinted>
  <dcterms:modified xsi:type="dcterms:W3CDTF">2021-10-11T14:03:42Z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EDocumentLocation">
    <vt:lpwstr>C:\Users\bxwang\Desktop\Project Armour\Copy of Project Armour_经营者集中简易案件公示表.docx</vt:lpwstr>
  </property>
  <property fmtid="{D5CDD505-2E9C-101B-9397-08002B2CF9AE}" pid="3" name="Document Number">
    <vt:lpwstr/>
  </property>
  <property fmtid="{D5CDD505-2E9C-101B-9397-08002B2CF9AE}" pid="4" name="Last Modified">
    <vt:lpwstr/>
  </property>
  <property fmtid="{D5CDD505-2E9C-101B-9397-08002B2CF9AE}" pid="5" name="Mode">
    <vt:lpwstr>Export</vt:lpwstr>
  </property>
  <property fmtid="{D5CDD505-2E9C-101B-9397-08002B2CF9AE}" pid="6" name="Version">
    <vt:lpwstr/>
  </property>
  <property fmtid="{D5CDD505-2E9C-101B-9397-08002B2CF9AE}" pid="7" name="Client Code">
    <vt:lpwstr/>
  </property>
  <property fmtid="{D5CDD505-2E9C-101B-9397-08002B2CF9AE}" pid="8" name="Matter Number">
    <vt:lpwstr/>
  </property>
  <property fmtid="{D5CDD505-2E9C-101B-9397-08002B2CF9AE}" pid="9" name="ObjectID">
    <vt:lpwstr/>
  </property>
  <property fmtid="{D5CDD505-2E9C-101B-9397-08002B2CF9AE}" pid="10" name="KSOProductBuildVer">
    <vt:lpwstr>2052-11.8.2.9695</vt:lpwstr>
  </property>
</Properties>
</file>