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35630A" w14:textId="77777777" w:rsidR="00CB00DF" w:rsidRPr="008E7B8C" w:rsidRDefault="00CB00DF" w:rsidP="00CB00DF">
      <w:pPr>
        <w:spacing w:line="440" w:lineRule="exact"/>
        <w:jc w:val="center"/>
        <w:rPr>
          <w:rFonts w:ascii="黑体" w:eastAsia="黑体" w:hAnsi="Times New Roman"/>
          <w:sz w:val="30"/>
          <w:szCs w:val="30"/>
        </w:rPr>
      </w:pPr>
      <w:r w:rsidRPr="00202C4C">
        <w:rPr>
          <w:rFonts w:ascii="黑体" w:eastAsia="黑体" w:hAnsi="Times New Roman" w:hint="eastAsia"/>
          <w:sz w:val="30"/>
          <w:szCs w:val="30"/>
        </w:rPr>
        <w:t>经营者集中简易案件公示表</w:t>
      </w:r>
    </w:p>
    <w:p w14:paraId="70255EB5" w14:textId="77777777" w:rsidR="00CB00DF" w:rsidRDefault="00CB00DF" w:rsidP="00CB00DF">
      <w:pPr>
        <w:spacing w:line="440" w:lineRule="exact"/>
        <w:rPr>
          <w:rFonts w:ascii="黑体" w:eastAsia="黑体" w:hAnsi="Times New Roman"/>
          <w:sz w:val="28"/>
          <w:szCs w:val="28"/>
        </w:rPr>
      </w:pPr>
    </w:p>
    <w:p w14:paraId="64AF2B0E" w14:textId="77777777" w:rsidR="00CB00DF" w:rsidRPr="00BA1596" w:rsidRDefault="00CB00DF" w:rsidP="00CB00DF">
      <w:pPr>
        <w:spacing w:line="440" w:lineRule="exact"/>
        <w:ind w:firstLineChars="302" w:firstLine="846"/>
        <w:rPr>
          <w:rFonts w:ascii="仿宋_GB2312" w:eastAsia="仿宋_GB2312" w:hAnsi="Times New Roman"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061"/>
        <w:gridCol w:w="5888"/>
      </w:tblGrid>
      <w:tr w:rsidR="00CB00DF" w:rsidRPr="00CB00DF" w14:paraId="412B8898" w14:textId="77777777" w:rsidTr="00CB00DF">
        <w:tc>
          <w:tcPr>
            <w:tcW w:w="1809" w:type="dxa"/>
            <w:shd w:val="clear" w:color="auto" w:fill="D9D9D9"/>
            <w:vAlign w:val="center"/>
          </w:tcPr>
          <w:p w14:paraId="2F13A81B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案件名称</w:t>
            </w:r>
          </w:p>
        </w:tc>
        <w:tc>
          <w:tcPr>
            <w:tcW w:w="6949" w:type="dxa"/>
            <w:gridSpan w:val="2"/>
          </w:tcPr>
          <w:p w14:paraId="2024DC7E" w14:textId="6265FAC3" w:rsidR="00CB00DF" w:rsidRPr="00CB00DF" w:rsidRDefault="004D5F05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A</w:t>
            </w:r>
            <w:r w:rsidRPr="004D5F05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P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穆勒控股股份公司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收购N</w:t>
            </w:r>
            <w:r w:rsidRPr="004D5F05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CS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国际股份公司股权案</w:t>
            </w:r>
          </w:p>
        </w:tc>
      </w:tr>
      <w:tr w:rsidR="00CB00DF" w:rsidRPr="00CB00DF" w14:paraId="276C061C" w14:textId="77777777" w:rsidTr="00CB00DF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14:paraId="3E23F940" w14:textId="77777777" w:rsidR="00F1624E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交易概况</w:t>
            </w:r>
          </w:p>
          <w:p w14:paraId="051DD16A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（限200字内）</w:t>
            </w:r>
          </w:p>
        </w:tc>
        <w:tc>
          <w:tcPr>
            <w:tcW w:w="6949" w:type="dxa"/>
            <w:gridSpan w:val="2"/>
          </w:tcPr>
          <w:p w14:paraId="63F775B8" w14:textId="4CE9546A" w:rsidR="00CB00DF" w:rsidRPr="00CB00DF" w:rsidRDefault="004D5F05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A</w:t>
            </w:r>
            <w:r w:rsidRPr="004D5F05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P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穆勒控股股份公司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（简称“</w:t>
            </w:r>
            <w:r w:rsidRPr="000B2963"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APMH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”）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通过其100%</w:t>
            </w:r>
            <w:r w:rsidR="00166E6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持股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的子公司APMH Invest XVII </w:t>
            </w:r>
            <w:proofErr w:type="spellStart"/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ApS</w:t>
            </w:r>
            <w:proofErr w:type="spellEnd"/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，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拟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从K. Nissen International A/S收购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N</w:t>
            </w:r>
            <w:r w:rsidRPr="004D5F05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CS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国际股份公司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（简称“</w:t>
            </w:r>
            <w:r w:rsidRPr="000B2963"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NCS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”）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的100%股份。这项交易完成后，</w:t>
            </w:r>
            <w:r w:rsidR="00B7769A"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APMH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将</w:t>
            </w:r>
            <w:r w:rsidR="0047003C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间接</w:t>
            </w:r>
            <w:r w:rsidR="00B7769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持有NCS</w:t>
            </w:r>
            <w:r w:rsidR="00E62A5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100%</w:t>
            </w:r>
            <w:r w:rsidR="00B7769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股份</w:t>
            </w:r>
            <w:r w:rsidRPr="004D5F0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并完全控制。</w:t>
            </w:r>
          </w:p>
        </w:tc>
      </w:tr>
      <w:tr w:rsidR="003F2211" w:rsidRPr="00CB00DF" w14:paraId="3B452168" w14:textId="77777777" w:rsidTr="003F2211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76333A15" w14:textId="77777777" w:rsidR="00F1624E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参与集中的</w:t>
            </w:r>
          </w:p>
          <w:p w14:paraId="264836A2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经营者简介</w:t>
            </w:r>
          </w:p>
        </w:tc>
        <w:tc>
          <w:tcPr>
            <w:tcW w:w="1061" w:type="dxa"/>
          </w:tcPr>
          <w:p w14:paraId="3B64BA32" w14:textId="305EACF2" w:rsidR="00CB00DF" w:rsidRPr="00CB00DF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1、</w:t>
            </w:r>
            <w:r w:rsid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A</w:t>
            </w:r>
            <w:r w:rsidR="00E959DA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PMH</w:t>
            </w:r>
          </w:p>
        </w:tc>
        <w:tc>
          <w:tcPr>
            <w:tcW w:w="5888" w:type="dxa"/>
          </w:tcPr>
          <w:p w14:paraId="2247E5BC" w14:textId="51358677" w:rsidR="00CB00DF" w:rsidRPr="00CB00DF" w:rsidRDefault="00E959DA" w:rsidP="00214B1E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APMH</w:t>
            </w:r>
            <w:r w:rsidR="009C71C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于2013年</w:t>
            </w:r>
            <w:r w:rsidR="00F55BEF" w:rsidRP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12月20日</w:t>
            </w:r>
            <w:r w:rsidR="009C71C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成立，</w:t>
            </w:r>
            <w:r w:rsidR="0095394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注册</w:t>
            </w:r>
            <w:r w:rsidR="001E477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地为</w:t>
            </w:r>
            <w:r w:rsidR="0095394E"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丹麦哥本哈根</w:t>
            </w:r>
            <w:r w:rsidR="0095394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，</w:t>
            </w:r>
            <w:r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是</w:t>
            </w:r>
            <w:r w:rsidR="00D10EA8">
              <w:rPr>
                <w:rFonts w:ascii="仿宋" w:eastAsia="仿宋" w:hAnsi="仿宋" w:cs="宋体"/>
                <w:bCs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AP</w:t>
            </w:r>
            <w:r w:rsidR="00413303">
              <w:rPr>
                <w:rFonts w:ascii="仿宋" w:eastAsia="仿宋" w:hAnsi="仿宋" w:cs="宋体" w:hint="eastAsia"/>
                <w:bCs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穆勒集团</w:t>
            </w:r>
            <w:r w:rsidR="00F55BEF">
              <w:rPr>
                <w:rFonts w:ascii="仿宋" w:eastAsia="仿宋" w:hAnsi="仿宋" w:cs="宋体" w:hint="eastAsia"/>
                <w:bCs/>
                <w:color w:val="333333"/>
                <w:kern w:val="0"/>
                <w:sz w:val="24"/>
                <w:szCs w:val="24"/>
                <w:bdr w:val="none" w:sz="0" w:space="0" w:color="auto" w:frame="1"/>
                <w:lang w:val="en-GB"/>
              </w:rPr>
              <w:t>的控股</w:t>
            </w:r>
            <w:r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公司。</w:t>
            </w:r>
            <w:r w:rsidRPr="007A6EE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APMH</w:t>
            </w:r>
            <w:r w:rsidR="008267ED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通过其</w:t>
            </w:r>
            <w:r w:rsidR="00691E3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控股的</w:t>
            </w:r>
            <w:r w:rsid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上市公司马士基</w:t>
            </w:r>
            <w:r w:rsidR="00CA6EE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主要</w:t>
            </w:r>
            <w:r w:rsidR="00691E3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开展</w:t>
            </w:r>
            <w:r w:rsidR="00691E36" w:rsidRPr="00691E3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集装箱班轮运输、集装箱码头服务</w:t>
            </w:r>
            <w:r w:rsidR="00285A7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、内陆联运、内陆服务、供应链管理服务、港口拖轮、</w:t>
            </w:r>
            <w:r w:rsidR="0045581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冷藏集装箱制造</w:t>
            </w:r>
            <w:r w:rsid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；此外A</w:t>
            </w:r>
            <w:bookmarkStart w:id="0" w:name="_GoBack"/>
            <w:bookmarkEnd w:id="0"/>
            <w:r w:rsid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PMH还通过其直接或间接投资的</w:t>
            </w:r>
            <w:r w:rsidR="00956A2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其他</w:t>
            </w:r>
            <w:r w:rsid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子公司从事与马士基</w:t>
            </w:r>
            <w:r w:rsidR="00F55BEF" w:rsidRP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无关的</w:t>
            </w:r>
            <w:r w:rsid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其他</w:t>
            </w:r>
            <w:r w:rsidR="00F55BEF" w:rsidRP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投资活动</w:t>
            </w:r>
            <w:r w:rsid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，例如</w:t>
            </w:r>
            <w:r w:rsidR="0057657F" w:rsidRPr="00C14CF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钻探</w:t>
            </w:r>
            <w:r w:rsidR="00DD7EE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服务</w:t>
            </w:r>
            <w:r w:rsidRPr="007A6EE1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、</w:t>
            </w:r>
            <w:r w:rsidR="0015274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风力发电</w:t>
            </w:r>
            <w:r w:rsidR="00431B1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机</w:t>
            </w:r>
            <w:r w:rsidR="0015274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控制和监控系统</w:t>
            </w:r>
            <w:r w:rsidR="00214B1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生产和销售</w:t>
            </w:r>
            <w:r w:rsidRPr="007A6EE1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、</w:t>
            </w:r>
            <w:r w:rsid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金融行业投资、私募股权基金投资</w:t>
            </w:r>
            <w:r w:rsidRPr="007A6EE1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、</w:t>
            </w:r>
            <w:r w:rsid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以及</w:t>
            </w:r>
            <w:r w:rsidR="00F55BEF" w:rsidRPr="00F55BE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固定收益和证券的金融投资</w:t>
            </w:r>
            <w:r w:rsidR="0025712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业务活动</w:t>
            </w:r>
            <w:r w:rsidRPr="007A6EE1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</w:tc>
      </w:tr>
      <w:tr w:rsidR="003F2211" w:rsidRPr="00CB00DF" w14:paraId="18B16E44" w14:textId="77777777" w:rsidTr="003F2211">
        <w:trPr>
          <w:trHeight w:val="1010"/>
        </w:trPr>
        <w:tc>
          <w:tcPr>
            <w:tcW w:w="1809" w:type="dxa"/>
            <w:vMerge/>
            <w:shd w:val="clear" w:color="auto" w:fill="D9D9D9"/>
            <w:vAlign w:val="center"/>
          </w:tcPr>
          <w:p w14:paraId="661F70E4" w14:textId="77777777" w:rsidR="00E959DA" w:rsidRPr="00CB00DF" w:rsidRDefault="00E959DA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061" w:type="dxa"/>
          </w:tcPr>
          <w:p w14:paraId="5F3ABA0F" w14:textId="189A55CC" w:rsidR="00E959DA" w:rsidRPr="00CB00DF" w:rsidRDefault="00E959DA" w:rsidP="00E959DA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2、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N</w:t>
            </w:r>
            <w: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CS</w:t>
            </w:r>
          </w:p>
        </w:tc>
        <w:tc>
          <w:tcPr>
            <w:tcW w:w="5888" w:type="dxa"/>
          </w:tcPr>
          <w:p w14:paraId="6B00CC7B" w14:textId="0FB17947" w:rsidR="00E959DA" w:rsidRPr="00CB00DF" w:rsidRDefault="00E959DA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NCS</w:t>
            </w:r>
            <w:r w:rsidR="0025712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于2018年</w:t>
            </w:r>
            <w:r w:rsidR="00431B13" w:rsidRPr="00431B1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9月21日</w:t>
            </w:r>
            <w:r w:rsidR="0025712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成立，</w:t>
            </w:r>
            <w:r w:rsidR="001E477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注册地为丹麦霍森斯市，</w:t>
            </w:r>
            <w:r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是一家为工业应用提供定制化冷却解决方案，</w:t>
            </w:r>
            <w:r w:rsidR="000B29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以及</w:t>
            </w:r>
            <w:r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为风力</w:t>
            </w:r>
            <w:r w:rsid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发电</w:t>
            </w:r>
            <w:r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行业应用提供冷却解决方案</w:t>
            </w:r>
            <w:r w:rsidR="007D379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的供应商</w:t>
            </w:r>
            <w:r w:rsidRPr="00E959D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</w:tc>
      </w:tr>
      <w:tr w:rsidR="00CB00DF" w:rsidRPr="00CB00DF" w14:paraId="7090366D" w14:textId="77777777" w:rsidTr="00CB00DF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230B3E45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14:paraId="01609065" w14:textId="77777777" w:rsidR="00CB00DF" w:rsidRPr="00CB00DF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□1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.</w:t>
            </w: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在同一相关市场，所有参与集中的经营者所占市场份额之和小于15%。</w:t>
            </w:r>
          </w:p>
        </w:tc>
      </w:tr>
      <w:tr w:rsidR="00CB00DF" w:rsidRPr="00CB00DF" w14:paraId="6DAE1A64" w14:textId="77777777" w:rsidTr="00CB00DF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6784D53A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6DF51185" w14:textId="77777777" w:rsidR="00CB00DF" w:rsidRPr="00CB00DF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□2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.</w:t>
            </w: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存在上下游关系的参与集中的经营者，在上下游市场所占的市场份额均小于25%。</w:t>
            </w:r>
          </w:p>
        </w:tc>
      </w:tr>
      <w:tr w:rsidR="00CB00DF" w:rsidRPr="00CB00DF" w14:paraId="393CDA07" w14:textId="77777777" w:rsidTr="00CB00DF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4B3770EE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28F42504" w14:textId="4B83AAEE" w:rsidR="00CB00DF" w:rsidRPr="00CB00DF" w:rsidRDefault="0067096A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67096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sym w:font="Wingdings" w:char="F0FE"/>
            </w:r>
            <w:r w:rsidR="00CB00DF"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.</w:t>
            </w:r>
            <w:r w:rsidR="00CB00DF"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不在同一相关市场、也不存在上下游关系的参与集中的经营者，在与交易有关的每个市场所占的份额均小于25%。</w:t>
            </w:r>
          </w:p>
        </w:tc>
      </w:tr>
      <w:tr w:rsidR="00CB00DF" w:rsidRPr="00CB00DF" w14:paraId="70B25D49" w14:textId="77777777" w:rsidTr="00CB00DF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14:paraId="6E8514A2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02757FBE" w14:textId="77777777" w:rsidR="00CB00DF" w:rsidRPr="00CB00DF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□4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.</w:t>
            </w: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参与集中的经营者在中国境外设立合营企业，合营企业不在中国境内从事经济活动。</w:t>
            </w:r>
          </w:p>
        </w:tc>
      </w:tr>
      <w:tr w:rsidR="00CB00DF" w:rsidRPr="00CB00DF" w14:paraId="4093C694" w14:textId="77777777" w:rsidTr="00CB00DF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05B19B62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09A2AB56" w14:textId="77777777" w:rsidR="00CB00DF" w:rsidRPr="00CB00DF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□5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.</w:t>
            </w: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参与集中的经营者收购境外企业股权或资产的，该境外企业不在中国境内从事经济活动。</w:t>
            </w:r>
          </w:p>
        </w:tc>
      </w:tr>
      <w:tr w:rsidR="00CB00DF" w:rsidRPr="00CB00DF" w14:paraId="4BC205D1" w14:textId="77777777" w:rsidTr="00CB00DF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0035E86C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14:paraId="2F2223BE" w14:textId="77777777" w:rsidR="00CB00DF" w:rsidRPr="00CB00DF" w:rsidRDefault="00CB00DF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□6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.</w:t>
            </w: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由两个以上的经营者共同控制的合营企业，通过集中被其中一个或一个以上经营者控制。</w:t>
            </w:r>
          </w:p>
        </w:tc>
      </w:tr>
      <w:tr w:rsidR="00CB00DF" w:rsidRPr="00CB00DF" w14:paraId="6889950C" w14:textId="77777777" w:rsidTr="00CB00DF">
        <w:tc>
          <w:tcPr>
            <w:tcW w:w="1809" w:type="dxa"/>
            <w:shd w:val="clear" w:color="auto" w:fill="D9D9D9"/>
            <w:vAlign w:val="center"/>
          </w:tcPr>
          <w:p w14:paraId="6D660A53" w14:textId="77777777" w:rsidR="00CB00DF" w:rsidRPr="00CB00DF" w:rsidRDefault="00CB00DF" w:rsidP="00CB00DF">
            <w:pPr>
              <w:spacing w:line="500" w:lineRule="exact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CB00D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备注</w:t>
            </w:r>
          </w:p>
        </w:tc>
        <w:tc>
          <w:tcPr>
            <w:tcW w:w="6949" w:type="dxa"/>
            <w:gridSpan w:val="2"/>
          </w:tcPr>
          <w:p w14:paraId="22DE07DA" w14:textId="246C01B1" w:rsidR="00FB12AA" w:rsidRDefault="00FB12AA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u w:val="single"/>
                <w:bdr w:val="none" w:sz="0" w:space="0" w:color="auto" w:frame="1"/>
              </w:rPr>
            </w:pPr>
            <w:r w:rsidRP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u w:val="single"/>
                <w:bdr w:val="none" w:sz="0" w:space="0" w:color="auto" w:frame="1"/>
              </w:rPr>
              <w:t>相关商品市场</w:t>
            </w:r>
            <w:r w:rsidRP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：</w:t>
            </w:r>
          </w:p>
          <w:p w14:paraId="5D4FBA8F" w14:textId="77777777" w:rsidR="0021391F" w:rsidRDefault="00FB12AA" w:rsidP="00FB12AA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风力发电冷却系统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市场、</w:t>
            </w:r>
          </w:p>
          <w:p w14:paraId="1A28D0C4" w14:textId="56B4E494" w:rsidR="00FB12AA" w:rsidRDefault="00FB12AA" w:rsidP="00FB12AA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风力发电机控制和监</w:t>
            </w:r>
            <w:r w:rsidR="007D379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控</w:t>
            </w:r>
            <w:r w:rsidRP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系统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市场。</w:t>
            </w:r>
          </w:p>
          <w:p w14:paraId="05975702" w14:textId="77777777" w:rsidR="00FB12AA" w:rsidRPr="00FB12AA" w:rsidRDefault="00FB12AA" w:rsidP="00FB12AA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  <w:p w14:paraId="69FC3EC0" w14:textId="76DBD4D6" w:rsidR="00FB12AA" w:rsidRDefault="00FB12AA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u w:val="single"/>
                <w:bdr w:val="none" w:sz="0" w:space="0" w:color="auto" w:frame="1"/>
              </w:rPr>
              <w:t>相关</w:t>
            </w:r>
            <w:r w:rsidRP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u w:val="single"/>
                <w:bdr w:val="none" w:sz="0" w:space="0" w:color="auto" w:frame="1"/>
              </w:rPr>
              <w:t>地域市场</w:t>
            </w:r>
            <w:r w:rsidRP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：中国</w:t>
            </w:r>
            <w:r w:rsidR="00293DE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境内</w:t>
            </w:r>
          </w:p>
          <w:p w14:paraId="65A242A3" w14:textId="77777777" w:rsidR="00FB12AA" w:rsidRDefault="00FB12AA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u w:val="single"/>
                <w:bdr w:val="none" w:sz="0" w:space="0" w:color="auto" w:frame="1"/>
              </w:rPr>
            </w:pPr>
          </w:p>
          <w:p w14:paraId="330AC153" w14:textId="042A689F" w:rsidR="00CB00DF" w:rsidRDefault="0067096A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  <w:r w:rsidRP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u w:val="single"/>
                <w:bdr w:val="none" w:sz="0" w:space="0" w:color="auto" w:frame="1"/>
              </w:rPr>
              <w:t>市场份额</w:t>
            </w:r>
            <w:r w:rsidR="00FB12AA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：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39"/>
              <w:gridCol w:w="2239"/>
              <w:gridCol w:w="2240"/>
            </w:tblGrid>
            <w:tr w:rsidR="00FB12AA" w:rsidRPr="00FB12AA" w14:paraId="6EB723EB" w14:textId="77777777" w:rsidTr="00FB12AA">
              <w:tc>
                <w:tcPr>
                  <w:tcW w:w="2239" w:type="dxa"/>
                </w:tcPr>
                <w:p w14:paraId="34477464" w14:textId="1BE3090E" w:rsidR="00FB12AA" w:rsidRPr="00FB12AA" w:rsidRDefault="00FB12AA" w:rsidP="00FB12AA">
                  <w:pPr>
                    <w:rPr>
                      <w:rFonts w:ascii="Times New Roman" w:eastAsia="仿宋" w:hAnsi="Times New Roman" w:cs="宋体"/>
                      <w:b/>
                      <w:bCs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 w:rsidRPr="00FB12AA">
                    <w:rPr>
                      <w:rFonts w:ascii="Times New Roman" w:eastAsia="仿宋" w:hAnsi="Times New Roman" w:cs="宋体" w:hint="eastAsia"/>
                      <w:b/>
                      <w:bCs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市场份额</w:t>
                  </w:r>
                </w:p>
              </w:tc>
              <w:tc>
                <w:tcPr>
                  <w:tcW w:w="2239" w:type="dxa"/>
                </w:tcPr>
                <w:p w14:paraId="3448E56A" w14:textId="398ADDFF" w:rsidR="00FB12AA" w:rsidRPr="00FB12AA" w:rsidRDefault="00FB12AA" w:rsidP="00FB12AA">
                  <w:pPr>
                    <w:rPr>
                      <w:rFonts w:ascii="Times New Roman" w:eastAsia="仿宋" w:hAnsi="Times New Roman" w:cs="宋体"/>
                      <w:b/>
                      <w:bCs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 w:rsidRPr="00FB12AA">
                    <w:rPr>
                      <w:rFonts w:ascii="Times New Roman" w:eastAsia="仿宋" w:hAnsi="Times New Roman" w:cs="宋体" w:hint="eastAsia"/>
                      <w:b/>
                      <w:bCs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A</w:t>
                  </w:r>
                  <w:r w:rsidRPr="00FB12AA">
                    <w:rPr>
                      <w:rFonts w:ascii="Times New Roman" w:eastAsia="仿宋" w:hAnsi="Times New Roman" w:cs="宋体"/>
                      <w:b/>
                      <w:bCs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PMH</w:t>
                  </w:r>
                </w:p>
              </w:tc>
              <w:tc>
                <w:tcPr>
                  <w:tcW w:w="2240" w:type="dxa"/>
                </w:tcPr>
                <w:p w14:paraId="6B95D91D" w14:textId="2DB65FBF" w:rsidR="00FB12AA" w:rsidRPr="00FB12AA" w:rsidRDefault="00FB12AA" w:rsidP="00FB12AA">
                  <w:pPr>
                    <w:rPr>
                      <w:rFonts w:ascii="Times New Roman" w:eastAsia="仿宋" w:hAnsi="Times New Roman" w:cs="宋体"/>
                      <w:b/>
                      <w:bCs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 w:rsidRPr="00FB12AA">
                    <w:rPr>
                      <w:rFonts w:ascii="Times New Roman" w:eastAsia="仿宋" w:hAnsi="Times New Roman" w:cs="宋体" w:hint="eastAsia"/>
                      <w:b/>
                      <w:bCs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N</w:t>
                  </w:r>
                  <w:r w:rsidRPr="00FB12AA">
                    <w:rPr>
                      <w:rFonts w:ascii="Times New Roman" w:eastAsia="仿宋" w:hAnsi="Times New Roman" w:cs="宋体"/>
                      <w:b/>
                      <w:bCs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CS</w:t>
                  </w:r>
                </w:p>
              </w:tc>
            </w:tr>
            <w:tr w:rsidR="00FB12AA" w:rsidRPr="00FB12AA" w14:paraId="0F5FFC8F" w14:textId="77777777" w:rsidTr="00FB12AA">
              <w:tc>
                <w:tcPr>
                  <w:tcW w:w="2239" w:type="dxa"/>
                </w:tcPr>
                <w:p w14:paraId="02E9EE47" w14:textId="4016C189" w:rsidR="00FB12AA" w:rsidRPr="00FB12AA" w:rsidRDefault="0052683C" w:rsidP="00FB12AA">
                  <w:pPr>
                    <w:rPr>
                      <w:rFonts w:ascii="Times New Roman" w:eastAsia="仿宋" w:hAnsi="Times New Roman" w:cs="宋体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Times New Roman" w:eastAsia="仿宋" w:hAnsi="Times New Roman" w:cs="宋体" w:hint="eastAsia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中国</w:t>
                  </w:r>
                  <w:r w:rsidR="00FB12AA" w:rsidRPr="00FB12AA">
                    <w:rPr>
                      <w:rFonts w:ascii="Times New Roman" w:eastAsia="仿宋" w:hAnsi="Times New Roman" w:cs="宋体" w:hint="eastAsia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风力发电冷却系统市场</w:t>
                  </w:r>
                </w:p>
              </w:tc>
              <w:tc>
                <w:tcPr>
                  <w:tcW w:w="2239" w:type="dxa"/>
                </w:tcPr>
                <w:p w14:paraId="6366CFAA" w14:textId="33848581" w:rsidR="00FB12AA" w:rsidRPr="00FB12AA" w:rsidRDefault="00FB12AA" w:rsidP="00FB12AA">
                  <w:pPr>
                    <w:rPr>
                      <w:rFonts w:ascii="Times New Roman" w:eastAsia="仿宋" w:hAnsi="Times New Roman" w:cs="宋体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 w:rsidRPr="00FB12AA">
                    <w:rPr>
                      <w:rFonts w:ascii="Times New Roman" w:hAnsi="Times New Roman"/>
                      <w:color w:val="000000"/>
                      <w:szCs w:val="21"/>
                    </w:rPr>
                    <w:t>0%</w:t>
                  </w:r>
                </w:p>
              </w:tc>
              <w:tc>
                <w:tcPr>
                  <w:tcW w:w="2240" w:type="dxa"/>
                </w:tcPr>
                <w:p w14:paraId="7A399D99" w14:textId="2C742B3D" w:rsidR="00FB12AA" w:rsidRPr="00FB12AA" w:rsidRDefault="00E00787" w:rsidP="00FB12AA">
                  <w:pPr>
                    <w:rPr>
                      <w:rFonts w:ascii="Times New Roman" w:eastAsia="仿宋" w:hAnsi="Times New Roman" w:cs="宋体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Times New Roman" w:hAnsi="Times New Roman" w:hint="eastAsia"/>
                      <w:color w:val="000000"/>
                      <w:szCs w:val="21"/>
                    </w:rPr>
                    <w:t>0-</w:t>
                  </w:r>
                  <w:r>
                    <w:rPr>
                      <w:rFonts w:ascii="Times New Roman" w:hAnsi="Times New Roman"/>
                      <w:color w:val="000000"/>
                      <w:szCs w:val="21"/>
                    </w:rPr>
                    <w:t>5</w:t>
                  </w:r>
                  <w:r w:rsidR="00FB12AA" w:rsidRPr="00FB12AA">
                    <w:rPr>
                      <w:rFonts w:ascii="Times New Roman" w:hAnsi="Times New Roman"/>
                      <w:color w:val="000000"/>
                      <w:szCs w:val="21"/>
                    </w:rPr>
                    <w:t>%</w:t>
                  </w:r>
                </w:p>
              </w:tc>
            </w:tr>
            <w:tr w:rsidR="00AD2D85" w:rsidRPr="00FB12AA" w14:paraId="5DFE2F06" w14:textId="77777777" w:rsidTr="00FB12AA">
              <w:tc>
                <w:tcPr>
                  <w:tcW w:w="2239" w:type="dxa"/>
                </w:tcPr>
                <w:p w14:paraId="7068A4BB" w14:textId="6E2FEFBE" w:rsidR="00AD2D85" w:rsidRPr="00FB12AA" w:rsidRDefault="00AD2D85" w:rsidP="00FB12AA">
                  <w:pPr>
                    <w:rPr>
                      <w:rFonts w:ascii="Times New Roman" w:eastAsia="仿宋" w:hAnsi="Times New Roman" w:cs="宋体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Times New Roman" w:eastAsia="仿宋" w:hAnsi="Times New Roman" w:cs="宋体" w:hint="eastAsia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中国</w:t>
                  </w:r>
                  <w:r w:rsidRPr="00FB12AA">
                    <w:rPr>
                      <w:rFonts w:ascii="Times New Roman" w:eastAsia="仿宋" w:hAnsi="Times New Roman" w:cs="宋体" w:hint="eastAsia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风力发电机控制和监</w:t>
                  </w:r>
                  <w:r>
                    <w:rPr>
                      <w:rFonts w:ascii="Times New Roman" w:eastAsia="仿宋" w:hAnsi="Times New Roman" w:cs="宋体" w:hint="eastAsia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控</w:t>
                  </w:r>
                  <w:r w:rsidRPr="00FB12AA">
                    <w:rPr>
                      <w:rFonts w:ascii="Times New Roman" w:eastAsia="仿宋" w:hAnsi="Times New Roman" w:cs="宋体" w:hint="eastAsia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  <w:t>系统市场</w:t>
                  </w:r>
                </w:p>
              </w:tc>
              <w:tc>
                <w:tcPr>
                  <w:tcW w:w="2239" w:type="dxa"/>
                </w:tcPr>
                <w:p w14:paraId="79848F45" w14:textId="400D467E" w:rsidR="00AD2D85" w:rsidRPr="00FB12AA" w:rsidRDefault="00AD2D85" w:rsidP="00FB12AA">
                  <w:pPr>
                    <w:rPr>
                      <w:rFonts w:ascii="Times New Roman" w:eastAsia="仿宋" w:hAnsi="Times New Roman" w:cs="宋体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 w:rsidRPr="00FB12AA">
                    <w:rPr>
                      <w:rFonts w:ascii="Times New Roman" w:hAnsi="Times New Roman"/>
                      <w:color w:val="000000"/>
                      <w:szCs w:val="21"/>
                    </w:rPr>
                    <w:t>0-5%</w:t>
                  </w:r>
                </w:p>
              </w:tc>
              <w:tc>
                <w:tcPr>
                  <w:tcW w:w="2240" w:type="dxa"/>
                </w:tcPr>
                <w:p w14:paraId="6D793549" w14:textId="585638BF" w:rsidR="00AD2D85" w:rsidRPr="00FB12AA" w:rsidRDefault="00AD2D85" w:rsidP="00FB12AA">
                  <w:pPr>
                    <w:rPr>
                      <w:rFonts w:ascii="Times New Roman" w:eastAsia="仿宋" w:hAnsi="Times New Roman" w:cs="宋体"/>
                      <w:color w:val="333333"/>
                      <w:kern w:val="0"/>
                      <w:sz w:val="24"/>
                      <w:szCs w:val="24"/>
                      <w:bdr w:val="none" w:sz="0" w:space="0" w:color="auto" w:frame="1"/>
                    </w:rPr>
                  </w:pPr>
                  <w:r w:rsidRPr="00FB12AA">
                    <w:rPr>
                      <w:rFonts w:ascii="Times New Roman" w:hAnsi="Times New Roman"/>
                      <w:color w:val="000000"/>
                      <w:szCs w:val="21"/>
                    </w:rPr>
                    <w:t>0%</w:t>
                  </w:r>
                </w:p>
              </w:tc>
            </w:tr>
          </w:tbl>
          <w:p w14:paraId="7EA70577" w14:textId="43C9E2B3" w:rsidR="0067096A" w:rsidRPr="00CB00DF" w:rsidRDefault="0067096A" w:rsidP="006908A4">
            <w:pPr>
              <w:spacing w:line="500" w:lineRule="exac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</w:tbl>
    <w:p w14:paraId="0127E014" w14:textId="77777777" w:rsidR="00CB00DF" w:rsidRDefault="00CB00DF" w:rsidP="00CB00DF">
      <w:pPr>
        <w:snapToGrid w:val="0"/>
        <w:spacing w:line="240" w:lineRule="exact"/>
        <w:jc w:val="left"/>
        <w:rPr>
          <w:rFonts w:ascii="楷体_GB2312" w:eastAsia="楷体_GB2312" w:hAnsi="宋体"/>
          <w:sz w:val="24"/>
          <w:szCs w:val="24"/>
        </w:rPr>
      </w:pPr>
    </w:p>
    <w:p w14:paraId="75284ECB" w14:textId="77777777" w:rsidR="00CB00DF" w:rsidRDefault="00CB00DF" w:rsidP="00CB00DF"/>
    <w:p w14:paraId="2663B536" w14:textId="77777777" w:rsidR="000F5E24" w:rsidRPr="00CB00DF" w:rsidRDefault="0034662C"/>
    <w:sectPr w:rsidR="000F5E24" w:rsidRPr="00CB00DF" w:rsidSect="00ED2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91B926" w14:textId="77777777" w:rsidR="0034662C" w:rsidRDefault="0034662C" w:rsidP="007C2593">
      <w:r>
        <w:separator/>
      </w:r>
    </w:p>
  </w:endnote>
  <w:endnote w:type="continuationSeparator" w:id="0">
    <w:p w14:paraId="6CC87404" w14:textId="77777777" w:rsidR="0034662C" w:rsidRDefault="0034662C" w:rsidP="007C2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DB991A" w14:textId="77777777" w:rsidR="0034662C" w:rsidRDefault="0034662C" w:rsidP="007C2593">
      <w:r>
        <w:separator/>
      </w:r>
    </w:p>
  </w:footnote>
  <w:footnote w:type="continuationSeparator" w:id="0">
    <w:p w14:paraId="315630A7" w14:textId="77777777" w:rsidR="0034662C" w:rsidRDefault="0034662C" w:rsidP="007C25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42E4D"/>
    <w:multiLevelType w:val="hybridMultilevel"/>
    <w:tmpl w:val="166ED0B4"/>
    <w:lvl w:ilvl="0" w:tplc="7F8C99BA">
      <w:start w:val="1"/>
      <w:numFmt w:val="lowerRoman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6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37065"/>
    <w:rsid w:val="0004236F"/>
    <w:rsid w:val="000529AF"/>
    <w:rsid w:val="000A1EF1"/>
    <w:rsid w:val="000B2963"/>
    <w:rsid w:val="000B38FA"/>
    <w:rsid w:val="000B60D7"/>
    <w:rsid w:val="000D7EBA"/>
    <w:rsid w:val="0010042E"/>
    <w:rsid w:val="001164CD"/>
    <w:rsid w:val="00123BB0"/>
    <w:rsid w:val="00152746"/>
    <w:rsid w:val="00155717"/>
    <w:rsid w:val="00166E68"/>
    <w:rsid w:val="001837A3"/>
    <w:rsid w:val="001951BE"/>
    <w:rsid w:val="001B20B4"/>
    <w:rsid w:val="001E205D"/>
    <w:rsid w:val="001E4778"/>
    <w:rsid w:val="0021391F"/>
    <w:rsid w:val="00214B1E"/>
    <w:rsid w:val="0023698F"/>
    <w:rsid w:val="00257120"/>
    <w:rsid w:val="00257E1E"/>
    <w:rsid w:val="0026506A"/>
    <w:rsid w:val="00285A78"/>
    <w:rsid w:val="00293DE9"/>
    <w:rsid w:val="0029758A"/>
    <w:rsid w:val="002C110A"/>
    <w:rsid w:val="002C1200"/>
    <w:rsid w:val="002E5100"/>
    <w:rsid w:val="002E6F9D"/>
    <w:rsid w:val="0034662C"/>
    <w:rsid w:val="00381E55"/>
    <w:rsid w:val="003C0AEB"/>
    <w:rsid w:val="003F2211"/>
    <w:rsid w:val="00413303"/>
    <w:rsid w:val="00431B13"/>
    <w:rsid w:val="00451059"/>
    <w:rsid w:val="00455819"/>
    <w:rsid w:val="0047003C"/>
    <w:rsid w:val="004910D9"/>
    <w:rsid w:val="00491AD8"/>
    <w:rsid w:val="004B78EE"/>
    <w:rsid w:val="004D351B"/>
    <w:rsid w:val="004D5F05"/>
    <w:rsid w:val="004D5F42"/>
    <w:rsid w:val="004F7688"/>
    <w:rsid w:val="0052683C"/>
    <w:rsid w:val="0057657F"/>
    <w:rsid w:val="005B344E"/>
    <w:rsid w:val="005C266E"/>
    <w:rsid w:val="005D38B2"/>
    <w:rsid w:val="005F32A6"/>
    <w:rsid w:val="0063444D"/>
    <w:rsid w:val="006467D8"/>
    <w:rsid w:val="0067096A"/>
    <w:rsid w:val="006714B2"/>
    <w:rsid w:val="00691E36"/>
    <w:rsid w:val="006A531B"/>
    <w:rsid w:val="006B2884"/>
    <w:rsid w:val="006F7693"/>
    <w:rsid w:val="007023A2"/>
    <w:rsid w:val="00710140"/>
    <w:rsid w:val="00771C48"/>
    <w:rsid w:val="00786875"/>
    <w:rsid w:val="007A6EE1"/>
    <w:rsid w:val="007C2593"/>
    <w:rsid w:val="007D2244"/>
    <w:rsid w:val="007D3796"/>
    <w:rsid w:val="007D3E17"/>
    <w:rsid w:val="007F2275"/>
    <w:rsid w:val="00824FDE"/>
    <w:rsid w:val="008267ED"/>
    <w:rsid w:val="00864E5C"/>
    <w:rsid w:val="008B7E0A"/>
    <w:rsid w:val="00915F0F"/>
    <w:rsid w:val="009532DF"/>
    <w:rsid w:val="0095394E"/>
    <w:rsid w:val="00956A25"/>
    <w:rsid w:val="009771A2"/>
    <w:rsid w:val="00997019"/>
    <w:rsid w:val="009A5029"/>
    <w:rsid w:val="009C71C0"/>
    <w:rsid w:val="009D38D5"/>
    <w:rsid w:val="00A4181F"/>
    <w:rsid w:val="00A53F26"/>
    <w:rsid w:val="00AA0CC5"/>
    <w:rsid w:val="00AD2D85"/>
    <w:rsid w:val="00B16AFE"/>
    <w:rsid w:val="00B22907"/>
    <w:rsid w:val="00B257CF"/>
    <w:rsid w:val="00B55C6A"/>
    <w:rsid w:val="00B567E8"/>
    <w:rsid w:val="00B65DD5"/>
    <w:rsid w:val="00B7769A"/>
    <w:rsid w:val="00BA575B"/>
    <w:rsid w:val="00BC0C23"/>
    <w:rsid w:val="00BC3FCB"/>
    <w:rsid w:val="00BD10B6"/>
    <w:rsid w:val="00C07076"/>
    <w:rsid w:val="00C07A4A"/>
    <w:rsid w:val="00C14CF0"/>
    <w:rsid w:val="00C15961"/>
    <w:rsid w:val="00C16EC5"/>
    <w:rsid w:val="00C92729"/>
    <w:rsid w:val="00CA6EE5"/>
    <w:rsid w:val="00CB00DF"/>
    <w:rsid w:val="00D10EA8"/>
    <w:rsid w:val="00D73254"/>
    <w:rsid w:val="00D73C72"/>
    <w:rsid w:val="00D903E5"/>
    <w:rsid w:val="00DA5767"/>
    <w:rsid w:val="00DD7EE0"/>
    <w:rsid w:val="00DE1B81"/>
    <w:rsid w:val="00DE5211"/>
    <w:rsid w:val="00E00787"/>
    <w:rsid w:val="00E0592B"/>
    <w:rsid w:val="00E31738"/>
    <w:rsid w:val="00E62A53"/>
    <w:rsid w:val="00E674CC"/>
    <w:rsid w:val="00E86786"/>
    <w:rsid w:val="00E959DA"/>
    <w:rsid w:val="00E97376"/>
    <w:rsid w:val="00EA61D9"/>
    <w:rsid w:val="00ED2F80"/>
    <w:rsid w:val="00EE115F"/>
    <w:rsid w:val="00F1002C"/>
    <w:rsid w:val="00F1624E"/>
    <w:rsid w:val="00F32F8A"/>
    <w:rsid w:val="00F55BEF"/>
    <w:rsid w:val="00F810AA"/>
    <w:rsid w:val="00FB12AA"/>
    <w:rsid w:val="00FB43EC"/>
    <w:rsid w:val="00FB6B40"/>
    <w:rsid w:val="00FD211A"/>
    <w:rsid w:val="00FE44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329F8"/>
  <w15:docId w15:val="{68A30D70-9B8F-46FB-89CB-5F951706B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B00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2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C2593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C2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C2593"/>
    <w:rPr>
      <w:rFonts w:ascii="Calibri" w:eastAsia="宋体" w:hAnsi="Calibri" w:cs="Times New Roman"/>
      <w:sz w:val="18"/>
      <w:szCs w:val="18"/>
    </w:rPr>
  </w:style>
  <w:style w:type="table" w:styleId="TableGrid">
    <w:name w:val="Table Grid"/>
    <w:basedOn w:val="TableNormal"/>
    <w:uiPriority w:val="39"/>
    <w:unhideWhenUsed/>
    <w:rsid w:val="00FB12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3BB0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B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139</Words>
  <Characters>795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陈媚</dc:creator>
  <cp:lastModifiedBy>JMP</cp:lastModifiedBy>
  <cp:revision>4</cp:revision>
  <dcterms:created xsi:type="dcterms:W3CDTF">2021-09-26T03:27:00Z</dcterms:created>
  <dcterms:modified xsi:type="dcterms:W3CDTF">2021-09-26T03:40:00Z</dcterms:modified>
</cp:coreProperties>
</file>