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Times New Roman" w:hAnsi="Times New Roman" w:eastAsia="仿宋_GB2312"/>
          <w:b/>
          <w:sz w:val="28"/>
          <w:szCs w:val="24"/>
        </w:rPr>
      </w:pPr>
      <w:r>
        <w:rPr>
          <w:rFonts w:ascii="Times New Roman" w:hAnsi="Times New Roman" w:eastAsia="仿宋_GB2312"/>
          <w:b/>
          <w:sz w:val="28"/>
          <w:szCs w:val="24"/>
        </w:rPr>
        <w:t>经营者集中简易案件公示表</w:t>
      </w:r>
    </w:p>
    <w:p>
      <w:pPr>
        <w:spacing w:line="440" w:lineRule="exact"/>
        <w:jc w:val="center"/>
        <w:rPr>
          <w:rFonts w:ascii="Times New Roman" w:hAnsi="Times New Roman" w:eastAsia="仿宋_GB2312"/>
          <w:b/>
          <w:sz w:val="24"/>
          <w:szCs w:val="24"/>
        </w:rPr>
      </w:pPr>
    </w:p>
    <w:tbl>
      <w:tblPr>
        <w:tblStyle w:val="5"/>
        <w:tblW w:w="87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1559"/>
        <w:gridCol w:w="56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shd w:val="clear" w:color="auto" w:fill="D9D9D9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案件名称</w:t>
            </w:r>
          </w:p>
        </w:tc>
        <w:tc>
          <w:tcPr>
            <w:tcW w:w="7203" w:type="dxa"/>
            <w:gridSpan w:val="2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传富置业（上海）有限公司收购杭州润汀商业地产有限公司股权案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1555" w:type="dxa"/>
            <w:shd w:val="clear" w:color="auto" w:fill="D9D9D9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交易概况</w:t>
            </w:r>
          </w:p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（限200字内）</w:t>
            </w:r>
          </w:p>
        </w:tc>
        <w:tc>
          <w:tcPr>
            <w:tcW w:w="7203" w:type="dxa"/>
            <w:gridSpan w:val="2"/>
          </w:tcPr>
          <w:p>
            <w:pPr>
              <w:spacing w:line="500" w:lineRule="exact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传富置业（上海）有限公司（“</w:t>
            </w:r>
            <w:r>
              <w:rPr>
                <w:rFonts w:ascii="Times New Roman" w:hAnsi="Times New Roman" w:eastAsia="仿宋_GB2312"/>
                <w:b/>
                <w:kern w:val="0"/>
                <w:sz w:val="24"/>
                <w:szCs w:val="24"/>
              </w:rPr>
              <w:t>传富置业</w:t>
            </w: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”）拟收购杭州润汀商业地产有限公司（“</w:t>
            </w:r>
            <w:r>
              <w:rPr>
                <w:rFonts w:ascii="Times New Roman" w:hAnsi="Times New Roman" w:eastAsia="仿宋_GB2312"/>
                <w:b/>
                <w:kern w:val="0"/>
                <w:sz w:val="24"/>
                <w:szCs w:val="24"/>
              </w:rPr>
              <w:t>杭州润汀</w:t>
            </w: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”）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部分</w:t>
            </w: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股权。</w:t>
            </w:r>
          </w:p>
          <w:p>
            <w:pPr>
              <w:spacing w:line="500" w:lineRule="exact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本次交易前，上海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泓喆</w:t>
            </w: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房地产开发有限公司（“</w:t>
            </w:r>
            <w:r>
              <w:rPr>
                <w:rFonts w:ascii="Times New Roman" w:hAnsi="Times New Roman" w:eastAsia="仿宋_GB2312"/>
                <w:b/>
                <w:kern w:val="0"/>
                <w:sz w:val="24"/>
                <w:szCs w:val="24"/>
              </w:rPr>
              <w:t>上海</w:t>
            </w:r>
            <w:r>
              <w:rPr>
                <w:rFonts w:hint="eastAsia" w:ascii="Times New Roman" w:hAnsi="Times New Roman" w:eastAsia="仿宋_GB2312"/>
                <w:b/>
                <w:kern w:val="0"/>
                <w:sz w:val="24"/>
                <w:szCs w:val="24"/>
              </w:rPr>
              <w:t>泓喆</w:t>
            </w: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”）与杭州嘉格且发展有限公司（“</w:t>
            </w:r>
            <w:r>
              <w:rPr>
                <w:rFonts w:ascii="Times New Roman" w:hAnsi="Times New Roman" w:eastAsia="仿宋_GB2312"/>
                <w:b/>
                <w:kern w:val="0"/>
                <w:sz w:val="24"/>
                <w:szCs w:val="24"/>
              </w:rPr>
              <w:t>杭州嘉格</w:t>
            </w: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”）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共同控制目标公司</w:t>
            </w: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杭州润汀。交易完成后，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杭州润汀将由传富置业、上海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泓喆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、杭州嘉格</w:t>
            </w: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共同控制。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555" w:type="dxa"/>
            <w:vMerge w:val="restart"/>
            <w:shd w:val="clear" w:color="auto" w:fill="D9D9D9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参与集中的</w:t>
            </w:r>
          </w:p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经营者简介</w:t>
            </w:r>
          </w:p>
        </w:tc>
        <w:tc>
          <w:tcPr>
            <w:tcW w:w="1559" w:type="dxa"/>
          </w:tcPr>
          <w:p>
            <w:pPr>
              <w:spacing w:line="500" w:lineRule="exact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1、传富置业</w:t>
            </w:r>
          </w:p>
        </w:tc>
        <w:tc>
          <w:tcPr>
            <w:tcW w:w="5644" w:type="dxa"/>
          </w:tcPr>
          <w:p>
            <w:pPr>
              <w:spacing w:line="500" w:lineRule="exact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传富置业从事业务包含写字楼的开发和运营，其关联企业从事少量小部分的其他类型房地产业务</w:t>
            </w: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555" w:type="dxa"/>
            <w:vMerge w:val="continue"/>
            <w:shd w:val="clear" w:color="auto" w:fill="D9D9D9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spacing w:line="500" w:lineRule="exact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2、上海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泓喆</w:t>
            </w:r>
          </w:p>
        </w:tc>
        <w:tc>
          <w:tcPr>
            <w:tcW w:w="5644" w:type="dxa"/>
          </w:tcPr>
          <w:p>
            <w:pPr>
              <w:spacing w:line="500" w:lineRule="exact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上海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泓喆</w:t>
            </w: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主要从事房地产开发与物业管理服务。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555" w:type="dxa"/>
            <w:vMerge w:val="continue"/>
            <w:shd w:val="clear" w:color="auto" w:fill="D9D9D9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spacing w:line="500" w:lineRule="exact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3、杭州嘉格</w:t>
            </w:r>
          </w:p>
        </w:tc>
        <w:tc>
          <w:tcPr>
            <w:tcW w:w="5644" w:type="dxa"/>
          </w:tcPr>
          <w:p>
            <w:pPr>
              <w:spacing w:line="500" w:lineRule="exact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杭州嘉格主要从事房地产开发业务。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555" w:type="dxa"/>
            <w:vMerge w:val="continue"/>
            <w:shd w:val="clear" w:color="auto" w:fill="D9D9D9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spacing w:line="500" w:lineRule="exact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4、杭州润汀</w:t>
            </w:r>
          </w:p>
        </w:tc>
        <w:tc>
          <w:tcPr>
            <w:tcW w:w="5644" w:type="dxa"/>
          </w:tcPr>
          <w:p>
            <w:pPr>
              <w:spacing w:line="500" w:lineRule="exact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杭州润汀主要负责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本次</w:t>
            </w: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项目地块的投资开发和运营。项目地块座落于余杭区，地块用途为商业用地/商务用地、住宅用地以及公共交通场站用地。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1555" w:type="dxa"/>
            <w:vMerge w:val="restart"/>
            <w:shd w:val="clear" w:color="auto" w:fill="D9D9D9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简易案件理由（可以单选，也可以多选）</w:t>
            </w:r>
          </w:p>
        </w:tc>
        <w:tc>
          <w:tcPr>
            <w:tcW w:w="7203" w:type="dxa"/>
            <w:gridSpan w:val="2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sym w:font="Wingdings" w:char="F0FE"/>
            </w: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 xml:space="preserve"> 1.在同一相关市场，所有参与集中的经营者所占市场份额之和小于15%。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555" w:type="dxa"/>
            <w:vMerge w:val="continue"/>
            <w:shd w:val="clear" w:color="auto" w:fill="D9D9D9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7203" w:type="dxa"/>
            <w:gridSpan w:val="2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sym w:font="Wingdings" w:char="F0FE"/>
            </w: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 xml:space="preserve"> 2.</w:t>
            </w:r>
            <w:bookmarkStart w:id="0" w:name="_GoBack"/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存在上下游关系的参与集中的经营者，在上下游市场所占的市场份额均小于25%</w:t>
            </w:r>
            <w:bookmarkEnd w:id="0"/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555" w:type="dxa"/>
            <w:vMerge w:val="continue"/>
            <w:shd w:val="clear" w:color="auto" w:fill="D9D9D9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7203" w:type="dxa"/>
            <w:gridSpan w:val="2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sym w:font="Wingdings" w:char="F0A8"/>
            </w: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 xml:space="preserve"> 3.不在同一相关市场、也不存在上下游关系的参与集中的经营者，在与交易有关的每个市场所占的份额均小于25%。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555" w:type="dxa"/>
            <w:vMerge w:val="continue"/>
            <w:shd w:val="clear" w:color="auto" w:fill="D9D9D9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7203" w:type="dxa"/>
            <w:gridSpan w:val="2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sym w:font="Wingdings" w:char="F0A8"/>
            </w: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 xml:space="preserve"> 4.参与集中的经营者在中国境外设立合营企业，合营企业不在中国境内从事经济活动。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555" w:type="dxa"/>
            <w:vMerge w:val="continue"/>
            <w:shd w:val="clear" w:color="auto" w:fill="D9D9D9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7203" w:type="dxa"/>
            <w:gridSpan w:val="2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sym w:font="Wingdings" w:char="F0A8"/>
            </w: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 xml:space="preserve"> 5.参与集中的经营者收购境外企业股权或资产的，该境外企业不在中国境内从事经济活动。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555" w:type="dxa"/>
            <w:vMerge w:val="continue"/>
            <w:shd w:val="clear" w:color="auto" w:fill="D9D9D9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7203" w:type="dxa"/>
            <w:gridSpan w:val="2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sym w:font="Wingdings" w:char="F0A8"/>
            </w: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 xml:space="preserve"> 6.由两个以上的经营者共同控制的合营企业，通过集中被其中一个或一个以上经营者控制。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1555" w:type="dxa"/>
            <w:shd w:val="clear" w:color="auto" w:fill="D9D9D9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备注</w:t>
            </w:r>
          </w:p>
        </w:tc>
        <w:tc>
          <w:tcPr>
            <w:tcW w:w="7203" w:type="dxa"/>
            <w:gridSpan w:val="2"/>
          </w:tcPr>
          <w:p>
            <w:pPr>
              <w:spacing w:line="500" w:lineRule="exact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4"/>
                <w:szCs w:val="24"/>
              </w:rPr>
              <w:t>本次交易涉及的横向和纵向</w:t>
            </w:r>
            <w:r>
              <w:rPr>
                <w:rFonts w:hint="eastAsia" w:ascii="Times New Roman" w:hAnsi="Times New Roman" w:eastAsia="仿宋_GB2312"/>
                <w:b/>
                <w:kern w:val="0"/>
                <w:sz w:val="24"/>
                <w:szCs w:val="24"/>
              </w:rPr>
              <w:t>（</w:t>
            </w:r>
            <w:r>
              <w:rPr>
                <w:rFonts w:ascii="Times New Roman" w:hAnsi="Times New Roman" w:eastAsia="仿宋_GB2312"/>
                <w:b/>
                <w:kern w:val="0"/>
                <w:sz w:val="24"/>
                <w:szCs w:val="24"/>
              </w:rPr>
              <w:t>上游</w:t>
            </w:r>
            <w:r>
              <w:rPr>
                <w:rFonts w:hint="eastAsia" w:ascii="Times New Roman" w:hAnsi="Times New Roman" w:eastAsia="仿宋_GB2312"/>
                <w:b/>
                <w:kern w:val="0"/>
                <w:sz w:val="24"/>
                <w:szCs w:val="24"/>
              </w:rPr>
              <w:t>）</w:t>
            </w:r>
            <w:r>
              <w:rPr>
                <w:rFonts w:ascii="Times New Roman" w:hAnsi="Times New Roman" w:eastAsia="仿宋_GB2312"/>
                <w:b/>
                <w:kern w:val="0"/>
                <w:sz w:val="24"/>
                <w:szCs w:val="24"/>
              </w:rPr>
              <w:t>市场及市场份额</w:t>
            </w: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：</w:t>
            </w:r>
          </w:p>
          <w:p>
            <w:pPr>
              <w:pStyle w:val="11"/>
              <w:numPr>
                <w:ilvl w:val="0"/>
                <w:numId w:val="1"/>
              </w:numPr>
              <w:spacing w:line="500" w:lineRule="exact"/>
              <w:ind w:firstLineChars="0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kern w:val="0"/>
                <w:sz w:val="24"/>
                <w:szCs w:val="24"/>
                <w:u w:val="single"/>
              </w:rPr>
              <w:t>杭州市商品住宅开发和销售市场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：</w:t>
            </w:r>
          </w:p>
          <w:p>
            <w:pPr>
              <w:pStyle w:val="11"/>
              <w:spacing w:line="500" w:lineRule="exact"/>
              <w:ind w:left="420" w:firstLine="0" w:firstLineChars="0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传富置业[0-5]%,</w:t>
            </w:r>
          </w:p>
          <w:p>
            <w:pPr>
              <w:pStyle w:val="11"/>
              <w:spacing w:line="500" w:lineRule="exact"/>
              <w:ind w:left="420" w:firstLine="0" w:firstLineChars="0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上海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泓喆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[0-5]%,</w:t>
            </w:r>
          </w:p>
          <w:p>
            <w:pPr>
              <w:pStyle w:val="11"/>
              <w:spacing w:line="500" w:lineRule="exact"/>
              <w:ind w:left="420" w:firstLine="0" w:firstLineChars="0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杭州嘉格[0-5]%,</w:t>
            </w:r>
          </w:p>
          <w:p>
            <w:pPr>
              <w:pStyle w:val="11"/>
              <w:spacing w:line="500" w:lineRule="exact"/>
              <w:ind w:left="420" w:firstLine="0" w:firstLineChars="0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杭州润汀0%,</w:t>
            </w:r>
          </w:p>
          <w:p>
            <w:pPr>
              <w:pStyle w:val="11"/>
              <w:spacing w:line="500" w:lineRule="exact"/>
              <w:ind w:left="420" w:firstLine="0" w:firstLineChars="0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交易方合计[0-5]%;</w:t>
            </w:r>
          </w:p>
          <w:p>
            <w:pPr>
              <w:pStyle w:val="11"/>
              <w:numPr>
                <w:ilvl w:val="0"/>
                <w:numId w:val="1"/>
              </w:numPr>
              <w:spacing w:line="500" w:lineRule="exact"/>
              <w:ind w:firstLineChars="0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kern w:val="0"/>
                <w:sz w:val="24"/>
                <w:szCs w:val="24"/>
                <w:u w:val="single"/>
              </w:rPr>
              <w:t>杭州市大型零售商业地产开发和运营市场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：</w:t>
            </w:r>
          </w:p>
          <w:p>
            <w:pPr>
              <w:pStyle w:val="11"/>
              <w:spacing w:line="500" w:lineRule="exact"/>
              <w:ind w:left="420" w:firstLine="0" w:firstLineChars="0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传富置业[0-5]%,</w:t>
            </w:r>
          </w:p>
          <w:p>
            <w:pPr>
              <w:pStyle w:val="11"/>
              <w:spacing w:line="500" w:lineRule="exact"/>
              <w:ind w:left="420" w:firstLine="0" w:firstLineChars="0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上海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泓喆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[0-5]%,</w:t>
            </w:r>
          </w:p>
          <w:p>
            <w:pPr>
              <w:pStyle w:val="11"/>
              <w:spacing w:line="500" w:lineRule="exact"/>
              <w:ind w:left="420" w:firstLine="0" w:firstLineChars="0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杭州润汀0%,</w:t>
            </w:r>
          </w:p>
          <w:p>
            <w:pPr>
              <w:pStyle w:val="11"/>
              <w:spacing w:line="500" w:lineRule="exact"/>
              <w:ind w:left="420" w:firstLine="0" w:firstLineChars="0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交易方合计[5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-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10]%;</w:t>
            </w:r>
          </w:p>
          <w:p>
            <w:pPr>
              <w:pStyle w:val="11"/>
              <w:numPr>
                <w:ilvl w:val="0"/>
                <w:numId w:val="1"/>
              </w:numPr>
              <w:spacing w:line="500" w:lineRule="exact"/>
              <w:ind w:firstLineChars="0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kern w:val="0"/>
                <w:sz w:val="24"/>
                <w:szCs w:val="24"/>
                <w:u w:val="single"/>
              </w:rPr>
              <w:t>杭州市写字楼开发和运营市场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：</w:t>
            </w:r>
          </w:p>
          <w:p>
            <w:pPr>
              <w:pStyle w:val="11"/>
              <w:spacing w:line="500" w:lineRule="exact"/>
              <w:ind w:left="420" w:firstLine="0" w:firstLineChars="0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上海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泓喆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[0-5]%,</w:t>
            </w:r>
          </w:p>
          <w:p>
            <w:pPr>
              <w:pStyle w:val="11"/>
              <w:spacing w:line="500" w:lineRule="exact"/>
              <w:ind w:left="420" w:firstLine="0" w:firstLineChars="0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杭州嘉格[0-5]%,</w:t>
            </w:r>
          </w:p>
          <w:p>
            <w:pPr>
              <w:pStyle w:val="11"/>
              <w:spacing w:line="500" w:lineRule="exact"/>
              <w:ind w:left="420" w:firstLine="0" w:firstLineChars="0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杭州润汀0%,</w:t>
            </w:r>
          </w:p>
          <w:p>
            <w:pPr>
              <w:pStyle w:val="11"/>
              <w:spacing w:line="500" w:lineRule="exact"/>
              <w:ind w:left="420" w:firstLine="0" w:firstLineChars="0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交易方合计[0-5]%;</w:t>
            </w:r>
          </w:p>
          <w:p>
            <w:pPr>
              <w:spacing w:line="500" w:lineRule="exact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/>
                <w:kern w:val="0"/>
                <w:sz w:val="24"/>
                <w:szCs w:val="24"/>
              </w:rPr>
              <w:t>本次交易涉及的纵向</w:t>
            </w:r>
            <w:r>
              <w:rPr>
                <w:rFonts w:hint="eastAsia" w:ascii="Times New Roman" w:hAnsi="Times New Roman" w:eastAsia="仿宋_GB2312"/>
                <w:b/>
                <w:kern w:val="0"/>
                <w:sz w:val="24"/>
                <w:szCs w:val="24"/>
              </w:rPr>
              <w:t>（</w:t>
            </w:r>
            <w:r>
              <w:rPr>
                <w:rFonts w:ascii="Times New Roman" w:hAnsi="Times New Roman" w:eastAsia="仿宋_GB2312"/>
                <w:b/>
                <w:kern w:val="0"/>
                <w:sz w:val="24"/>
                <w:szCs w:val="24"/>
              </w:rPr>
              <w:t>下游</w:t>
            </w:r>
            <w:r>
              <w:rPr>
                <w:rFonts w:hint="eastAsia" w:ascii="Times New Roman" w:hAnsi="Times New Roman" w:eastAsia="仿宋_GB2312"/>
                <w:b/>
                <w:kern w:val="0"/>
                <w:sz w:val="24"/>
                <w:szCs w:val="24"/>
              </w:rPr>
              <w:t>）</w:t>
            </w:r>
            <w:r>
              <w:rPr>
                <w:rFonts w:ascii="Times New Roman" w:hAnsi="Times New Roman" w:eastAsia="仿宋_GB2312"/>
                <w:b/>
                <w:kern w:val="0"/>
                <w:sz w:val="24"/>
                <w:szCs w:val="24"/>
              </w:rPr>
              <w:t>市场及市场份额</w:t>
            </w: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：</w:t>
            </w:r>
          </w:p>
          <w:p>
            <w:pPr>
              <w:pStyle w:val="11"/>
              <w:numPr>
                <w:ilvl w:val="0"/>
                <w:numId w:val="2"/>
              </w:numPr>
              <w:spacing w:line="500" w:lineRule="exact"/>
              <w:ind w:firstLineChars="0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kern w:val="0"/>
                <w:sz w:val="24"/>
                <w:szCs w:val="24"/>
                <w:u w:val="single"/>
              </w:rPr>
              <w:t>杭州市住宅物业管理市场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：</w:t>
            </w:r>
          </w:p>
          <w:p>
            <w:pPr>
              <w:pStyle w:val="11"/>
              <w:spacing w:line="500" w:lineRule="exact"/>
              <w:ind w:left="420" w:firstLine="0" w:firstLineChars="0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上海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泓喆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[0-5]%;</w:t>
            </w:r>
          </w:p>
          <w:p>
            <w:pPr>
              <w:pStyle w:val="11"/>
              <w:numPr>
                <w:ilvl w:val="0"/>
                <w:numId w:val="2"/>
              </w:numPr>
              <w:spacing w:line="500" w:lineRule="exact"/>
              <w:ind w:firstLineChars="0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kern w:val="0"/>
                <w:sz w:val="24"/>
                <w:szCs w:val="24"/>
                <w:u w:val="single"/>
              </w:rPr>
              <w:t>杭州市商业物业管理市场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：</w:t>
            </w:r>
          </w:p>
          <w:p>
            <w:pPr>
              <w:pStyle w:val="11"/>
              <w:spacing w:line="500" w:lineRule="exact"/>
              <w:ind w:left="420" w:firstLine="0" w:firstLineChars="0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上海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泓喆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[0-5]%。</w:t>
            </w:r>
          </w:p>
        </w:tc>
      </w:tr>
    </w:tbl>
    <w:p>
      <w:pPr>
        <w:snapToGrid w:val="0"/>
        <w:spacing w:line="240" w:lineRule="exact"/>
        <w:jc w:val="left"/>
        <w:rPr>
          <w:rFonts w:ascii="Times New Roman" w:hAnsi="Times New Roman" w:eastAsia="仿宋_GB2312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altName w:val="Times New Roman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7422EF7"/>
    <w:multiLevelType w:val="multilevel"/>
    <w:tmpl w:val="37422EF7"/>
    <w:lvl w:ilvl="0" w:tentative="0">
      <w:start w:val="10"/>
      <w:numFmt w:val="bullet"/>
      <w:lvlText w:val="-"/>
      <w:lvlJc w:val="left"/>
      <w:pPr>
        <w:ind w:left="420" w:hanging="420"/>
      </w:pPr>
      <w:rPr>
        <w:rFonts w:hint="default" w:ascii="Arial" w:hAnsi="Arial" w:eastAsia="宋体" w:cs="Arial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6193110A"/>
    <w:multiLevelType w:val="multilevel"/>
    <w:tmpl w:val="6193110A"/>
    <w:lvl w:ilvl="0" w:tentative="0">
      <w:start w:val="10"/>
      <w:numFmt w:val="bullet"/>
      <w:lvlText w:val="-"/>
      <w:lvlJc w:val="left"/>
      <w:pPr>
        <w:ind w:left="420" w:hanging="420"/>
      </w:pPr>
      <w:rPr>
        <w:rFonts w:hint="default" w:ascii="Arial" w:hAnsi="Arial" w:eastAsia="宋体" w:cs="Arial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00DF"/>
    <w:rsid w:val="00005954"/>
    <w:rsid w:val="00006801"/>
    <w:rsid w:val="00027DAE"/>
    <w:rsid w:val="00037065"/>
    <w:rsid w:val="00050EA4"/>
    <w:rsid w:val="00052042"/>
    <w:rsid w:val="000563DE"/>
    <w:rsid w:val="00062291"/>
    <w:rsid w:val="000625B7"/>
    <w:rsid w:val="00071BFC"/>
    <w:rsid w:val="00082AF0"/>
    <w:rsid w:val="0008504B"/>
    <w:rsid w:val="0008522A"/>
    <w:rsid w:val="00087CF6"/>
    <w:rsid w:val="000A3100"/>
    <w:rsid w:val="000B010F"/>
    <w:rsid w:val="000D7EBA"/>
    <w:rsid w:val="000E7106"/>
    <w:rsid w:val="001055B7"/>
    <w:rsid w:val="00105EB5"/>
    <w:rsid w:val="001164CD"/>
    <w:rsid w:val="001249F2"/>
    <w:rsid w:val="00136A3B"/>
    <w:rsid w:val="00137B0D"/>
    <w:rsid w:val="00155717"/>
    <w:rsid w:val="001837A3"/>
    <w:rsid w:val="0019745E"/>
    <w:rsid w:val="001C5340"/>
    <w:rsid w:val="001E0A36"/>
    <w:rsid w:val="001F6475"/>
    <w:rsid w:val="00214E68"/>
    <w:rsid w:val="00236FB6"/>
    <w:rsid w:val="00255292"/>
    <w:rsid w:val="00255535"/>
    <w:rsid w:val="002621F9"/>
    <w:rsid w:val="00273849"/>
    <w:rsid w:val="00280D98"/>
    <w:rsid w:val="002C1AF9"/>
    <w:rsid w:val="002E0B19"/>
    <w:rsid w:val="002E1C68"/>
    <w:rsid w:val="002E3265"/>
    <w:rsid w:val="002E39C4"/>
    <w:rsid w:val="002E73D8"/>
    <w:rsid w:val="002F0F7A"/>
    <w:rsid w:val="002F3460"/>
    <w:rsid w:val="00300479"/>
    <w:rsid w:val="00313046"/>
    <w:rsid w:val="00351C60"/>
    <w:rsid w:val="00351E1D"/>
    <w:rsid w:val="003578D8"/>
    <w:rsid w:val="00360A94"/>
    <w:rsid w:val="00361841"/>
    <w:rsid w:val="00375BD1"/>
    <w:rsid w:val="0038096E"/>
    <w:rsid w:val="00397794"/>
    <w:rsid w:val="003B75EA"/>
    <w:rsid w:val="003B7703"/>
    <w:rsid w:val="003C0AEB"/>
    <w:rsid w:val="003C69DC"/>
    <w:rsid w:val="003F7341"/>
    <w:rsid w:val="003F7F43"/>
    <w:rsid w:val="0042352E"/>
    <w:rsid w:val="0044138F"/>
    <w:rsid w:val="00475547"/>
    <w:rsid w:val="00482940"/>
    <w:rsid w:val="004C619E"/>
    <w:rsid w:val="004F7688"/>
    <w:rsid w:val="00533330"/>
    <w:rsid w:val="00540581"/>
    <w:rsid w:val="00544AE7"/>
    <w:rsid w:val="00561070"/>
    <w:rsid w:val="0057078C"/>
    <w:rsid w:val="005754B3"/>
    <w:rsid w:val="005A12FC"/>
    <w:rsid w:val="005B4CDB"/>
    <w:rsid w:val="005B78D3"/>
    <w:rsid w:val="005D3944"/>
    <w:rsid w:val="005E19E1"/>
    <w:rsid w:val="005E59AE"/>
    <w:rsid w:val="00617709"/>
    <w:rsid w:val="006251E4"/>
    <w:rsid w:val="006467D8"/>
    <w:rsid w:val="0066510C"/>
    <w:rsid w:val="00671B88"/>
    <w:rsid w:val="00673118"/>
    <w:rsid w:val="006737E4"/>
    <w:rsid w:val="00673AC8"/>
    <w:rsid w:val="006A531B"/>
    <w:rsid w:val="006B0EE0"/>
    <w:rsid w:val="006B36CB"/>
    <w:rsid w:val="006E249C"/>
    <w:rsid w:val="006F7693"/>
    <w:rsid w:val="0070147B"/>
    <w:rsid w:val="00710140"/>
    <w:rsid w:val="007327A7"/>
    <w:rsid w:val="007377FC"/>
    <w:rsid w:val="00737E7D"/>
    <w:rsid w:val="0075791A"/>
    <w:rsid w:val="007669D6"/>
    <w:rsid w:val="00766AA8"/>
    <w:rsid w:val="007703E0"/>
    <w:rsid w:val="007730F7"/>
    <w:rsid w:val="007A24AE"/>
    <w:rsid w:val="007A2CFD"/>
    <w:rsid w:val="007A4A68"/>
    <w:rsid w:val="007B6176"/>
    <w:rsid w:val="007C2B45"/>
    <w:rsid w:val="007D27A3"/>
    <w:rsid w:val="007E0C73"/>
    <w:rsid w:val="007F2275"/>
    <w:rsid w:val="0081070D"/>
    <w:rsid w:val="0081581F"/>
    <w:rsid w:val="008212A3"/>
    <w:rsid w:val="008274FE"/>
    <w:rsid w:val="00845BD3"/>
    <w:rsid w:val="00875720"/>
    <w:rsid w:val="008A57E6"/>
    <w:rsid w:val="008C5257"/>
    <w:rsid w:val="008E1DBF"/>
    <w:rsid w:val="00906212"/>
    <w:rsid w:val="0090765C"/>
    <w:rsid w:val="00915F0F"/>
    <w:rsid w:val="009221E2"/>
    <w:rsid w:val="009302F9"/>
    <w:rsid w:val="009532DF"/>
    <w:rsid w:val="00975C84"/>
    <w:rsid w:val="00976E53"/>
    <w:rsid w:val="0098442A"/>
    <w:rsid w:val="009861D4"/>
    <w:rsid w:val="00997019"/>
    <w:rsid w:val="009A1B42"/>
    <w:rsid w:val="009A3CF8"/>
    <w:rsid w:val="009A5029"/>
    <w:rsid w:val="009B7B1F"/>
    <w:rsid w:val="009C742F"/>
    <w:rsid w:val="009C7CD8"/>
    <w:rsid w:val="009D38D5"/>
    <w:rsid w:val="009D5152"/>
    <w:rsid w:val="009F5C7F"/>
    <w:rsid w:val="00A0667C"/>
    <w:rsid w:val="00A35FB3"/>
    <w:rsid w:val="00A53F26"/>
    <w:rsid w:val="00A8399C"/>
    <w:rsid w:val="00A85860"/>
    <w:rsid w:val="00A93C6E"/>
    <w:rsid w:val="00AA0CC5"/>
    <w:rsid w:val="00AA3758"/>
    <w:rsid w:val="00AA54AC"/>
    <w:rsid w:val="00AD0C09"/>
    <w:rsid w:val="00AD2B47"/>
    <w:rsid w:val="00AE2C7A"/>
    <w:rsid w:val="00B0004A"/>
    <w:rsid w:val="00B06473"/>
    <w:rsid w:val="00B16AFE"/>
    <w:rsid w:val="00B224FD"/>
    <w:rsid w:val="00B250E5"/>
    <w:rsid w:val="00B371C0"/>
    <w:rsid w:val="00B65DD5"/>
    <w:rsid w:val="00B800A4"/>
    <w:rsid w:val="00B87BAD"/>
    <w:rsid w:val="00BA17D5"/>
    <w:rsid w:val="00BA4778"/>
    <w:rsid w:val="00BB0D57"/>
    <w:rsid w:val="00BD10B6"/>
    <w:rsid w:val="00BD77A5"/>
    <w:rsid w:val="00C07076"/>
    <w:rsid w:val="00C3042A"/>
    <w:rsid w:val="00C337C9"/>
    <w:rsid w:val="00C419CD"/>
    <w:rsid w:val="00C42A3E"/>
    <w:rsid w:val="00C73CCB"/>
    <w:rsid w:val="00CA4143"/>
    <w:rsid w:val="00CB00DF"/>
    <w:rsid w:val="00CB2271"/>
    <w:rsid w:val="00CB62E9"/>
    <w:rsid w:val="00CC5D02"/>
    <w:rsid w:val="00CE2C34"/>
    <w:rsid w:val="00CE6665"/>
    <w:rsid w:val="00CF0CE2"/>
    <w:rsid w:val="00CF2C5D"/>
    <w:rsid w:val="00CF2F03"/>
    <w:rsid w:val="00D14448"/>
    <w:rsid w:val="00D434CD"/>
    <w:rsid w:val="00D4646D"/>
    <w:rsid w:val="00D56F4A"/>
    <w:rsid w:val="00D60F59"/>
    <w:rsid w:val="00D614CA"/>
    <w:rsid w:val="00D620B0"/>
    <w:rsid w:val="00D63B42"/>
    <w:rsid w:val="00D73C72"/>
    <w:rsid w:val="00D84278"/>
    <w:rsid w:val="00DB5D9E"/>
    <w:rsid w:val="00DE1A2D"/>
    <w:rsid w:val="00DE5B03"/>
    <w:rsid w:val="00E00ACB"/>
    <w:rsid w:val="00E0592B"/>
    <w:rsid w:val="00E05C5F"/>
    <w:rsid w:val="00E31738"/>
    <w:rsid w:val="00E41A16"/>
    <w:rsid w:val="00E86786"/>
    <w:rsid w:val="00EA415D"/>
    <w:rsid w:val="00EA5B2A"/>
    <w:rsid w:val="00EB4DF6"/>
    <w:rsid w:val="00EC10D1"/>
    <w:rsid w:val="00EC1743"/>
    <w:rsid w:val="00ED2F80"/>
    <w:rsid w:val="00EE7B59"/>
    <w:rsid w:val="00EF1FD5"/>
    <w:rsid w:val="00F01FBB"/>
    <w:rsid w:val="00F1624E"/>
    <w:rsid w:val="00F237C1"/>
    <w:rsid w:val="00F259D4"/>
    <w:rsid w:val="00F31642"/>
    <w:rsid w:val="00F32F8A"/>
    <w:rsid w:val="00F611E6"/>
    <w:rsid w:val="00F631B3"/>
    <w:rsid w:val="00F810AA"/>
    <w:rsid w:val="00F84C09"/>
    <w:rsid w:val="00FB3757"/>
    <w:rsid w:val="00FB43EC"/>
    <w:rsid w:val="00FB6B40"/>
    <w:rsid w:val="00FC1A01"/>
    <w:rsid w:val="00FD3DDA"/>
    <w:rsid w:val="00FE1794"/>
    <w:rsid w:val="00FE52D3"/>
    <w:rsid w:val="FE5DEBF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批注框文本 字符"/>
    <w:basedOn w:val="7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  <w:style w:type="paragraph" w:styleId="11">
    <w:name w:val="List Paragraph"/>
    <w:basedOn w:val="1"/>
    <w:link w:val="12"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  <w:style w:type="character" w:customStyle="1" w:styleId="12">
    <w:name w:val="列出段落 字符"/>
    <w:link w:val="11"/>
    <w:qFormat/>
    <w:locked/>
    <w:uiPriority w:val="34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148</Words>
  <Characters>849</Characters>
  <Lines>7</Lines>
  <Paragraphs>1</Paragraphs>
  <TotalTime>27</TotalTime>
  <ScaleCrop>false</ScaleCrop>
  <LinksUpToDate>false</LinksUpToDate>
  <CharactersWithSpaces>996</CharactersWithSpaces>
  <Application>WPS Office_11.8.2.9695_F1E327BC-269C-435d-A152-05C5408002CA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2021-07-20T15:32:00Z</dcterms:created>
  <dc:creator>King &amp; Wood Mallesons</dc:creator>
  <cp:lastModifiedBy>greatwall</cp:lastModifiedBy>
  <dcterms:modified xsi:type="dcterms:W3CDTF">2021-09-14T15:08:11Z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</Properties>
</file>