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jc w:val="center"/>
        <w:rPr>
          <w:rFonts w:ascii="Times New Roman" w:hAnsi="Times New Roman"/>
          <w:sz w:val="30"/>
          <w:szCs w:val="30"/>
        </w:rPr>
      </w:pPr>
      <w:r>
        <w:rPr>
          <w:rFonts w:ascii="Times New Roman" w:hAnsi="Times New Roman"/>
          <w:sz w:val="30"/>
          <w:szCs w:val="30"/>
        </w:rPr>
        <w:t>经营者集中简易案件公示表</w:t>
      </w:r>
    </w:p>
    <w:p>
      <w:pPr>
        <w:spacing w:line="440" w:lineRule="exact"/>
        <w:rPr>
          <w:rFonts w:ascii="Times New Roman" w:hAnsi="Times New Roman"/>
          <w:sz w:val="28"/>
          <w:szCs w:val="28"/>
        </w:rPr>
      </w:pPr>
    </w:p>
    <w:tbl>
      <w:tblPr>
        <w:tblStyle w:val="8"/>
        <w:tblW w:w="87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09"/>
        <w:gridCol w:w="1796"/>
        <w:gridCol w:w="51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shd w:val="clear" w:color="auto" w:fill="D9D9D9"/>
            <w:vAlign w:val="center"/>
          </w:tcPr>
          <w:p>
            <w:pPr>
              <w:spacing w:before="156" w:beforeLines="50"/>
              <w:jc w:val="center"/>
              <w:rPr>
                <w:rFonts w:ascii="Times New Roman" w:hAnsi="Times New Roman"/>
                <w:color w:val="333333"/>
                <w:kern w:val="0"/>
                <w:sz w:val="24"/>
                <w:szCs w:val="24"/>
              </w:rPr>
            </w:pPr>
            <w:r>
              <w:rPr>
                <w:rFonts w:ascii="Times New Roman" w:hAnsi="Times New Roman"/>
                <w:color w:val="333333"/>
                <w:kern w:val="0"/>
                <w:sz w:val="24"/>
                <w:szCs w:val="24"/>
              </w:rPr>
              <w:t>案件名称</w:t>
            </w:r>
          </w:p>
        </w:tc>
        <w:tc>
          <w:tcPr>
            <w:tcW w:w="6949" w:type="dxa"/>
            <w:gridSpan w:val="2"/>
          </w:tcPr>
          <w:p>
            <w:pPr>
              <w:spacing w:before="156" w:beforeLines="50" w:after="156" w:afterLines="50"/>
              <w:rPr>
                <w:rFonts w:ascii="Times New Roman" w:hAnsi="Times New Roman"/>
                <w:color w:val="333333"/>
                <w:kern w:val="0"/>
                <w:sz w:val="24"/>
                <w:szCs w:val="24"/>
              </w:rPr>
            </w:pPr>
            <w:r>
              <w:rPr>
                <w:rFonts w:hint="eastAsia" w:ascii="Times New Roman" w:hAnsi="Times New Roman"/>
                <w:color w:val="333333"/>
                <w:kern w:val="0"/>
                <w:sz w:val="24"/>
                <w:szCs w:val="24"/>
              </w:rPr>
              <w:t>HDT汽车解决方案有限公司（“HDT”）收购伟理塑集团（“伟理塑”）股权和资产案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3" w:hRule="atLeast"/>
        </w:trPr>
        <w:tc>
          <w:tcPr>
            <w:tcW w:w="1809" w:type="dxa"/>
            <w:shd w:val="clear" w:color="auto" w:fill="D9D9D9"/>
            <w:vAlign w:val="center"/>
          </w:tcPr>
          <w:p>
            <w:pPr>
              <w:jc w:val="center"/>
              <w:rPr>
                <w:rFonts w:ascii="Times New Roman" w:hAnsi="Times New Roman"/>
                <w:color w:val="333333"/>
                <w:kern w:val="0"/>
                <w:sz w:val="24"/>
                <w:szCs w:val="24"/>
              </w:rPr>
            </w:pPr>
            <w:r>
              <w:rPr>
                <w:rFonts w:ascii="Times New Roman" w:hAnsi="Times New Roman"/>
                <w:color w:val="333333"/>
                <w:kern w:val="0"/>
                <w:sz w:val="24"/>
                <w:szCs w:val="24"/>
              </w:rPr>
              <w:t>交易概况</w:t>
            </w:r>
          </w:p>
          <w:p>
            <w:pPr>
              <w:jc w:val="center"/>
              <w:rPr>
                <w:rFonts w:ascii="Times New Roman" w:hAnsi="Times New Roman"/>
                <w:color w:val="333333"/>
                <w:kern w:val="0"/>
                <w:sz w:val="24"/>
                <w:szCs w:val="24"/>
              </w:rPr>
            </w:pPr>
            <w:r>
              <w:rPr>
                <w:rFonts w:ascii="Times New Roman" w:hAnsi="Times New Roman"/>
                <w:color w:val="333333"/>
                <w:kern w:val="0"/>
                <w:sz w:val="24"/>
                <w:szCs w:val="24"/>
              </w:rPr>
              <w:t>（限200字内）</w:t>
            </w:r>
          </w:p>
        </w:tc>
        <w:tc>
          <w:tcPr>
            <w:tcW w:w="6949" w:type="dxa"/>
            <w:gridSpan w:val="2"/>
          </w:tcPr>
          <w:p>
            <w:pPr>
              <w:rPr>
                <w:rFonts w:ascii="Times New Roman" w:hAnsi="Times New Roman"/>
                <w:color w:val="333333"/>
                <w:kern w:val="0"/>
                <w:sz w:val="24"/>
                <w:szCs w:val="24"/>
              </w:rPr>
            </w:pPr>
            <w:r>
              <w:rPr>
                <w:rFonts w:hint="eastAsia" w:ascii="Times New Roman" w:hAnsi="Times New Roman"/>
                <w:color w:val="333333"/>
                <w:kern w:val="0"/>
                <w:sz w:val="24"/>
                <w:szCs w:val="24"/>
              </w:rPr>
              <w:t>拟议交易为HDT对伟理塑德国所有资产的收购，同时HDT将取得伟理塑所有外国子公司的单独控制权。</w:t>
            </w:r>
          </w:p>
          <w:p>
            <w:pPr>
              <w:rPr>
                <w:rFonts w:ascii="Times New Roman" w:hAnsi="Times New Roman"/>
                <w:color w:val="333333"/>
                <w:kern w:val="0"/>
                <w:sz w:val="24"/>
                <w:szCs w:val="24"/>
              </w:rPr>
            </w:pPr>
          </w:p>
          <w:p>
            <w:pPr>
              <w:rPr>
                <w:rFonts w:ascii="Times New Roman" w:hAnsi="Times New Roman"/>
                <w:color w:val="333333"/>
                <w:kern w:val="0"/>
                <w:sz w:val="24"/>
                <w:szCs w:val="24"/>
              </w:rPr>
            </w:pPr>
            <w:r>
              <w:rPr>
                <w:rFonts w:hint="eastAsia" w:ascii="Times New Roman" w:hAnsi="Times New Roman"/>
                <w:color w:val="333333"/>
                <w:kern w:val="0"/>
                <w:sz w:val="24"/>
                <w:szCs w:val="24"/>
              </w:rPr>
              <w:t>2020年7月28日，汉瑙地方法院（Amtsgericht）分别根据104/20、105/20和106/20中的第70号案件对伟理塑德国资产启动了破产程序。HDT意图接管伟理塑集团并继续相关经营活动。</w:t>
            </w:r>
          </w:p>
          <w:p>
            <w:pPr>
              <w:rPr>
                <w:rFonts w:ascii="Times New Roman" w:hAnsi="Times New Roman"/>
                <w:color w:val="333333"/>
                <w:kern w:val="0"/>
                <w:sz w:val="24"/>
                <w:szCs w:val="24"/>
              </w:rPr>
            </w:pPr>
          </w:p>
          <w:p>
            <w:pPr>
              <w:rPr>
                <w:rFonts w:ascii="Times New Roman" w:hAnsi="Times New Roman"/>
                <w:color w:val="333333"/>
                <w:kern w:val="0"/>
                <w:sz w:val="24"/>
                <w:szCs w:val="24"/>
              </w:rPr>
            </w:pPr>
            <w:r>
              <w:rPr>
                <w:rFonts w:hint="eastAsia" w:ascii="Times New Roman" w:hAnsi="Times New Roman"/>
                <w:color w:val="333333"/>
                <w:kern w:val="0"/>
                <w:sz w:val="24"/>
                <w:szCs w:val="24"/>
              </w:rPr>
              <w:t>交易后，目标公司将完全由HDT（间接由Ardian）控制。双方已于2020年6月21日签订了股权购买与转让协议，根据该协议，HDT将间接收购伟理塑德国的所有资产以及伟理塑所有国际子公司的所有股份。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1809" w:type="dxa"/>
            <w:vMerge w:val="restart"/>
            <w:shd w:val="clear" w:color="auto" w:fill="D9D9D9"/>
            <w:vAlign w:val="center"/>
          </w:tcPr>
          <w:p>
            <w:pPr>
              <w:jc w:val="center"/>
              <w:rPr>
                <w:rFonts w:ascii="Times New Roman" w:hAnsi="Times New Roman"/>
                <w:color w:val="333333"/>
                <w:kern w:val="0"/>
                <w:sz w:val="24"/>
                <w:szCs w:val="24"/>
              </w:rPr>
            </w:pPr>
            <w:r>
              <w:rPr>
                <w:rFonts w:ascii="Times New Roman" w:hAnsi="Times New Roman"/>
                <w:color w:val="333333"/>
                <w:kern w:val="0"/>
                <w:sz w:val="24"/>
                <w:szCs w:val="24"/>
              </w:rPr>
              <w:t>参与集中的</w:t>
            </w:r>
          </w:p>
          <w:p>
            <w:pPr>
              <w:jc w:val="center"/>
              <w:rPr>
                <w:rFonts w:ascii="Times New Roman" w:hAnsi="Times New Roman"/>
                <w:color w:val="333333"/>
                <w:kern w:val="0"/>
                <w:sz w:val="24"/>
                <w:szCs w:val="24"/>
              </w:rPr>
            </w:pPr>
            <w:r>
              <w:rPr>
                <w:rFonts w:ascii="Times New Roman" w:hAnsi="Times New Roman"/>
                <w:color w:val="333333"/>
                <w:kern w:val="0"/>
                <w:sz w:val="24"/>
                <w:szCs w:val="24"/>
              </w:rPr>
              <w:t>经营者简介</w:t>
            </w:r>
          </w:p>
        </w:tc>
        <w:tc>
          <w:tcPr>
            <w:tcW w:w="1796" w:type="dxa"/>
          </w:tcPr>
          <w:p>
            <w:pPr>
              <w:spacing w:before="156" w:beforeLines="50" w:after="156" w:afterLines="50"/>
              <w:rPr>
                <w:rFonts w:ascii="Times New Roman" w:hAnsi="Times New Roman"/>
                <w:color w:val="333333"/>
                <w:kern w:val="0"/>
                <w:sz w:val="24"/>
                <w:szCs w:val="24"/>
              </w:rPr>
            </w:pPr>
            <w:r>
              <w:rPr>
                <w:rFonts w:ascii="Times New Roman" w:hAnsi="Times New Roman"/>
                <w:color w:val="333333"/>
                <w:kern w:val="0"/>
                <w:sz w:val="24"/>
                <w:szCs w:val="24"/>
              </w:rPr>
              <w:t>1、</w:t>
            </w:r>
            <w:r>
              <w:rPr>
                <w:rFonts w:hint="eastAsia" w:ascii="Times New Roman" w:hAnsi="Times New Roman"/>
                <w:color w:val="333333"/>
                <w:kern w:val="0"/>
                <w:sz w:val="24"/>
                <w:szCs w:val="24"/>
              </w:rPr>
              <w:t>HDT汽车解决方案有限公司（“</w:t>
            </w:r>
            <w:r>
              <w:rPr>
                <w:rFonts w:hint="eastAsia" w:ascii="Times New Roman" w:hAnsi="Times New Roman"/>
                <w:b/>
                <w:color w:val="333333"/>
                <w:kern w:val="0"/>
                <w:sz w:val="24"/>
                <w:szCs w:val="24"/>
              </w:rPr>
              <w:t>HDT</w:t>
            </w:r>
            <w:r>
              <w:rPr>
                <w:rFonts w:hint="eastAsia" w:ascii="Times New Roman" w:hAnsi="Times New Roman"/>
                <w:color w:val="333333"/>
                <w:kern w:val="0"/>
                <w:sz w:val="24"/>
                <w:szCs w:val="24"/>
              </w:rPr>
              <w:t>”）</w:t>
            </w:r>
          </w:p>
        </w:tc>
        <w:tc>
          <w:tcPr>
            <w:tcW w:w="5153" w:type="dxa"/>
          </w:tcPr>
          <w:p>
            <w:pPr>
              <w:spacing w:before="156" w:beforeLines="50" w:after="156" w:afterLines="50"/>
              <w:jc w:val="left"/>
              <w:rPr>
                <w:rFonts w:ascii="Times New Roman" w:hAnsi="Times New Roman"/>
                <w:color w:val="333333"/>
                <w:kern w:val="0"/>
                <w:sz w:val="24"/>
                <w:szCs w:val="24"/>
              </w:rPr>
            </w:pPr>
            <w:r>
              <w:rPr>
                <w:rFonts w:hint="eastAsia" w:ascii="Times New Roman" w:hAnsi="Times New Roman"/>
                <w:color w:val="333333"/>
                <w:kern w:val="0"/>
                <w:sz w:val="24"/>
                <w:szCs w:val="24"/>
              </w:rPr>
              <w:t>HDT是一家为汽车行业生产流体处理系统、精密管道总成和压铸产品的制造商。HDT在加拿大、中国、匈牙利、意大利、墨西哥、波兰、英国和美国八个国家设有生产基地。HDT的最终控制人为总部位于法国巴黎的ARDIAN控股股份有限公司（“ARDIAN”），后者通过其北美基金单独控制HD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trPr>
        <w:tc>
          <w:tcPr>
            <w:tcW w:w="1809" w:type="dxa"/>
            <w:vMerge w:val="continue"/>
            <w:shd w:val="clear" w:color="auto" w:fill="D9D9D9"/>
            <w:vAlign w:val="center"/>
          </w:tcPr>
          <w:p>
            <w:pPr>
              <w:jc w:val="center"/>
              <w:rPr>
                <w:rFonts w:ascii="Times New Roman" w:hAnsi="Times New Roman"/>
                <w:color w:val="333333"/>
                <w:kern w:val="0"/>
                <w:sz w:val="24"/>
                <w:szCs w:val="24"/>
              </w:rPr>
            </w:pPr>
          </w:p>
        </w:tc>
        <w:tc>
          <w:tcPr>
            <w:tcW w:w="1796" w:type="dxa"/>
          </w:tcPr>
          <w:p>
            <w:pPr>
              <w:spacing w:before="156" w:beforeLines="50" w:after="156" w:afterLines="50"/>
              <w:rPr>
                <w:rFonts w:ascii="Times New Roman" w:hAnsi="Times New Roman"/>
                <w:color w:val="333333"/>
                <w:kern w:val="0"/>
                <w:sz w:val="24"/>
                <w:szCs w:val="24"/>
              </w:rPr>
            </w:pPr>
            <w:r>
              <w:rPr>
                <w:rFonts w:ascii="Times New Roman" w:hAnsi="Times New Roman"/>
                <w:color w:val="333333"/>
                <w:kern w:val="0"/>
                <w:sz w:val="24"/>
                <w:szCs w:val="24"/>
              </w:rPr>
              <w:t>2、</w:t>
            </w:r>
            <w:r>
              <w:rPr>
                <w:rFonts w:hint="eastAsia" w:ascii="Times New Roman" w:hAnsi="Times New Roman"/>
                <w:color w:val="333333"/>
                <w:kern w:val="0"/>
                <w:sz w:val="24"/>
                <w:szCs w:val="24"/>
              </w:rPr>
              <w:t>伟理塑股份有限公司(“</w:t>
            </w:r>
            <w:r>
              <w:rPr>
                <w:rFonts w:hint="eastAsia" w:ascii="Times New Roman" w:hAnsi="Times New Roman"/>
                <w:b/>
                <w:color w:val="333333"/>
                <w:kern w:val="0"/>
                <w:sz w:val="24"/>
                <w:szCs w:val="24"/>
              </w:rPr>
              <w:t>伟理塑</w:t>
            </w:r>
            <w:r>
              <w:rPr>
                <w:rFonts w:hint="eastAsia" w:ascii="Times New Roman" w:hAnsi="Times New Roman"/>
                <w:color w:val="333333"/>
                <w:kern w:val="0"/>
                <w:sz w:val="24"/>
                <w:szCs w:val="24"/>
              </w:rPr>
              <w:t>”)</w:t>
            </w:r>
          </w:p>
        </w:tc>
        <w:tc>
          <w:tcPr>
            <w:tcW w:w="5153" w:type="dxa"/>
          </w:tcPr>
          <w:p>
            <w:pPr>
              <w:spacing w:before="156" w:beforeLines="50" w:after="156" w:afterLines="50"/>
              <w:jc w:val="left"/>
              <w:rPr>
                <w:rFonts w:ascii="Times New Roman" w:hAnsi="Times New Roman"/>
                <w:color w:val="333333"/>
                <w:kern w:val="0"/>
                <w:sz w:val="24"/>
                <w:szCs w:val="24"/>
              </w:rPr>
            </w:pPr>
            <w:r>
              <w:rPr>
                <w:rFonts w:hint="eastAsia" w:ascii="Times New Roman" w:hAnsi="Times New Roman"/>
                <w:color w:val="333333"/>
                <w:kern w:val="0"/>
                <w:sz w:val="24"/>
                <w:szCs w:val="24"/>
              </w:rPr>
              <w:t>伟理塑主要致力于向原始设备制造商提供流体技术和聚合物相关部件。流体技术涉及汽车燃油系统、排放系统以及空气冷却和流体冷却系统。聚合物包括用于密封和用于噪声、振动、声振粗糙度（NVH）的阻尼及其他聚合物溶液。伟理塑主要向欧洲供应产品，但亦在中国和美洲进行生产和供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trPr>
        <w:tc>
          <w:tcPr>
            <w:tcW w:w="1809" w:type="dxa"/>
            <w:vMerge w:val="restart"/>
            <w:shd w:val="clear" w:color="auto" w:fill="D9D9D9"/>
            <w:vAlign w:val="center"/>
          </w:tcPr>
          <w:p>
            <w:pPr>
              <w:jc w:val="center"/>
              <w:rPr>
                <w:rFonts w:ascii="Times New Roman" w:hAnsi="Times New Roman"/>
                <w:color w:val="333333"/>
                <w:kern w:val="0"/>
                <w:sz w:val="24"/>
                <w:szCs w:val="24"/>
              </w:rPr>
            </w:pPr>
            <w:r>
              <w:rPr>
                <w:rFonts w:ascii="Times New Roman" w:hAnsi="Times New Roman"/>
                <w:color w:val="333333"/>
                <w:kern w:val="0"/>
                <w:sz w:val="24"/>
                <w:szCs w:val="24"/>
              </w:rPr>
              <w:t>简易案件理由（可以单选，也可以多选）</w:t>
            </w:r>
          </w:p>
        </w:tc>
        <w:tc>
          <w:tcPr>
            <w:tcW w:w="6949" w:type="dxa"/>
            <w:gridSpan w:val="2"/>
          </w:tcPr>
          <w:p>
            <w:pPr>
              <w:rPr>
                <w:rFonts w:ascii="Times New Roman" w:hAnsi="Times New Roman"/>
                <w:color w:val="333333"/>
                <w:kern w:val="0"/>
                <w:sz w:val="24"/>
                <w:szCs w:val="24"/>
              </w:rPr>
            </w:pPr>
            <w:bookmarkStart w:id="0" w:name="OLE_LINK5"/>
            <w:r>
              <w:rPr>
                <w:rFonts w:ascii="Times New Roman" w:hAnsi="Times New Roman"/>
              </w:rPr>
              <w:sym w:font="Wingdings" w:char="F0A8"/>
            </w:r>
            <w:bookmarkEnd w:id="0"/>
            <w:r>
              <w:rPr>
                <w:rFonts w:ascii="Times New Roman" w:hAnsi="Times New Roman"/>
                <w:szCs w:val="21"/>
              </w:rPr>
              <w:t xml:space="preserve"> </w:t>
            </w:r>
            <w:r>
              <w:rPr>
                <w:rFonts w:ascii="Times New Roman" w:hAnsi="Times New Roman"/>
                <w:color w:val="333333"/>
                <w:kern w:val="0"/>
                <w:sz w:val="24"/>
                <w:szCs w:val="24"/>
              </w:rPr>
              <w:t>1.在同一相关市场，所有参与集中的经营者所占市场份额之和小于15%。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809" w:type="dxa"/>
            <w:vMerge w:val="continue"/>
            <w:shd w:val="clear" w:color="auto" w:fill="D9D9D9"/>
            <w:vAlign w:val="center"/>
          </w:tcPr>
          <w:p>
            <w:pPr>
              <w:jc w:val="center"/>
              <w:rPr>
                <w:rFonts w:ascii="Times New Roman" w:hAnsi="Times New Roman"/>
                <w:color w:val="333333"/>
                <w:kern w:val="0"/>
                <w:sz w:val="24"/>
                <w:szCs w:val="24"/>
              </w:rPr>
            </w:pPr>
          </w:p>
        </w:tc>
        <w:tc>
          <w:tcPr>
            <w:tcW w:w="6949" w:type="dxa"/>
            <w:gridSpan w:val="2"/>
          </w:tcPr>
          <w:p>
            <w:pPr>
              <w:rPr>
                <w:rFonts w:ascii="Times New Roman" w:hAnsi="Times New Roman"/>
                <w:color w:val="333333"/>
                <w:kern w:val="0"/>
                <w:sz w:val="24"/>
                <w:szCs w:val="24"/>
              </w:rPr>
            </w:pPr>
            <w:r>
              <w:rPr>
                <w:rFonts w:ascii="Times New Roman" w:hAnsi="Times New Roman"/>
              </w:rPr>
              <w:sym w:font="Wingdings" w:char="F0A8"/>
            </w:r>
            <w:r>
              <w:rPr>
                <w:rFonts w:ascii="Times New Roman" w:hAnsi="Times New Roman"/>
              </w:rPr>
              <w:t xml:space="preserve"> </w:t>
            </w:r>
            <w:r>
              <w:rPr>
                <w:rFonts w:ascii="Times New Roman" w:hAnsi="Times New Roman"/>
                <w:color w:val="333333"/>
                <w:kern w:val="0"/>
                <w:sz w:val="24"/>
                <w:szCs w:val="24"/>
              </w:rPr>
              <w:t>2.存在上下游关系的参与集中的经营者，在上下游市场所占的市场份额均小于25%。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809" w:type="dxa"/>
            <w:vMerge w:val="continue"/>
            <w:shd w:val="clear" w:color="auto" w:fill="D9D9D9"/>
            <w:vAlign w:val="center"/>
          </w:tcPr>
          <w:p>
            <w:pPr>
              <w:jc w:val="center"/>
              <w:rPr>
                <w:rFonts w:ascii="Times New Roman" w:hAnsi="Times New Roman"/>
                <w:color w:val="333333"/>
                <w:kern w:val="0"/>
                <w:sz w:val="24"/>
                <w:szCs w:val="24"/>
              </w:rPr>
            </w:pPr>
          </w:p>
        </w:tc>
        <w:tc>
          <w:tcPr>
            <w:tcW w:w="6949" w:type="dxa"/>
            <w:gridSpan w:val="2"/>
          </w:tcPr>
          <w:p>
            <w:pPr>
              <w:rPr>
                <w:rFonts w:ascii="Times New Roman" w:hAnsi="Times New Roman"/>
                <w:color w:val="333333"/>
                <w:kern w:val="0"/>
                <w:sz w:val="24"/>
                <w:szCs w:val="24"/>
              </w:rPr>
            </w:pPr>
            <w:r>
              <w:rPr>
                <w:rFonts w:ascii="Times New Roman" w:hAnsi="Times New Roman"/>
                <w:szCs w:val="21"/>
              </w:rPr>
              <w:sym w:font="Wingdings" w:char="F0FE"/>
            </w:r>
            <w:r>
              <w:rPr>
                <w:rFonts w:ascii="Times New Roman" w:hAnsi="Times New Roman"/>
              </w:rPr>
              <w:t xml:space="preserve"> </w:t>
            </w:r>
            <w:r>
              <w:rPr>
                <w:rFonts w:ascii="Times New Roman" w:hAnsi="Times New Roman"/>
                <w:color w:val="333333"/>
                <w:kern w:val="0"/>
                <w:sz w:val="24"/>
                <w:szCs w:val="24"/>
              </w:rPr>
              <w:t>3.不在同一相关市场、也不存在上下游关系的参与集中的经营者，在与交易有关的每个市场所占的份额均小于25%。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1809" w:type="dxa"/>
            <w:vMerge w:val="continue"/>
            <w:shd w:val="clear" w:color="auto" w:fill="D9D9D9"/>
            <w:vAlign w:val="center"/>
          </w:tcPr>
          <w:p>
            <w:pPr>
              <w:jc w:val="center"/>
              <w:rPr>
                <w:rFonts w:ascii="Times New Roman" w:hAnsi="Times New Roman"/>
                <w:color w:val="333333"/>
                <w:kern w:val="0"/>
                <w:sz w:val="24"/>
                <w:szCs w:val="24"/>
              </w:rPr>
            </w:pPr>
          </w:p>
        </w:tc>
        <w:tc>
          <w:tcPr>
            <w:tcW w:w="6949" w:type="dxa"/>
            <w:gridSpan w:val="2"/>
          </w:tcPr>
          <w:p>
            <w:pPr>
              <w:rPr>
                <w:rFonts w:ascii="Times New Roman" w:hAnsi="Times New Roman"/>
                <w:color w:val="333333"/>
                <w:kern w:val="0"/>
                <w:sz w:val="24"/>
                <w:szCs w:val="24"/>
              </w:rPr>
            </w:pPr>
            <w:r>
              <w:rPr>
                <w:rFonts w:ascii="Times New Roman" w:hAnsi="Times New Roman"/>
              </w:rPr>
              <w:sym w:font="Wingdings" w:char="F0A8"/>
            </w:r>
            <w:r>
              <w:rPr>
                <w:rFonts w:ascii="Times New Roman" w:hAnsi="Times New Roman"/>
                <w:color w:val="333333"/>
                <w:kern w:val="0"/>
                <w:sz w:val="24"/>
                <w:szCs w:val="24"/>
              </w:rPr>
              <w:t>4.参与集中的经营者在中国境外设立合营企业，合营企业不在中国境内从事经济活动。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trPr>
        <w:tc>
          <w:tcPr>
            <w:tcW w:w="1809" w:type="dxa"/>
            <w:vMerge w:val="continue"/>
            <w:shd w:val="clear" w:color="auto" w:fill="D9D9D9"/>
            <w:vAlign w:val="center"/>
          </w:tcPr>
          <w:p>
            <w:pPr>
              <w:jc w:val="center"/>
              <w:rPr>
                <w:rFonts w:ascii="Times New Roman" w:hAnsi="Times New Roman"/>
                <w:color w:val="333333"/>
                <w:kern w:val="0"/>
                <w:sz w:val="24"/>
                <w:szCs w:val="24"/>
              </w:rPr>
            </w:pPr>
          </w:p>
        </w:tc>
        <w:tc>
          <w:tcPr>
            <w:tcW w:w="6949" w:type="dxa"/>
            <w:gridSpan w:val="2"/>
          </w:tcPr>
          <w:p>
            <w:pPr>
              <w:rPr>
                <w:rFonts w:ascii="Times New Roman" w:hAnsi="Times New Roman"/>
                <w:color w:val="333333"/>
                <w:kern w:val="0"/>
                <w:sz w:val="24"/>
                <w:szCs w:val="24"/>
              </w:rPr>
            </w:pPr>
            <w:r>
              <w:rPr>
                <w:rFonts w:ascii="Times New Roman" w:hAnsi="Times New Roman"/>
              </w:rPr>
              <w:sym w:font="Wingdings" w:char="F0A8"/>
            </w:r>
            <w:r>
              <w:rPr>
                <w:rFonts w:ascii="Times New Roman" w:hAnsi="Times New Roman"/>
                <w:color w:val="333333"/>
                <w:kern w:val="0"/>
                <w:sz w:val="24"/>
                <w:szCs w:val="24"/>
              </w:rPr>
              <w:t>5.参与集中的经营者收购境外企业股权或资产的，该境外企业不在中国境内从事经济活动。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809" w:type="dxa"/>
            <w:vMerge w:val="continue"/>
            <w:shd w:val="clear" w:color="auto" w:fill="D9D9D9"/>
            <w:vAlign w:val="center"/>
          </w:tcPr>
          <w:p>
            <w:pPr>
              <w:jc w:val="center"/>
              <w:rPr>
                <w:rFonts w:ascii="Times New Roman" w:hAnsi="Times New Roman"/>
                <w:color w:val="333333"/>
                <w:kern w:val="0"/>
                <w:sz w:val="24"/>
                <w:szCs w:val="24"/>
              </w:rPr>
            </w:pPr>
          </w:p>
        </w:tc>
        <w:tc>
          <w:tcPr>
            <w:tcW w:w="6949" w:type="dxa"/>
            <w:gridSpan w:val="2"/>
          </w:tcPr>
          <w:p>
            <w:pPr>
              <w:rPr>
                <w:rFonts w:ascii="Times New Roman" w:hAnsi="Times New Roman"/>
                <w:color w:val="333333"/>
                <w:kern w:val="0"/>
                <w:sz w:val="24"/>
                <w:szCs w:val="24"/>
              </w:rPr>
            </w:pPr>
            <w:r>
              <w:rPr>
                <w:rFonts w:ascii="Times New Roman" w:hAnsi="Times New Roman"/>
              </w:rPr>
              <w:sym w:font="Wingdings" w:char="F0A8"/>
            </w:r>
            <w:r>
              <w:rPr>
                <w:rFonts w:ascii="Times New Roman" w:hAnsi="Times New Roman"/>
                <w:color w:val="333333"/>
                <w:kern w:val="0"/>
                <w:sz w:val="24"/>
                <w:szCs w:val="24"/>
              </w:rPr>
              <w:t>6.由两个以上的经营者共同控制的合营企业，通过集中被其中一个或一个以上经营者控制。</w:t>
            </w:r>
            <w:bookmarkStart w:id="1" w:name="_GoBack"/>
            <w:bookmarkEnd w:id="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shd w:val="clear" w:color="auto" w:fill="D9D9D9"/>
            <w:vAlign w:val="center"/>
          </w:tcPr>
          <w:p>
            <w:pPr>
              <w:jc w:val="center"/>
              <w:rPr>
                <w:rFonts w:ascii="Times New Roman" w:hAnsi="Times New Roman"/>
                <w:color w:val="333333"/>
                <w:kern w:val="0"/>
                <w:sz w:val="24"/>
                <w:szCs w:val="24"/>
              </w:rPr>
            </w:pPr>
            <w:r>
              <w:rPr>
                <w:rFonts w:ascii="Times New Roman" w:hAnsi="Times New Roman"/>
                <w:color w:val="333333"/>
                <w:kern w:val="0"/>
                <w:sz w:val="24"/>
                <w:szCs w:val="24"/>
              </w:rPr>
              <w:t>备注</w:t>
            </w:r>
          </w:p>
        </w:tc>
        <w:tc>
          <w:tcPr>
            <w:tcW w:w="6949" w:type="dxa"/>
            <w:gridSpan w:val="2"/>
          </w:tcPr>
          <w:p>
            <w:pPr>
              <w:pStyle w:val="19"/>
              <w:numPr>
                <w:ilvl w:val="0"/>
                <w:numId w:val="1"/>
              </w:numPr>
              <w:ind w:firstLineChars="0"/>
              <w:rPr>
                <w:rFonts w:ascii="Times New Roman" w:hAnsi="Times New Roman"/>
                <w:color w:val="333333"/>
                <w:kern w:val="0"/>
                <w:sz w:val="24"/>
                <w:szCs w:val="24"/>
              </w:rPr>
            </w:pPr>
            <w:r>
              <w:rPr>
                <w:rFonts w:hint="eastAsia" w:ascii="Times New Roman" w:hAnsi="Times New Roman"/>
                <w:color w:val="333333"/>
                <w:kern w:val="0"/>
                <w:sz w:val="24"/>
                <w:szCs w:val="24"/>
              </w:rPr>
              <w:t>中国</w:t>
            </w:r>
            <w:r>
              <w:rPr>
                <w:rFonts w:hint="eastAsia" w:ascii="Times New Roman" w:hAnsi="Times New Roman"/>
                <w:color w:val="333333"/>
                <w:kern w:val="0"/>
                <w:sz w:val="24"/>
                <w:szCs w:val="24"/>
                <w:lang w:eastAsia="zh-CN"/>
              </w:rPr>
              <w:t>境内</w:t>
            </w:r>
            <w:r>
              <w:rPr>
                <w:rFonts w:hint="eastAsia" w:ascii="Times New Roman" w:hAnsi="Times New Roman"/>
                <w:color w:val="333333"/>
                <w:kern w:val="0"/>
                <w:sz w:val="24"/>
                <w:szCs w:val="24"/>
              </w:rPr>
              <w:t>汽油机颗粒过滤器控制管路组件市场</w:t>
            </w:r>
          </w:p>
          <w:p>
            <w:pPr>
              <w:rPr>
                <w:rFonts w:ascii="Times New Roman" w:hAnsi="Times New Roman"/>
                <w:color w:val="333333"/>
                <w:kern w:val="0"/>
                <w:sz w:val="24"/>
                <w:szCs w:val="24"/>
              </w:rPr>
            </w:pPr>
            <w:r>
              <w:rPr>
                <w:rFonts w:hint="eastAsia" w:ascii="Times New Roman" w:hAnsi="Times New Roman"/>
                <w:color w:val="333333"/>
                <w:kern w:val="0"/>
                <w:sz w:val="24"/>
                <w:szCs w:val="24"/>
              </w:rPr>
              <w:t>-</w:t>
            </w:r>
            <w:r>
              <w:rPr>
                <w:rFonts w:hint="eastAsia" w:ascii="Times New Roman" w:hAnsi="Times New Roman"/>
                <w:color w:val="333333"/>
                <w:kern w:val="0"/>
                <w:sz w:val="24"/>
                <w:szCs w:val="24"/>
              </w:rPr>
              <w:tab/>
            </w:r>
            <w:r>
              <w:rPr>
                <w:rFonts w:hint="eastAsia" w:ascii="Times New Roman" w:hAnsi="Times New Roman"/>
                <w:color w:val="333333"/>
                <w:kern w:val="0"/>
                <w:sz w:val="24"/>
                <w:szCs w:val="24"/>
              </w:rPr>
              <w:t>H</w:t>
            </w:r>
            <w:r>
              <w:rPr>
                <w:rFonts w:ascii="Times New Roman" w:hAnsi="Times New Roman"/>
                <w:color w:val="333333"/>
                <w:kern w:val="0"/>
                <w:sz w:val="24"/>
                <w:szCs w:val="24"/>
              </w:rPr>
              <w:t>DT</w:t>
            </w:r>
            <w:r>
              <w:rPr>
                <w:rFonts w:hint="eastAsia" w:ascii="Times New Roman" w:hAnsi="Times New Roman"/>
                <w:color w:val="333333"/>
                <w:kern w:val="0"/>
                <w:sz w:val="24"/>
                <w:szCs w:val="24"/>
              </w:rPr>
              <w:t>：</w:t>
            </w:r>
            <w:r>
              <w:rPr>
                <w:rFonts w:ascii="Times New Roman" w:hAnsi="Times New Roman"/>
                <w:color w:val="333333"/>
                <w:kern w:val="0"/>
                <w:sz w:val="24"/>
                <w:szCs w:val="24"/>
              </w:rPr>
              <w:t>[0-5]%</w:t>
            </w:r>
            <w:r>
              <w:rPr>
                <w:rFonts w:hint="eastAsia" w:ascii="Times New Roman" w:hAnsi="Times New Roman"/>
                <w:color w:val="333333"/>
                <w:kern w:val="0"/>
                <w:sz w:val="24"/>
                <w:szCs w:val="24"/>
              </w:rPr>
              <w:t>；</w:t>
            </w:r>
          </w:p>
          <w:p>
            <w:pPr>
              <w:rPr>
                <w:rFonts w:ascii="Times New Roman" w:hAnsi="Times New Roman"/>
                <w:color w:val="333333"/>
                <w:kern w:val="0"/>
                <w:sz w:val="24"/>
                <w:szCs w:val="24"/>
              </w:rPr>
            </w:pPr>
            <w:r>
              <w:rPr>
                <w:rFonts w:hint="eastAsia" w:ascii="Times New Roman" w:hAnsi="Times New Roman"/>
                <w:color w:val="333333"/>
                <w:kern w:val="0"/>
                <w:sz w:val="24"/>
                <w:szCs w:val="24"/>
              </w:rPr>
              <w:t>-</w:t>
            </w:r>
            <w:r>
              <w:rPr>
                <w:rFonts w:hint="eastAsia" w:ascii="Times New Roman" w:hAnsi="Times New Roman"/>
                <w:color w:val="333333"/>
                <w:kern w:val="0"/>
                <w:sz w:val="24"/>
                <w:szCs w:val="24"/>
              </w:rPr>
              <w:tab/>
            </w:r>
            <w:r>
              <w:rPr>
                <w:rFonts w:hint="eastAsia" w:ascii="Times New Roman" w:hAnsi="Times New Roman"/>
                <w:color w:val="333333"/>
                <w:kern w:val="0"/>
                <w:sz w:val="24"/>
                <w:szCs w:val="24"/>
              </w:rPr>
              <w:t>伟理塑：</w:t>
            </w:r>
            <w:r>
              <w:rPr>
                <w:rFonts w:ascii="Times New Roman" w:hAnsi="Times New Roman"/>
                <w:color w:val="333333"/>
                <w:kern w:val="0"/>
                <w:sz w:val="24"/>
                <w:szCs w:val="24"/>
              </w:rPr>
              <w:t>[5</w:t>
            </w:r>
            <w:r>
              <w:rPr>
                <w:rFonts w:hint="eastAsia" w:ascii="Times New Roman" w:hAnsi="Times New Roman"/>
                <w:color w:val="333333"/>
                <w:kern w:val="0"/>
                <w:sz w:val="24"/>
                <w:szCs w:val="24"/>
              </w:rPr>
              <w:t>-</w:t>
            </w:r>
            <w:r>
              <w:rPr>
                <w:rFonts w:ascii="Times New Roman" w:hAnsi="Times New Roman"/>
                <w:color w:val="333333"/>
                <w:kern w:val="0"/>
                <w:sz w:val="24"/>
                <w:szCs w:val="24"/>
              </w:rPr>
              <w:t>10]%</w:t>
            </w:r>
            <w:r>
              <w:rPr>
                <w:rFonts w:hint="eastAsia" w:ascii="Times New Roman" w:hAnsi="Times New Roman"/>
                <w:color w:val="333333"/>
                <w:kern w:val="0"/>
                <w:sz w:val="24"/>
                <w:szCs w:val="24"/>
              </w:rPr>
              <w:t>。</w:t>
            </w:r>
          </w:p>
          <w:p>
            <w:pPr>
              <w:rPr>
                <w:rFonts w:ascii="Times New Roman" w:hAnsi="Times New Roman"/>
                <w:color w:val="333333"/>
                <w:kern w:val="0"/>
                <w:sz w:val="24"/>
                <w:szCs w:val="24"/>
              </w:rPr>
            </w:pPr>
          </w:p>
          <w:p>
            <w:pPr>
              <w:pStyle w:val="19"/>
              <w:numPr>
                <w:ilvl w:val="0"/>
                <w:numId w:val="1"/>
              </w:numPr>
              <w:ind w:firstLineChars="0"/>
              <w:rPr>
                <w:rFonts w:ascii="Times New Roman" w:hAnsi="Times New Roman"/>
                <w:color w:val="333333"/>
                <w:kern w:val="0"/>
                <w:sz w:val="24"/>
                <w:szCs w:val="24"/>
              </w:rPr>
            </w:pPr>
            <w:r>
              <w:rPr>
                <w:rFonts w:hint="eastAsia" w:ascii="Times New Roman" w:hAnsi="Times New Roman"/>
                <w:color w:val="333333"/>
                <w:kern w:val="0"/>
                <w:sz w:val="24"/>
                <w:szCs w:val="24"/>
              </w:rPr>
              <w:t>中国</w:t>
            </w:r>
            <w:r>
              <w:rPr>
                <w:rFonts w:hint="eastAsia" w:ascii="Times New Roman" w:hAnsi="Times New Roman"/>
                <w:color w:val="333333"/>
                <w:kern w:val="0"/>
                <w:sz w:val="24"/>
                <w:szCs w:val="24"/>
                <w:lang w:eastAsia="zh-CN"/>
              </w:rPr>
              <w:t>境内</w:t>
            </w:r>
            <w:r>
              <w:rPr>
                <w:rFonts w:hint="eastAsia" w:ascii="Times New Roman" w:hAnsi="Times New Roman"/>
                <w:color w:val="333333"/>
                <w:kern w:val="0"/>
                <w:sz w:val="24"/>
                <w:szCs w:val="24"/>
              </w:rPr>
              <w:t>低压输油管路市场</w:t>
            </w:r>
          </w:p>
          <w:p>
            <w:pPr>
              <w:rPr>
                <w:rFonts w:ascii="Times New Roman" w:hAnsi="Times New Roman"/>
                <w:color w:val="333333"/>
                <w:kern w:val="0"/>
                <w:sz w:val="24"/>
                <w:szCs w:val="24"/>
              </w:rPr>
            </w:pPr>
            <w:r>
              <w:rPr>
                <w:rFonts w:hint="eastAsia" w:ascii="Times New Roman" w:hAnsi="Times New Roman"/>
                <w:color w:val="333333"/>
                <w:kern w:val="0"/>
                <w:sz w:val="24"/>
                <w:szCs w:val="24"/>
              </w:rPr>
              <w:t>-</w:t>
            </w:r>
            <w:r>
              <w:rPr>
                <w:rFonts w:hint="eastAsia" w:ascii="Times New Roman" w:hAnsi="Times New Roman"/>
                <w:color w:val="333333"/>
                <w:kern w:val="0"/>
                <w:sz w:val="24"/>
                <w:szCs w:val="24"/>
              </w:rPr>
              <w:tab/>
            </w:r>
            <w:r>
              <w:rPr>
                <w:rFonts w:hint="eastAsia" w:ascii="Times New Roman" w:hAnsi="Times New Roman"/>
                <w:color w:val="333333"/>
                <w:kern w:val="0"/>
                <w:sz w:val="24"/>
                <w:szCs w:val="24"/>
              </w:rPr>
              <w:t>H</w:t>
            </w:r>
            <w:r>
              <w:rPr>
                <w:rFonts w:ascii="Times New Roman" w:hAnsi="Times New Roman"/>
                <w:color w:val="333333"/>
                <w:kern w:val="0"/>
                <w:sz w:val="24"/>
                <w:szCs w:val="24"/>
              </w:rPr>
              <w:t>DT</w:t>
            </w:r>
            <w:r>
              <w:rPr>
                <w:rFonts w:hint="eastAsia" w:ascii="Times New Roman" w:hAnsi="Times New Roman"/>
                <w:color w:val="333333"/>
                <w:kern w:val="0"/>
                <w:sz w:val="24"/>
                <w:szCs w:val="24"/>
              </w:rPr>
              <w:t>：</w:t>
            </w:r>
            <w:r>
              <w:rPr>
                <w:rFonts w:ascii="Times New Roman" w:hAnsi="Times New Roman"/>
                <w:color w:val="333333"/>
                <w:kern w:val="0"/>
                <w:sz w:val="24"/>
                <w:szCs w:val="24"/>
              </w:rPr>
              <w:t>[0-5]%</w:t>
            </w:r>
            <w:r>
              <w:rPr>
                <w:rFonts w:hint="eastAsia" w:ascii="Times New Roman" w:hAnsi="Times New Roman"/>
                <w:color w:val="333333"/>
                <w:kern w:val="0"/>
                <w:sz w:val="24"/>
                <w:szCs w:val="24"/>
              </w:rPr>
              <w:t>；</w:t>
            </w:r>
          </w:p>
          <w:p>
            <w:pPr>
              <w:rPr>
                <w:rFonts w:ascii="Times New Roman" w:hAnsi="Times New Roman"/>
                <w:color w:val="333333"/>
                <w:kern w:val="0"/>
                <w:sz w:val="24"/>
                <w:szCs w:val="24"/>
              </w:rPr>
            </w:pPr>
            <w:r>
              <w:rPr>
                <w:rFonts w:hint="eastAsia" w:ascii="Times New Roman" w:hAnsi="Times New Roman"/>
                <w:color w:val="333333"/>
                <w:kern w:val="0"/>
                <w:sz w:val="24"/>
                <w:szCs w:val="24"/>
              </w:rPr>
              <w:t>-</w:t>
            </w:r>
            <w:r>
              <w:rPr>
                <w:rFonts w:hint="eastAsia" w:ascii="Times New Roman" w:hAnsi="Times New Roman"/>
                <w:color w:val="333333"/>
                <w:kern w:val="0"/>
                <w:sz w:val="24"/>
                <w:szCs w:val="24"/>
              </w:rPr>
              <w:tab/>
            </w:r>
            <w:r>
              <w:rPr>
                <w:rFonts w:hint="eastAsia" w:ascii="Times New Roman" w:hAnsi="Times New Roman"/>
                <w:color w:val="333333"/>
                <w:kern w:val="0"/>
                <w:sz w:val="24"/>
                <w:szCs w:val="24"/>
              </w:rPr>
              <w:t>伟理塑：</w:t>
            </w:r>
            <w:r>
              <w:rPr>
                <w:rFonts w:ascii="Times New Roman" w:hAnsi="Times New Roman"/>
                <w:color w:val="333333"/>
                <w:kern w:val="0"/>
                <w:sz w:val="24"/>
                <w:szCs w:val="24"/>
              </w:rPr>
              <w:t>[5</w:t>
            </w:r>
            <w:r>
              <w:rPr>
                <w:rFonts w:hint="eastAsia" w:ascii="Times New Roman" w:hAnsi="Times New Roman"/>
                <w:color w:val="333333"/>
                <w:kern w:val="0"/>
                <w:sz w:val="24"/>
                <w:szCs w:val="24"/>
              </w:rPr>
              <w:t>-</w:t>
            </w:r>
            <w:r>
              <w:rPr>
                <w:rFonts w:ascii="Times New Roman" w:hAnsi="Times New Roman"/>
                <w:color w:val="333333"/>
                <w:kern w:val="0"/>
                <w:sz w:val="24"/>
                <w:szCs w:val="24"/>
              </w:rPr>
              <w:t>10]%</w:t>
            </w:r>
            <w:r>
              <w:rPr>
                <w:rFonts w:hint="eastAsia" w:ascii="Times New Roman" w:hAnsi="Times New Roman"/>
                <w:color w:val="333333"/>
                <w:kern w:val="0"/>
                <w:sz w:val="24"/>
                <w:szCs w:val="24"/>
              </w:rPr>
              <w:t>。</w:t>
            </w:r>
          </w:p>
          <w:p>
            <w:pPr>
              <w:rPr>
                <w:rFonts w:ascii="Times New Roman" w:hAnsi="Times New Roman"/>
                <w:color w:val="333333"/>
                <w:kern w:val="0"/>
                <w:sz w:val="24"/>
                <w:szCs w:val="24"/>
              </w:rPr>
            </w:pPr>
          </w:p>
        </w:tc>
      </w:tr>
    </w:tbl>
    <w:p>
      <w:pPr>
        <w:spacing w:line="360" w:lineRule="auto"/>
        <w:rPr>
          <w:rFonts w:ascii="Times New Roman" w:hAnsi="Times New Roman"/>
          <w:sz w:val="28"/>
          <w:szCs w:val="28"/>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仿宋"/>
    <w:panose1 w:val="00000000000000000000"/>
    <w:charset w:val="86"/>
    <w:family w:val="auto"/>
    <w:pitch w:val="default"/>
    <w:sig w:usb0="00000000" w:usb1="00000000" w:usb2="00000000" w:usb3="00000000" w:csb0="00000000" w:csb1="00000000"/>
  </w:font>
  <w:font w:name="等线">
    <w:altName w:val="仿宋"/>
    <w:panose1 w:val="00000000000000000000"/>
    <w:charset w:val="00"/>
    <w:family w:val="auto"/>
    <w:pitch w:val="default"/>
    <w:sig w:usb0="00000000" w:usb1="00000000" w:usb2="00000000" w:usb3="00000000" w:csb0="00000000" w:csb1="00000000"/>
  </w:font>
  <w:font w:name="DengXian">
    <w:altName w:val="汉仪中宋简"/>
    <w:panose1 w:val="02010600030101010101"/>
    <w:charset w:val="86"/>
    <w:family w:val="auto"/>
    <w:pitch w:val="default"/>
    <w:sig w:usb0="00000000" w:usb1="00000000" w:usb2="00000016" w:usb3="00000000" w:csb0="0004000F" w:csb1="00000000"/>
  </w:font>
  <w:font w:name="仿宋">
    <w:panose1 w:val="02010609060101010101"/>
    <w:charset w:val="86"/>
    <w:family w:val="auto"/>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 w:name="汉仪中宋简">
    <w:panose1 w:val="02010600000101010101"/>
    <w:charset w:val="86"/>
    <w:family w:val="auto"/>
    <w:pitch w:val="default"/>
    <w:sig w:usb0="00000001" w:usb1="080E0800" w:usb2="00000002"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44035266"/>
      <w:docPartObj>
        <w:docPartGallery w:val="AutoText"/>
      </w:docPartObj>
    </w:sdtPr>
    <w:sdtContent>
      <w:p>
        <w:pPr>
          <w:pStyle w:val="4"/>
          <w:jc w:val="center"/>
        </w:pPr>
        <w:r>
          <w:fldChar w:fldCharType="begin"/>
        </w:r>
        <w:r>
          <w:instrText xml:space="preserve">PAGE   \* MERGEFORMAT</w:instrText>
        </w:r>
        <w:r>
          <w:fldChar w:fldCharType="separate"/>
        </w:r>
        <w:r>
          <w:rPr>
            <w:lang w:val="zh-CN"/>
          </w:rPr>
          <w:t>2</w:t>
        </w:r>
        <w:r>
          <w:fldChar w:fldCharType="end"/>
        </w:r>
      </w:p>
    </w:sdtContent>
  </w:sdt>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65B2E57"/>
    <w:multiLevelType w:val="multilevel"/>
    <w:tmpl w:val="265B2E57"/>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val="bestFit" w:percent="228"/>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00DF"/>
    <w:rsid w:val="00022F47"/>
    <w:rsid w:val="00037065"/>
    <w:rsid w:val="000856C0"/>
    <w:rsid w:val="000D7EBA"/>
    <w:rsid w:val="001164CD"/>
    <w:rsid w:val="00127370"/>
    <w:rsid w:val="00147CC6"/>
    <w:rsid w:val="00155717"/>
    <w:rsid w:val="001837A3"/>
    <w:rsid w:val="00187D8D"/>
    <w:rsid w:val="0019615B"/>
    <w:rsid w:val="001B15D0"/>
    <w:rsid w:val="001D0A2A"/>
    <w:rsid w:val="001F33EA"/>
    <w:rsid w:val="00226940"/>
    <w:rsid w:val="002563AC"/>
    <w:rsid w:val="002B5E15"/>
    <w:rsid w:val="002B7C19"/>
    <w:rsid w:val="002D1077"/>
    <w:rsid w:val="002F26C3"/>
    <w:rsid w:val="00354FA3"/>
    <w:rsid w:val="00360187"/>
    <w:rsid w:val="0036639E"/>
    <w:rsid w:val="003813BA"/>
    <w:rsid w:val="0038217F"/>
    <w:rsid w:val="00394DBA"/>
    <w:rsid w:val="003C0AEB"/>
    <w:rsid w:val="003D0946"/>
    <w:rsid w:val="00455F2C"/>
    <w:rsid w:val="0047772B"/>
    <w:rsid w:val="004922C5"/>
    <w:rsid w:val="004951DC"/>
    <w:rsid w:val="004A115E"/>
    <w:rsid w:val="004F7688"/>
    <w:rsid w:val="005117E5"/>
    <w:rsid w:val="00516AFC"/>
    <w:rsid w:val="00534659"/>
    <w:rsid w:val="005446C4"/>
    <w:rsid w:val="0057481C"/>
    <w:rsid w:val="00595D21"/>
    <w:rsid w:val="005A6346"/>
    <w:rsid w:val="005E2C5A"/>
    <w:rsid w:val="00600DF0"/>
    <w:rsid w:val="006349DB"/>
    <w:rsid w:val="006467D8"/>
    <w:rsid w:val="00670431"/>
    <w:rsid w:val="00680B2C"/>
    <w:rsid w:val="00692939"/>
    <w:rsid w:val="006A531B"/>
    <w:rsid w:val="006D3251"/>
    <w:rsid w:val="006F7693"/>
    <w:rsid w:val="00710140"/>
    <w:rsid w:val="0071301C"/>
    <w:rsid w:val="00797580"/>
    <w:rsid w:val="00797750"/>
    <w:rsid w:val="007C6F83"/>
    <w:rsid w:val="007F2275"/>
    <w:rsid w:val="00812AC8"/>
    <w:rsid w:val="008144B2"/>
    <w:rsid w:val="00882053"/>
    <w:rsid w:val="0088552D"/>
    <w:rsid w:val="008A251D"/>
    <w:rsid w:val="008C1BDD"/>
    <w:rsid w:val="008D354C"/>
    <w:rsid w:val="0090241D"/>
    <w:rsid w:val="00915F0F"/>
    <w:rsid w:val="009532DF"/>
    <w:rsid w:val="00967A71"/>
    <w:rsid w:val="0097787C"/>
    <w:rsid w:val="0098566E"/>
    <w:rsid w:val="00997019"/>
    <w:rsid w:val="009A5029"/>
    <w:rsid w:val="009C6AB7"/>
    <w:rsid w:val="009D05F7"/>
    <w:rsid w:val="009D38D5"/>
    <w:rsid w:val="009E6E79"/>
    <w:rsid w:val="00A22726"/>
    <w:rsid w:val="00A37288"/>
    <w:rsid w:val="00A4769D"/>
    <w:rsid w:val="00A53F26"/>
    <w:rsid w:val="00AA0CC5"/>
    <w:rsid w:val="00AA11BC"/>
    <w:rsid w:val="00AC2B48"/>
    <w:rsid w:val="00AF5BB4"/>
    <w:rsid w:val="00B16AFE"/>
    <w:rsid w:val="00B23121"/>
    <w:rsid w:val="00B475DB"/>
    <w:rsid w:val="00B56425"/>
    <w:rsid w:val="00B65DD5"/>
    <w:rsid w:val="00B83B4E"/>
    <w:rsid w:val="00B929C9"/>
    <w:rsid w:val="00BA0CFB"/>
    <w:rsid w:val="00BA23D5"/>
    <w:rsid w:val="00BA79FD"/>
    <w:rsid w:val="00BD10B6"/>
    <w:rsid w:val="00C01A56"/>
    <w:rsid w:val="00C07076"/>
    <w:rsid w:val="00CB00DF"/>
    <w:rsid w:val="00CB1CD3"/>
    <w:rsid w:val="00CB6CF8"/>
    <w:rsid w:val="00CC6B9E"/>
    <w:rsid w:val="00CF55D5"/>
    <w:rsid w:val="00D27265"/>
    <w:rsid w:val="00D735AE"/>
    <w:rsid w:val="00D73C72"/>
    <w:rsid w:val="00D85C35"/>
    <w:rsid w:val="00D9748F"/>
    <w:rsid w:val="00DE2145"/>
    <w:rsid w:val="00E0592B"/>
    <w:rsid w:val="00E31738"/>
    <w:rsid w:val="00E31F66"/>
    <w:rsid w:val="00E358FA"/>
    <w:rsid w:val="00E4779C"/>
    <w:rsid w:val="00E62A1A"/>
    <w:rsid w:val="00E72BD9"/>
    <w:rsid w:val="00E74504"/>
    <w:rsid w:val="00E86786"/>
    <w:rsid w:val="00E97CC8"/>
    <w:rsid w:val="00ED2F80"/>
    <w:rsid w:val="00EE5158"/>
    <w:rsid w:val="00F1624E"/>
    <w:rsid w:val="00F32F8A"/>
    <w:rsid w:val="00F42950"/>
    <w:rsid w:val="00F810AA"/>
    <w:rsid w:val="00FA78A1"/>
    <w:rsid w:val="00FB43EC"/>
    <w:rsid w:val="00FB6B40"/>
    <w:rsid w:val="00FB7AAE"/>
    <w:rsid w:val="BFBB41C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semiHidden="0"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7"/>
    <w:semiHidden/>
    <w:unhideWhenUsed/>
    <w:qFormat/>
    <w:uiPriority w:val="99"/>
    <w:pPr>
      <w:jc w:val="left"/>
    </w:pPr>
  </w:style>
  <w:style w:type="paragraph" w:styleId="3">
    <w:name w:val="Balloon Text"/>
    <w:basedOn w:val="1"/>
    <w:link w:val="12"/>
    <w:semiHidden/>
    <w:unhideWhenUsed/>
    <w:qFormat/>
    <w:uiPriority w:val="99"/>
    <w:rPr>
      <w:rFonts w:ascii="宋体"/>
      <w:sz w:val="18"/>
      <w:szCs w:val="18"/>
    </w:rPr>
  </w:style>
  <w:style w:type="paragraph" w:styleId="4">
    <w:name w:val="footer"/>
    <w:basedOn w:val="1"/>
    <w:link w:val="14"/>
    <w:unhideWhenUsed/>
    <w:qFormat/>
    <w:uiPriority w:val="99"/>
    <w:pPr>
      <w:tabs>
        <w:tab w:val="center" w:pos="4153"/>
        <w:tab w:val="right" w:pos="8306"/>
      </w:tabs>
      <w:snapToGrid w:val="0"/>
      <w:jc w:val="left"/>
    </w:pPr>
    <w:rPr>
      <w:sz w:val="18"/>
      <w:szCs w:val="18"/>
    </w:rPr>
  </w:style>
  <w:style w:type="paragraph" w:styleId="5">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footnote text"/>
    <w:basedOn w:val="1"/>
    <w:link w:val="15"/>
    <w:unhideWhenUsed/>
    <w:qFormat/>
    <w:uiPriority w:val="99"/>
    <w:pPr>
      <w:snapToGrid w:val="0"/>
      <w:jc w:val="left"/>
    </w:pPr>
    <w:rPr>
      <w:sz w:val="18"/>
      <w:szCs w:val="18"/>
    </w:rPr>
  </w:style>
  <w:style w:type="paragraph" w:styleId="7">
    <w:name w:val="annotation subject"/>
    <w:basedOn w:val="2"/>
    <w:next w:val="2"/>
    <w:link w:val="18"/>
    <w:semiHidden/>
    <w:unhideWhenUsed/>
    <w:qFormat/>
    <w:uiPriority w:val="99"/>
    <w:rPr>
      <w:b/>
      <w:bCs/>
    </w:rPr>
  </w:style>
  <w:style w:type="character" w:styleId="10">
    <w:name w:val="annotation reference"/>
    <w:basedOn w:val="9"/>
    <w:semiHidden/>
    <w:unhideWhenUsed/>
    <w:qFormat/>
    <w:uiPriority w:val="99"/>
    <w:rPr>
      <w:sz w:val="21"/>
      <w:szCs w:val="21"/>
    </w:rPr>
  </w:style>
  <w:style w:type="character" w:styleId="11">
    <w:name w:val="footnote reference"/>
    <w:basedOn w:val="9"/>
    <w:semiHidden/>
    <w:unhideWhenUsed/>
    <w:qFormat/>
    <w:uiPriority w:val="99"/>
    <w:rPr>
      <w:vertAlign w:val="superscript"/>
    </w:rPr>
  </w:style>
  <w:style w:type="character" w:customStyle="1" w:styleId="12">
    <w:name w:val="批注框文本 字符"/>
    <w:basedOn w:val="9"/>
    <w:link w:val="3"/>
    <w:semiHidden/>
    <w:qFormat/>
    <w:uiPriority w:val="99"/>
    <w:rPr>
      <w:rFonts w:ascii="宋体" w:hAnsi="Calibri" w:eastAsia="宋体" w:cs="Times New Roman"/>
      <w:sz w:val="18"/>
      <w:szCs w:val="18"/>
    </w:rPr>
  </w:style>
  <w:style w:type="character" w:customStyle="1" w:styleId="13">
    <w:name w:val="页眉 字符"/>
    <w:basedOn w:val="9"/>
    <w:link w:val="5"/>
    <w:qFormat/>
    <w:uiPriority w:val="99"/>
    <w:rPr>
      <w:rFonts w:ascii="Calibri" w:hAnsi="Calibri" w:eastAsia="宋体" w:cs="Times New Roman"/>
      <w:sz w:val="18"/>
      <w:szCs w:val="18"/>
    </w:rPr>
  </w:style>
  <w:style w:type="character" w:customStyle="1" w:styleId="14">
    <w:name w:val="页脚 字符"/>
    <w:basedOn w:val="9"/>
    <w:link w:val="4"/>
    <w:qFormat/>
    <w:uiPriority w:val="99"/>
    <w:rPr>
      <w:rFonts w:ascii="Calibri" w:hAnsi="Calibri" w:eastAsia="宋体" w:cs="Times New Roman"/>
      <w:sz w:val="18"/>
      <w:szCs w:val="18"/>
    </w:rPr>
  </w:style>
  <w:style w:type="character" w:customStyle="1" w:styleId="15">
    <w:name w:val="脚注文本 字符"/>
    <w:basedOn w:val="9"/>
    <w:link w:val="6"/>
    <w:qFormat/>
    <w:uiPriority w:val="99"/>
    <w:rPr>
      <w:rFonts w:ascii="Calibri" w:hAnsi="Calibri" w:eastAsia="宋体" w:cs="Times New Roman"/>
      <w:sz w:val="18"/>
      <w:szCs w:val="18"/>
    </w:rPr>
  </w:style>
  <w:style w:type="paragraph" w:customStyle="1" w:styleId="16">
    <w:name w:val="正文1"/>
    <w:qFormat/>
    <w:uiPriority w:val="0"/>
    <w:pPr>
      <w:jc w:val="both"/>
    </w:pPr>
    <w:rPr>
      <w:rFonts w:ascii="DengXian" w:hAnsi="DengXian" w:eastAsia="宋体" w:cs="宋体"/>
      <w:kern w:val="2"/>
      <w:sz w:val="21"/>
      <w:szCs w:val="21"/>
      <w:lang w:val="en-US" w:eastAsia="zh-CN" w:bidi="ar-SA"/>
    </w:rPr>
  </w:style>
  <w:style w:type="character" w:customStyle="1" w:styleId="17">
    <w:name w:val="批注文字 字符"/>
    <w:basedOn w:val="9"/>
    <w:link w:val="2"/>
    <w:semiHidden/>
    <w:qFormat/>
    <w:uiPriority w:val="99"/>
    <w:rPr>
      <w:rFonts w:ascii="Calibri" w:hAnsi="Calibri" w:eastAsia="宋体" w:cs="Times New Roman"/>
    </w:rPr>
  </w:style>
  <w:style w:type="character" w:customStyle="1" w:styleId="18">
    <w:name w:val="批注主题 字符"/>
    <w:basedOn w:val="17"/>
    <w:link w:val="7"/>
    <w:semiHidden/>
    <w:qFormat/>
    <w:uiPriority w:val="99"/>
    <w:rPr>
      <w:rFonts w:ascii="Calibri" w:hAnsi="Calibri" w:eastAsia="宋体" w:cs="Times New Roman"/>
      <w:b/>
      <w:bCs/>
    </w:rPr>
  </w:style>
  <w:style w:type="paragraph" w:styleId="19">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155</Words>
  <Characters>887</Characters>
  <Lines>7</Lines>
  <Paragraphs>2</Paragraphs>
  <TotalTime>2</TotalTime>
  <ScaleCrop>false</ScaleCrop>
  <LinksUpToDate>false</LinksUpToDate>
  <CharactersWithSpaces>1040</CharactersWithSpaces>
  <Application>WPS Office_11.8.2.9695_F1E327BC-269C-435d-A152-05C5408002CA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2021-08-18T17:49:00Z</dcterms:created>
  <dc:creator>陈媚</dc:creator>
  <cp:lastModifiedBy>greatwall</cp:lastModifiedBy>
  <dcterms:modified xsi:type="dcterms:W3CDTF">2021-08-20T14:57:56Z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2052-11.8.2.9695</vt:lpwstr>
  </property>
</Properties>
</file>