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7209" w:rsidRDefault="008F7209" w:rsidP="008F7209">
      <w:pPr>
        <w:spacing w:line="560" w:lineRule="exact"/>
        <w:jc w:val="center"/>
        <w:rPr>
          <w:rFonts w:eastAsia="方正小标宋_GBK"/>
          <w:b/>
          <w:sz w:val="44"/>
          <w:szCs w:val="44"/>
        </w:rPr>
      </w:pPr>
      <w:r>
        <w:rPr>
          <w:rFonts w:eastAsia="方正小标宋_GBK" w:hint="eastAsia"/>
          <w:b/>
          <w:sz w:val="44"/>
          <w:szCs w:val="44"/>
        </w:rPr>
        <w:t>江苏省市场监督管理局</w:t>
      </w:r>
    </w:p>
    <w:p w:rsidR="008F7209" w:rsidRDefault="008F7209" w:rsidP="008F7209">
      <w:pPr>
        <w:spacing w:line="560" w:lineRule="exact"/>
        <w:jc w:val="center"/>
        <w:rPr>
          <w:rFonts w:eastAsia="方正小标宋_GBK"/>
          <w:b/>
          <w:sz w:val="44"/>
          <w:szCs w:val="44"/>
        </w:rPr>
      </w:pPr>
      <w:r>
        <w:rPr>
          <w:rFonts w:eastAsia="方正小标宋_GBK" w:hint="eastAsia"/>
          <w:b/>
          <w:sz w:val="44"/>
          <w:szCs w:val="44"/>
        </w:rPr>
        <w:t>垄断案件终止调查决定书</w:t>
      </w:r>
    </w:p>
    <w:p w:rsidR="005B575C" w:rsidRPr="00890E70" w:rsidRDefault="005B575C" w:rsidP="005B575C">
      <w:pPr>
        <w:spacing w:line="560" w:lineRule="exact"/>
        <w:jc w:val="center"/>
        <w:rPr>
          <w:rFonts w:ascii="楷体_GB2312" w:eastAsia="楷体_GB2312"/>
          <w:szCs w:val="32"/>
        </w:rPr>
      </w:pPr>
      <w:r>
        <w:rPr>
          <w:rFonts w:ascii="楷体_GB2312" w:eastAsia="楷体_GB2312" w:hint="eastAsia"/>
          <w:szCs w:val="32"/>
        </w:rPr>
        <w:t>苏市监</w:t>
      </w:r>
      <w:r w:rsidR="00D314D8">
        <w:rPr>
          <w:rFonts w:ascii="楷体_GB2312" w:eastAsia="楷体_GB2312" w:hint="eastAsia"/>
          <w:szCs w:val="32"/>
        </w:rPr>
        <w:t>反垄断终</w:t>
      </w:r>
      <w:r w:rsidR="00500A41">
        <w:rPr>
          <w:rFonts w:ascii="楷体_GB2312" w:eastAsia="楷体_GB2312" w:hint="eastAsia"/>
          <w:szCs w:val="32"/>
        </w:rPr>
        <w:t>止</w:t>
      </w:r>
      <w:r>
        <w:rPr>
          <w:rFonts w:ascii="楷体_GB2312" w:eastAsia="楷体_GB2312" w:hint="eastAsia"/>
          <w:szCs w:val="32"/>
        </w:rPr>
        <w:t>〔</w:t>
      </w:r>
      <w:r w:rsidR="00D314D8">
        <w:rPr>
          <w:rFonts w:ascii="楷体_GB2312" w:eastAsia="楷体_GB2312" w:hint="eastAsia"/>
          <w:szCs w:val="32"/>
        </w:rPr>
        <w:t>2020</w:t>
      </w:r>
      <w:r>
        <w:rPr>
          <w:rFonts w:ascii="楷体_GB2312" w:eastAsia="楷体_GB2312" w:hint="eastAsia"/>
          <w:szCs w:val="32"/>
        </w:rPr>
        <w:t>〕</w:t>
      </w:r>
      <w:r w:rsidR="00D314D8">
        <w:rPr>
          <w:rFonts w:ascii="楷体_GB2312" w:eastAsia="楷体_GB2312" w:hint="eastAsia"/>
          <w:szCs w:val="32"/>
        </w:rPr>
        <w:t>1</w:t>
      </w:r>
      <w:r w:rsidRPr="00890E70">
        <w:rPr>
          <w:rFonts w:ascii="楷体_GB2312" w:eastAsia="楷体_GB2312" w:hint="eastAsia"/>
          <w:szCs w:val="32"/>
        </w:rPr>
        <w:t>号</w:t>
      </w:r>
    </w:p>
    <w:p w:rsidR="008F7209" w:rsidRDefault="008F7209" w:rsidP="008F7209">
      <w:pPr>
        <w:spacing w:line="340" w:lineRule="exact"/>
        <w:rPr>
          <w:rFonts w:eastAsia="楷体_GB2312"/>
          <w:szCs w:val="32"/>
        </w:rPr>
      </w:pPr>
    </w:p>
    <w:p w:rsidR="008F7209" w:rsidRPr="00DE0EEE" w:rsidRDefault="00460F71" w:rsidP="008F7209">
      <w:pPr>
        <w:rPr>
          <w:rFonts w:ascii="黑体" w:eastAsia="黑体"/>
          <w:szCs w:val="32"/>
        </w:rPr>
      </w:pPr>
      <w:r w:rsidRPr="00DE0EEE">
        <w:rPr>
          <w:rFonts w:ascii="黑体" w:eastAsia="黑体" w:hint="eastAsia"/>
          <w:szCs w:val="32"/>
        </w:rPr>
        <w:t>一、当事人情况</w:t>
      </w:r>
    </w:p>
    <w:p w:rsidR="008F7209" w:rsidRDefault="008F7209" w:rsidP="008B3E00">
      <w:pPr>
        <w:spacing w:line="590" w:lineRule="exact"/>
        <w:ind w:firstLineChars="200" w:firstLine="622"/>
        <w:rPr>
          <w:rFonts w:eastAsia="仿宋_GB2312"/>
          <w:w w:val="99"/>
          <w:szCs w:val="32"/>
        </w:rPr>
      </w:pPr>
      <w:r>
        <w:rPr>
          <w:rFonts w:eastAsia="仿宋_GB2312" w:hint="eastAsia"/>
          <w:w w:val="99"/>
          <w:szCs w:val="32"/>
        </w:rPr>
        <w:t>当事人：盐城新奥燃气有限公司</w:t>
      </w:r>
    </w:p>
    <w:p w:rsidR="008F7209" w:rsidRDefault="008F7209" w:rsidP="008B3E00">
      <w:pPr>
        <w:spacing w:line="590" w:lineRule="exact"/>
        <w:ind w:firstLineChars="200" w:firstLine="622"/>
        <w:rPr>
          <w:rFonts w:eastAsia="仿宋_GB2312"/>
          <w:w w:val="99"/>
          <w:szCs w:val="32"/>
        </w:rPr>
      </w:pPr>
      <w:r>
        <w:rPr>
          <w:rFonts w:eastAsia="仿宋_GB2312" w:hint="eastAsia"/>
          <w:w w:val="99"/>
          <w:szCs w:val="32"/>
        </w:rPr>
        <w:t>统一社会信用代码：</w:t>
      </w:r>
      <w:r>
        <w:rPr>
          <w:rFonts w:eastAsia="仿宋_GB2312"/>
          <w:w w:val="99"/>
          <w:szCs w:val="32"/>
        </w:rPr>
        <w:t>913209007365145497</w:t>
      </w:r>
    </w:p>
    <w:p w:rsidR="008F7209" w:rsidRDefault="008F7209" w:rsidP="008B3E00">
      <w:pPr>
        <w:spacing w:line="590" w:lineRule="exact"/>
        <w:ind w:firstLineChars="200" w:firstLine="622"/>
        <w:rPr>
          <w:rFonts w:eastAsia="仿宋_GB2312"/>
          <w:w w:val="99"/>
          <w:szCs w:val="32"/>
        </w:rPr>
      </w:pPr>
      <w:r>
        <w:rPr>
          <w:rFonts w:eastAsia="仿宋_GB2312" w:hint="eastAsia"/>
          <w:w w:val="99"/>
          <w:szCs w:val="32"/>
        </w:rPr>
        <w:t>法定代表人：韩继森</w:t>
      </w:r>
    </w:p>
    <w:p w:rsidR="008F7209" w:rsidRDefault="008F7209" w:rsidP="008B3E00">
      <w:pPr>
        <w:spacing w:line="590" w:lineRule="exact"/>
        <w:ind w:firstLineChars="200" w:firstLine="622"/>
        <w:rPr>
          <w:rFonts w:eastAsia="仿宋_GB2312"/>
          <w:w w:val="99"/>
          <w:szCs w:val="32"/>
        </w:rPr>
      </w:pPr>
      <w:r>
        <w:rPr>
          <w:rFonts w:eastAsia="仿宋_GB2312" w:hint="eastAsia"/>
          <w:w w:val="99"/>
          <w:szCs w:val="32"/>
        </w:rPr>
        <w:t>住所：盐城市区青年东路</w:t>
      </w:r>
      <w:r>
        <w:rPr>
          <w:rFonts w:eastAsia="仿宋_GB2312"/>
          <w:w w:val="99"/>
          <w:szCs w:val="32"/>
        </w:rPr>
        <w:t>49</w:t>
      </w:r>
      <w:r>
        <w:rPr>
          <w:rFonts w:eastAsia="仿宋_GB2312" w:hint="eastAsia"/>
          <w:w w:val="99"/>
          <w:szCs w:val="32"/>
        </w:rPr>
        <w:t>号金牛贸易大厦</w:t>
      </w:r>
      <w:r>
        <w:rPr>
          <w:rFonts w:eastAsia="仿宋_GB2312"/>
          <w:w w:val="99"/>
          <w:szCs w:val="32"/>
        </w:rPr>
        <w:t>1</w:t>
      </w:r>
      <w:r>
        <w:rPr>
          <w:rFonts w:eastAsia="仿宋_GB2312" w:hint="eastAsia"/>
          <w:w w:val="99"/>
          <w:szCs w:val="32"/>
        </w:rPr>
        <w:t>幢</w:t>
      </w:r>
      <w:r>
        <w:rPr>
          <w:rFonts w:eastAsia="仿宋_GB2312"/>
          <w:w w:val="99"/>
          <w:szCs w:val="32"/>
        </w:rPr>
        <w:t>701</w:t>
      </w:r>
      <w:r>
        <w:rPr>
          <w:rFonts w:eastAsia="仿宋_GB2312" w:hint="eastAsia"/>
          <w:w w:val="99"/>
          <w:szCs w:val="32"/>
        </w:rPr>
        <w:t>室</w:t>
      </w:r>
    </w:p>
    <w:p w:rsidR="008F7209" w:rsidRDefault="008F7209" w:rsidP="008B3E00">
      <w:pPr>
        <w:spacing w:line="590" w:lineRule="exact"/>
        <w:ind w:firstLineChars="200" w:firstLine="622"/>
        <w:rPr>
          <w:rFonts w:eastAsia="仿宋_GB2312"/>
          <w:w w:val="99"/>
          <w:szCs w:val="32"/>
        </w:rPr>
      </w:pPr>
      <w:r>
        <w:rPr>
          <w:rFonts w:eastAsia="仿宋_GB2312" w:hint="eastAsia"/>
          <w:w w:val="99"/>
          <w:szCs w:val="32"/>
        </w:rPr>
        <w:t>类型：有限责任公司（中外合资）</w:t>
      </w:r>
      <w:r>
        <w:rPr>
          <w:rFonts w:eastAsia="仿宋_GB2312"/>
          <w:w w:val="99"/>
          <w:szCs w:val="32"/>
        </w:rPr>
        <w:t xml:space="preserve"> </w:t>
      </w:r>
    </w:p>
    <w:p w:rsidR="008F7209" w:rsidRDefault="008F7209" w:rsidP="008B3E00">
      <w:pPr>
        <w:spacing w:line="590" w:lineRule="exact"/>
        <w:ind w:firstLineChars="211" w:firstLine="656"/>
        <w:rPr>
          <w:rFonts w:eastAsia="仿宋_GB2312"/>
          <w:w w:val="99"/>
          <w:szCs w:val="32"/>
        </w:rPr>
      </w:pPr>
      <w:r>
        <w:rPr>
          <w:rFonts w:eastAsia="仿宋_GB2312" w:hint="eastAsia"/>
          <w:w w:val="99"/>
          <w:szCs w:val="32"/>
        </w:rPr>
        <w:t>经营范围：汽车用燃气制造（限分支机构经营）；管道燃气工程设计安装；燃气设备销售、安装、维修；燃气输配。（依法须经批准的项目，经相关部门批准后方可开展经营活动）</w:t>
      </w:r>
    </w:p>
    <w:p w:rsidR="00460F71" w:rsidRPr="00460F71" w:rsidRDefault="00460F71" w:rsidP="008B3E00">
      <w:pPr>
        <w:spacing w:line="590" w:lineRule="exact"/>
        <w:ind w:firstLineChars="211" w:firstLine="656"/>
        <w:rPr>
          <w:rFonts w:ascii="黑体" w:eastAsia="黑体"/>
          <w:w w:val="99"/>
          <w:szCs w:val="32"/>
        </w:rPr>
      </w:pPr>
      <w:r w:rsidRPr="00460F71">
        <w:rPr>
          <w:rFonts w:ascii="黑体" w:eastAsia="黑体" w:hint="eastAsia"/>
          <w:w w:val="99"/>
          <w:szCs w:val="32"/>
        </w:rPr>
        <w:t>二、作出中止调查的情况</w:t>
      </w:r>
    </w:p>
    <w:p w:rsidR="008F7209" w:rsidRDefault="008F7209" w:rsidP="008B3E00">
      <w:pPr>
        <w:spacing w:line="590" w:lineRule="exact"/>
        <w:ind w:firstLineChars="200" w:firstLine="622"/>
        <w:rPr>
          <w:rFonts w:eastAsia="仿宋_GB2312"/>
          <w:w w:val="99"/>
          <w:szCs w:val="32"/>
        </w:rPr>
      </w:pPr>
      <w:r>
        <w:rPr>
          <w:rFonts w:eastAsia="仿宋_GB2312"/>
          <w:w w:val="99"/>
          <w:szCs w:val="32"/>
        </w:rPr>
        <w:t>2015</w:t>
      </w:r>
      <w:r>
        <w:rPr>
          <w:rFonts w:eastAsia="仿宋_GB2312" w:hint="eastAsia"/>
          <w:w w:val="99"/>
          <w:szCs w:val="32"/>
        </w:rPr>
        <w:t>年</w:t>
      </w:r>
      <w:r>
        <w:rPr>
          <w:rFonts w:eastAsia="仿宋_GB2312"/>
          <w:w w:val="99"/>
          <w:szCs w:val="32"/>
        </w:rPr>
        <w:t>6</w:t>
      </w:r>
      <w:r>
        <w:rPr>
          <w:rFonts w:eastAsia="仿宋_GB2312" w:hint="eastAsia"/>
          <w:w w:val="99"/>
          <w:szCs w:val="32"/>
        </w:rPr>
        <w:t>月</w:t>
      </w:r>
      <w:r>
        <w:rPr>
          <w:rFonts w:eastAsia="仿宋_GB2312" w:hint="eastAsia"/>
          <w:szCs w:val="32"/>
        </w:rPr>
        <w:t>，本局接到投诉举报盐城新奥燃气有限公司在办理用户管道燃气开户业务中，滥用市场支配地位，侵害用户权益。</w:t>
      </w:r>
      <w:r>
        <w:rPr>
          <w:rFonts w:eastAsia="仿宋_GB2312"/>
          <w:w w:val="99"/>
          <w:szCs w:val="32"/>
        </w:rPr>
        <w:t>2015</w:t>
      </w:r>
      <w:r>
        <w:rPr>
          <w:rFonts w:eastAsia="仿宋_GB2312" w:hint="eastAsia"/>
          <w:w w:val="99"/>
          <w:szCs w:val="32"/>
        </w:rPr>
        <w:t>年</w:t>
      </w:r>
      <w:r>
        <w:rPr>
          <w:rFonts w:eastAsia="仿宋_GB2312"/>
          <w:w w:val="99"/>
          <w:szCs w:val="32"/>
        </w:rPr>
        <w:t>1</w:t>
      </w:r>
      <w:r w:rsidR="00DF478A">
        <w:rPr>
          <w:rFonts w:eastAsia="仿宋_GB2312" w:hint="eastAsia"/>
          <w:w w:val="99"/>
          <w:szCs w:val="32"/>
        </w:rPr>
        <w:t>2</w:t>
      </w:r>
      <w:r>
        <w:rPr>
          <w:rFonts w:eastAsia="仿宋_GB2312" w:hint="eastAsia"/>
          <w:w w:val="99"/>
          <w:szCs w:val="32"/>
        </w:rPr>
        <w:t>月</w:t>
      </w:r>
      <w:r>
        <w:rPr>
          <w:rFonts w:eastAsia="仿宋_GB2312"/>
          <w:w w:val="99"/>
          <w:szCs w:val="32"/>
        </w:rPr>
        <w:t>2</w:t>
      </w:r>
      <w:r w:rsidR="00DF478A">
        <w:rPr>
          <w:rFonts w:eastAsia="仿宋_GB2312" w:hint="eastAsia"/>
          <w:w w:val="99"/>
          <w:szCs w:val="32"/>
        </w:rPr>
        <w:t>8</w:t>
      </w:r>
      <w:r>
        <w:rPr>
          <w:rFonts w:eastAsia="仿宋_GB2312" w:hint="eastAsia"/>
          <w:w w:val="99"/>
          <w:szCs w:val="32"/>
        </w:rPr>
        <w:t>日，根据原国家工商总局的授权，本局对当事人涉嫌滥用市场支配地位的垄断行为立案调查。</w:t>
      </w:r>
    </w:p>
    <w:p w:rsidR="008F7209" w:rsidRDefault="008F7209" w:rsidP="008B3E00">
      <w:pPr>
        <w:spacing w:line="590" w:lineRule="exact"/>
        <w:ind w:firstLineChars="200" w:firstLine="632"/>
        <w:rPr>
          <w:rFonts w:eastAsia="仿宋_GB2312"/>
          <w:szCs w:val="32"/>
        </w:rPr>
      </w:pPr>
      <w:r>
        <w:rPr>
          <w:rFonts w:eastAsia="仿宋_GB2312" w:hint="eastAsia"/>
          <w:szCs w:val="32"/>
        </w:rPr>
        <w:t>经调查了解，</w:t>
      </w:r>
      <w:r>
        <w:rPr>
          <w:rFonts w:eastAsia="仿宋_GB2312"/>
          <w:w w:val="99"/>
          <w:szCs w:val="32"/>
        </w:rPr>
        <w:t>2008</w:t>
      </w:r>
      <w:r>
        <w:rPr>
          <w:rFonts w:eastAsia="仿宋_GB2312" w:hint="eastAsia"/>
          <w:w w:val="99"/>
          <w:szCs w:val="32"/>
        </w:rPr>
        <w:t>年</w:t>
      </w:r>
      <w:r>
        <w:rPr>
          <w:rFonts w:eastAsia="仿宋_GB2312"/>
          <w:w w:val="99"/>
          <w:szCs w:val="32"/>
        </w:rPr>
        <w:t>11</w:t>
      </w:r>
      <w:r>
        <w:rPr>
          <w:rFonts w:eastAsia="仿宋_GB2312" w:hint="eastAsia"/>
          <w:w w:val="99"/>
          <w:szCs w:val="32"/>
        </w:rPr>
        <w:t>月</w:t>
      </w:r>
      <w:r>
        <w:rPr>
          <w:rFonts w:eastAsia="仿宋_GB2312" w:hint="eastAsia"/>
          <w:szCs w:val="32"/>
        </w:rPr>
        <w:t>以来，当事人在办理燃气工商团体用户开户业务的过程中，与用户签订《管道燃气设施配套建设合同》，在该合同中要求</w:t>
      </w:r>
      <w:r>
        <w:rPr>
          <w:rFonts w:eastAsia="仿宋_GB2312"/>
          <w:szCs w:val="32"/>
        </w:rPr>
        <w:t>“</w:t>
      </w:r>
      <w:r>
        <w:rPr>
          <w:rFonts w:eastAsia="仿宋_GB2312" w:hint="eastAsia"/>
          <w:szCs w:val="32"/>
        </w:rPr>
        <w:t>供用气设施产权分界点是：甲方（注：指用户）的建筑红线，即建筑红线外燃气设施产权属于</w:t>
      </w:r>
      <w:r>
        <w:rPr>
          <w:rFonts w:eastAsia="仿宋_GB2312" w:hint="eastAsia"/>
          <w:szCs w:val="32"/>
        </w:rPr>
        <w:lastRenderedPageBreak/>
        <w:t>乙方（注：指当事人），建筑红线内燃气设施产权属于甲方</w:t>
      </w:r>
      <w:r>
        <w:rPr>
          <w:rFonts w:eastAsia="仿宋_GB2312"/>
          <w:szCs w:val="32"/>
        </w:rPr>
        <w:t>”</w:t>
      </w:r>
      <w:r>
        <w:rPr>
          <w:rFonts w:eastAsia="仿宋_GB2312" w:hint="eastAsia"/>
          <w:szCs w:val="32"/>
        </w:rPr>
        <w:t>、</w:t>
      </w:r>
      <w:r>
        <w:rPr>
          <w:rFonts w:eastAsia="仿宋_GB2312"/>
          <w:szCs w:val="32"/>
        </w:rPr>
        <w:t>“</w:t>
      </w:r>
      <w:r>
        <w:rPr>
          <w:rFonts w:eastAsia="仿宋_GB2312" w:hint="eastAsia"/>
          <w:szCs w:val="32"/>
        </w:rPr>
        <w:t>供气后，产权分界点（含）逆燃气流方向的输、配气设施由乙方负责维护管理；产权分界点顺燃气流方向的燃气设施（不包含用户的燃气设施及器具）在工程验收合格后免费保修</w:t>
      </w:r>
      <w:r>
        <w:rPr>
          <w:rFonts w:eastAsia="仿宋_GB2312"/>
          <w:w w:val="99"/>
          <w:szCs w:val="32"/>
        </w:rPr>
        <w:t>1</w:t>
      </w:r>
      <w:r>
        <w:rPr>
          <w:rFonts w:eastAsia="仿宋_GB2312" w:hint="eastAsia"/>
          <w:szCs w:val="32"/>
        </w:rPr>
        <w:t>年；超保修期后，产权分界点顺燃气流方向的燃气设施由甲方自行维护</w:t>
      </w:r>
      <w:r>
        <w:rPr>
          <w:rFonts w:eastAsia="仿宋_GB2312"/>
          <w:szCs w:val="32"/>
        </w:rPr>
        <w:t>”</w:t>
      </w:r>
      <w:r>
        <w:rPr>
          <w:rFonts w:eastAsia="仿宋_GB2312" w:hint="eastAsia"/>
          <w:szCs w:val="32"/>
        </w:rPr>
        <w:t>，其中</w:t>
      </w:r>
      <w:r>
        <w:rPr>
          <w:rFonts w:eastAsia="仿宋_GB2312"/>
          <w:szCs w:val="32"/>
        </w:rPr>
        <w:t>“</w:t>
      </w:r>
      <w:r>
        <w:rPr>
          <w:rFonts w:eastAsia="仿宋_GB2312" w:hint="eastAsia"/>
          <w:szCs w:val="32"/>
        </w:rPr>
        <w:t>产权分界点（含）逆燃气流方向</w:t>
      </w:r>
      <w:r>
        <w:rPr>
          <w:rFonts w:eastAsia="仿宋_GB2312"/>
          <w:szCs w:val="32"/>
        </w:rPr>
        <w:t>”</w:t>
      </w:r>
      <w:r>
        <w:rPr>
          <w:rFonts w:eastAsia="仿宋_GB2312" w:hint="eastAsia"/>
          <w:szCs w:val="32"/>
        </w:rPr>
        <w:t>是指建筑红线外，</w:t>
      </w:r>
      <w:r>
        <w:rPr>
          <w:rFonts w:eastAsia="仿宋_GB2312"/>
          <w:szCs w:val="32"/>
        </w:rPr>
        <w:t>“</w:t>
      </w:r>
      <w:r>
        <w:rPr>
          <w:rFonts w:eastAsia="仿宋_GB2312" w:hint="eastAsia"/>
          <w:szCs w:val="32"/>
        </w:rPr>
        <w:t>产权分界点顺燃气流方向</w:t>
      </w:r>
      <w:r>
        <w:rPr>
          <w:rFonts w:eastAsia="仿宋_GB2312"/>
          <w:szCs w:val="32"/>
        </w:rPr>
        <w:t>”</w:t>
      </w:r>
      <w:r>
        <w:rPr>
          <w:rFonts w:eastAsia="仿宋_GB2312" w:hint="eastAsia"/>
          <w:szCs w:val="32"/>
        </w:rPr>
        <w:t>是指建筑红线内。根据《江苏省燃气管理条例》第三十二条规定</w:t>
      </w:r>
      <w:r>
        <w:rPr>
          <w:rFonts w:eastAsia="仿宋_GB2312"/>
          <w:szCs w:val="32"/>
        </w:rPr>
        <w:t>“</w:t>
      </w:r>
      <w:r>
        <w:rPr>
          <w:rFonts w:eastAsia="仿宋_GB2312" w:hint="eastAsia"/>
          <w:szCs w:val="32"/>
        </w:rPr>
        <w:t>非居民用户和燃气计量表设置在住宅内的居民用户，其燃气计量表和表前燃气设施由燃气企业负责维护、更新；燃气计量表后燃气设施和燃气器具，由用户负责维护、更新</w:t>
      </w:r>
      <w:r>
        <w:rPr>
          <w:rFonts w:eastAsia="仿宋_GB2312"/>
          <w:szCs w:val="32"/>
        </w:rPr>
        <w:t>”</w:t>
      </w:r>
      <w:r>
        <w:rPr>
          <w:rFonts w:eastAsia="仿宋_GB2312" w:hint="eastAsia"/>
          <w:szCs w:val="32"/>
        </w:rPr>
        <w:t>以及《盐城市城市管道燃气特许经营协议》第</w:t>
      </w:r>
      <w:r>
        <w:rPr>
          <w:rFonts w:eastAsia="仿宋_GB2312"/>
          <w:szCs w:val="32"/>
        </w:rPr>
        <w:t>9.4</w:t>
      </w:r>
      <w:r>
        <w:rPr>
          <w:rFonts w:eastAsia="仿宋_GB2312" w:hint="eastAsia"/>
          <w:szCs w:val="32"/>
        </w:rPr>
        <w:t>条第（</w:t>
      </w:r>
      <w:r>
        <w:rPr>
          <w:rFonts w:eastAsia="仿宋_GB2312"/>
          <w:szCs w:val="32"/>
        </w:rPr>
        <w:t>1</w:t>
      </w:r>
      <w:r>
        <w:rPr>
          <w:rFonts w:eastAsia="仿宋_GB2312" w:hint="eastAsia"/>
          <w:szCs w:val="32"/>
        </w:rPr>
        <w:t>）项约定：</w:t>
      </w:r>
      <w:r>
        <w:rPr>
          <w:rFonts w:eastAsia="仿宋_GB2312"/>
          <w:szCs w:val="32"/>
        </w:rPr>
        <w:t>“</w:t>
      </w:r>
      <w:r>
        <w:rPr>
          <w:rFonts w:eastAsia="仿宋_GB2312" w:hint="eastAsia"/>
          <w:szCs w:val="32"/>
        </w:rPr>
        <w:t>非居民用户和燃气计量表设置在住宅内的居民用户，其燃气计量表和表前燃气设施由乙方（注：指当事人）管理、维护和更新；燃气计量表后燃气设施和燃气器具，由用户管理、维护和更新</w:t>
      </w:r>
      <w:r>
        <w:rPr>
          <w:rFonts w:eastAsia="仿宋_GB2312"/>
          <w:szCs w:val="32"/>
        </w:rPr>
        <w:t>”</w:t>
      </w:r>
      <w:r>
        <w:rPr>
          <w:rFonts w:eastAsia="仿宋_GB2312" w:hint="eastAsia"/>
          <w:szCs w:val="32"/>
        </w:rPr>
        <w:t>的规定，当事人向工商团体用户提供的格式合同《管道燃气设施配套建设合同》的相关内容违反了上述规定。</w:t>
      </w:r>
    </w:p>
    <w:p w:rsidR="008F7209" w:rsidRDefault="008F7209" w:rsidP="008B3E00">
      <w:pPr>
        <w:spacing w:line="590" w:lineRule="exact"/>
        <w:ind w:firstLineChars="200" w:firstLine="632"/>
        <w:rPr>
          <w:rFonts w:eastAsia="仿宋_GB2312"/>
          <w:szCs w:val="32"/>
        </w:rPr>
      </w:pPr>
      <w:r>
        <w:rPr>
          <w:rFonts w:eastAsia="仿宋_GB2312" w:hint="eastAsia"/>
          <w:szCs w:val="32"/>
        </w:rPr>
        <w:t>另经查，</w:t>
      </w:r>
      <w:r>
        <w:rPr>
          <w:rFonts w:eastAsia="仿宋_GB2312"/>
          <w:szCs w:val="32"/>
        </w:rPr>
        <w:t>2012</w:t>
      </w:r>
      <w:r>
        <w:rPr>
          <w:rFonts w:eastAsia="仿宋_GB2312" w:hint="eastAsia"/>
          <w:szCs w:val="32"/>
        </w:rPr>
        <w:t>年至</w:t>
      </w:r>
      <w:r>
        <w:rPr>
          <w:rFonts w:eastAsia="仿宋_GB2312"/>
          <w:szCs w:val="32"/>
        </w:rPr>
        <w:t>2015</w:t>
      </w:r>
      <w:r>
        <w:rPr>
          <w:rFonts w:eastAsia="仿宋_GB2312" w:hint="eastAsia"/>
          <w:szCs w:val="32"/>
        </w:rPr>
        <w:t>年当事人新办工商团体用户分别为：</w:t>
      </w:r>
      <w:r>
        <w:rPr>
          <w:rFonts w:eastAsia="仿宋_GB2312"/>
          <w:szCs w:val="32"/>
        </w:rPr>
        <w:t>2012</w:t>
      </w:r>
      <w:r>
        <w:rPr>
          <w:rFonts w:eastAsia="仿宋_GB2312" w:hint="eastAsia"/>
          <w:szCs w:val="32"/>
        </w:rPr>
        <w:t>年</w:t>
      </w:r>
      <w:r>
        <w:rPr>
          <w:rFonts w:eastAsia="仿宋_GB2312"/>
          <w:szCs w:val="32"/>
        </w:rPr>
        <w:t>183</w:t>
      </w:r>
      <w:r>
        <w:rPr>
          <w:rFonts w:eastAsia="仿宋_GB2312" w:hint="eastAsia"/>
          <w:szCs w:val="32"/>
        </w:rPr>
        <w:t>户、</w:t>
      </w:r>
      <w:r>
        <w:rPr>
          <w:rFonts w:eastAsia="仿宋_GB2312"/>
          <w:szCs w:val="32"/>
        </w:rPr>
        <w:t>2013</w:t>
      </w:r>
      <w:r>
        <w:rPr>
          <w:rFonts w:eastAsia="仿宋_GB2312" w:hint="eastAsia"/>
          <w:szCs w:val="32"/>
        </w:rPr>
        <w:t>年</w:t>
      </w:r>
      <w:r>
        <w:rPr>
          <w:rFonts w:eastAsia="仿宋_GB2312"/>
          <w:szCs w:val="32"/>
        </w:rPr>
        <w:t>147</w:t>
      </w:r>
      <w:r>
        <w:rPr>
          <w:rFonts w:eastAsia="仿宋_GB2312" w:hint="eastAsia"/>
          <w:szCs w:val="32"/>
        </w:rPr>
        <w:t>户、</w:t>
      </w:r>
      <w:r>
        <w:rPr>
          <w:rFonts w:eastAsia="仿宋_GB2312"/>
          <w:szCs w:val="32"/>
        </w:rPr>
        <w:t>2014</w:t>
      </w:r>
      <w:r>
        <w:rPr>
          <w:rFonts w:eastAsia="仿宋_GB2312" w:hint="eastAsia"/>
          <w:szCs w:val="32"/>
        </w:rPr>
        <w:t>年</w:t>
      </w:r>
      <w:r>
        <w:rPr>
          <w:rFonts w:eastAsia="仿宋_GB2312"/>
          <w:szCs w:val="32"/>
        </w:rPr>
        <w:t>94</w:t>
      </w:r>
      <w:r>
        <w:rPr>
          <w:rFonts w:eastAsia="仿宋_GB2312" w:hint="eastAsia"/>
          <w:szCs w:val="32"/>
        </w:rPr>
        <w:t>户、</w:t>
      </w:r>
      <w:r>
        <w:rPr>
          <w:rFonts w:eastAsia="仿宋_GB2312"/>
          <w:szCs w:val="32"/>
        </w:rPr>
        <w:t>2015</w:t>
      </w:r>
      <w:r>
        <w:rPr>
          <w:rFonts w:eastAsia="仿宋_GB2312" w:hint="eastAsia"/>
          <w:szCs w:val="32"/>
        </w:rPr>
        <w:t>年</w:t>
      </w:r>
      <w:r>
        <w:rPr>
          <w:rFonts w:eastAsia="仿宋_GB2312"/>
          <w:szCs w:val="32"/>
        </w:rPr>
        <w:t>166</w:t>
      </w:r>
      <w:r>
        <w:rPr>
          <w:rFonts w:eastAsia="仿宋_GB2312" w:hint="eastAsia"/>
          <w:szCs w:val="32"/>
        </w:rPr>
        <w:t>户。以</w:t>
      </w:r>
      <w:r>
        <w:rPr>
          <w:rFonts w:eastAsia="仿宋_GB2312" w:hint="eastAsia"/>
          <w:color w:val="000000"/>
          <w:szCs w:val="32"/>
        </w:rPr>
        <w:t>上事实，均有相关证据予以证明。</w:t>
      </w:r>
    </w:p>
    <w:p w:rsidR="008F7209" w:rsidRDefault="008F7209" w:rsidP="008B3E00">
      <w:pPr>
        <w:spacing w:line="590" w:lineRule="exact"/>
        <w:ind w:firstLineChars="200" w:firstLine="632"/>
        <w:rPr>
          <w:rFonts w:eastAsia="仿宋_GB2312"/>
          <w:szCs w:val="32"/>
        </w:rPr>
      </w:pPr>
      <w:r>
        <w:rPr>
          <w:rFonts w:eastAsia="仿宋_GB2312" w:hint="eastAsia"/>
          <w:szCs w:val="32"/>
        </w:rPr>
        <w:t>在案件调查过程中，本案当事人承认上述事实，认识到其</w:t>
      </w:r>
      <w:r>
        <w:rPr>
          <w:rFonts w:eastAsia="仿宋_GB2312" w:hint="eastAsia"/>
          <w:szCs w:val="32"/>
        </w:rPr>
        <w:lastRenderedPageBreak/>
        <w:t>行为违反了《江苏省燃气管理条例》和《盐城市城市管道燃气特许经营协议》的相关规定，表示要及时整改，希望本局能够中止调查。</w:t>
      </w:r>
    </w:p>
    <w:p w:rsidR="008F7209" w:rsidRDefault="008F7209" w:rsidP="008B3E00">
      <w:pPr>
        <w:spacing w:line="590" w:lineRule="exact"/>
        <w:ind w:firstLineChars="200" w:firstLine="622"/>
        <w:rPr>
          <w:rFonts w:eastAsia="仿宋_GB2312"/>
          <w:szCs w:val="32"/>
        </w:rPr>
      </w:pPr>
      <w:r>
        <w:rPr>
          <w:rFonts w:eastAsia="仿宋_GB2312"/>
          <w:w w:val="99"/>
          <w:szCs w:val="32"/>
        </w:rPr>
        <w:t>2017</w:t>
      </w:r>
      <w:r>
        <w:rPr>
          <w:rFonts w:eastAsia="仿宋_GB2312" w:hint="eastAsia"/>
          <w:w w:val="99"/>
          <w:szCs w:val="32"/>
        </w:rPr>
        <w:t>年</w:t>
      </w:r>
      <w:r>
        <w:rPr>
          <w:rFonts w:eastAsia="仿宋_GB2312"/>
          <w:w w:val="99"/>
          <w:szCs w:val="32"/>
        </w:rPr>
        <w:t>8</w:t>
      </w:r>
      <w:r>
        <w:rPr>
          <w:rFonts w:eastAsia="仿宋_GB2312" w:hint="eastAsia"/>
          <w:w w:val="99"/>
          <w:szCs w:val="32"/>
        </w:rPr>
        <w:t>月</w:t>
      </w:r>
      <w:r>
        <w:rPr>
          <w:rFonts w:eastAsia="仿宋_GB2312"/>
          <w:w w:val="99"/>
          <w:szCs w:val="32"/>
        </w:rPr>
        <w:t>24</w:t>
      </w:r>
      <w:r>
        <w:rPr>
          <w:rFonts w:eastAsia="仿宋_GB2312" w:hint="eastAsia"/>
          <w:w w:val="99"/>
          <w:szCs w:val="32"/>
        </w:rPr>
        <w:t>日，</w:t>
      </w:r>
      <w:r>
        <w:rPr>
          <w:rFonts w:eastAsia="仿宋_GB2312" w:hint="eastAsia"/>
          <w:szCs w:val="32"/>
        </w:rPr>
        <w:t>当事人按照法律规定，向本局提交了《中止调查申请书》，承诺采取以下整改措施：一、修改合同模版，纠正与《江苏省燃气管理条例》不相符合的条款；二、在营业厅张贴告示，自觉改正不正当行为并接受人民群众的监督；三、进一步与工商团体用户签署《补充协议》，通过补充协议将原先《管道燃气设施配套建设合同》中与《江苏省燃气管理条例》不相符合的条款进行变更；四、在报纸上刊登公告，主动接受社会监督。当事人表示，如果违反承诺，将愿意承担相应法律责任，接受处罚。反垄断执法的目标是制止垄断，保护公平竞争，维护消费者合法权益。本局认为，在案件调查过程中，当事人积极配合调查，对问题认识深刻，其提出并积极予以落实的整改措施能够消除和挽回其行为所造成的影响，达到了反垄断执法的目的。依据《中华人民共和国反垄断法》第四十五条的规定，本局于</w:t>
      </w:r>
      <w:r>
        <w:rPr>
          <w:rFonts w:eastAsia="仿宋_GB2312"/>
          <w:szCs w:val="32"/>
        </w:rPr>
        <w:t>2019</w:t>
      </w:r>
      <w:r>
        <w:rPr>
          <w:rFonts w:eastAsia="仿宋_GB2312" w:hint="eastAsia"/>
          <w:szCs w:val="32"/>
        </w:rPr>
        <w:t>年</w:t>
      </w:r>
      <w:r>
        <w:rPr>
          <w:rFonts w:eastAsia="仿宋_GB2312"/>
          <w:szCs w:val="32"/>
        </w:rPr>
        <w:t>2</w:t>
      </w:r>
      <w:r>
        <w:rPr>
          <w:rFonts w:eastAsia="仿宋_GB2312" w:hint="eastAsia"/>
          <w:szCs w:val="32"/>
        </w:rPr>
        <w:t>月</w:t>
      </w:r>
      <w:r>
        <w:rPr>
          <w:rFonts w:eastAsia="仿宋_GB2312"/>
          <w:szCs w:val="32"/>
        </w:rPr>
        <w:t>20</w:t>
      </w:r>
      <w:r>
        <w:rPr>
          <w:rFonts w:eastAsia="仿宋_GB2312" w:hint="eastAsia"/>
          <w:szCs w:val="32"/>
        </w:rPr>
        <w:t>日对本案作出中止调查决定。</w:t>
      </w:r>
    </w:p>
    <w:p w:rsidR="00460F71" w:rsidRPr="00460F71" w:rsidRDefault="00460F71" w:rsidP="00460F71">
      <w:pPr>
        <w:spacing w:line="590" w:lineRule="exact"/>
        <w:ind w:firstLineChars="200" w:firstLine="632"/>
        <w:rPr>
          <w:rFonts w:ascii="黑体" w:eastAsia="黑体"/>
          <w:szCs w:val="32"/>
        </w:rPr>
      </w:pPr>
      <w:r w:rsidRPr="00460F71">
        <w:rPr>
          <w:rFonts w:ascii="黑体" w:eastAsia="黑体" w:hint="eastAsia"/>
          <w:szCs w:val="32"/>
        </w:rPr>
        <w:t>三、监督承诺履行的情况</w:t>
      </w:r>
    </w:p>
    <w:p w:rsidR="00460F71" w:rsidRDefault="008F7209" w:rsidP="00460F71">
      <w:pPr>
        <w:spacing w:line="590" w:lineRule="exact"/>
        <w:ind w:firstLineChars="200" w:firstLine="632"/>
        <w:rPr>
          <w:rFonts w:eastAsia="仿宋_GB2312"/>
          <w:szCs w:val="32"/>
        </w:rPr>
      </w:pPr>
      <w:r>
        <w:rPr>
          <w:rFonts w:eastAsia="仿宋_GB2312" w:hint="eastAsia"/>
          <w:szCs w:val="32"/>
        </w:rPr>
        <w:t>中止调查期间，本局对当事人履行承诺的情况进行了监督检查。经查，当事人通过修订合同条款，与已签订协议的工商用户签订补充协议，公开发布公告，主动接受用户监督等方式</w:t>
      </w:r>
      <w:r>
        <w:rPr>
          <w:rFonts w:eastAsia="仿宋_GB2312" w:hint="eastAsia"/>
          <w:szCs w:val="32"/>
        </w:rPr>
        <w:lastRenderedPageBreak/>
        <w:t>履行落实了整改措施，同时承担了燃气计量表前（含燃气计量表）的燃气设施的维护、更新责任，未向非居民用户收取相关费用。自</w:t>
      </w:r>
      <w:r>
        <w:rPr>
          <w:rFonts w:eastAsia="仿宋_GB2312"/>
          <w:szCs w:val="32"/>
        </w:rPr>
        <w:t>2019</w:t>
      </w:r>
      <w:r>
        <w:rPr>
          <w:rFonts w:eastAsia="仿宋_GB2312" w:hint="eastAsia"/>
          <w:szCs w:val="32"/>
        </w:rPr>
        <w:t>年</w:t>
      </w:r>
      <w:r>
        <w:rPr>
          <w:rFonts w:eastAsia="仿宋_GB2312"/>
          <w:szCs w:val="32"/>
        </w:rPr>
        <w:t>4</w:t>
      </w:r>
      <w:r>
        <w:rPr>
          <w:rFonts w:eastAsia="仿宋_GB2312" w:hint="eastAsia"/>
          <w:szCs w:val="32"/>
        </w:rPr>
        <w:t>月</w:t>
      </w:r>
      <w:r>
        <w:rPr>
          <w:rFonts w:eastAsia="仿宋_GB2312"/>
          <w:szCs w:val="32"/>
        </w:rPr>
        <w:t>1</w:t>
      </w:r>
      <w:r>
        <w:rPr>
          <w:rFonts w:eastAsia="仿宋_GB2312" w:hint="eastAsia"/>
          <w:szCs w:val="32"/>
        </w:rPr>
        <w:t>日，持续对非居民用户存在计量表具损坏、计量不准确或使用期届满等情况进行维修、更换并上门处理，以保障非居民用户的正常用气，累计支出人民币</w:t>
      </w:r>
      <w:r>
        <w:rPr>
          <w:rFonts w:eastAsia="仿宋_GB2312"/>
          <w:szCs w:val="32"/>
        </w:rPr>
        <w:t>705614</w:t>
      </w:r>
      <w:r>
        <w:rPr>
          <w:rFonts w:eastAsia="仿宋_GB2312" w:hint="eastAsia"/>
          <w:szCs w:val="32"/>
        </w:rPr>
        <w:t>元。当事人于</w:t>
      </w:r>
      <w:r>
        <w:rPr>
          <w:rFonts w:eastAsia="仿宋_GB2312"/>
          <w:szCs w:val="32"/>
        </w:rPr>
        <w:t>2019</w:t>
      </w:r>
      <w:r>
        <w:rPr>
          <w:rFonts w:eastAsia="仿宋_GB2312" w:hint="eastAsia"/>
          <w:szCs w:val="32"/>
        </w:rPr>
        <w:t>年</w:t>
      </w:r>
      <w:r>
        <w:rPr>
          <w:rFonts w:eastAsia="仿宋_GB2312"/>
          <w:szCs w:val="32"/>
        </w:rPr>
        <w:t>3</w:t>
      </w:r>
      <w:r>
        <w:rPr>
          <w:rFonts w:eastAsia="仿宋_GB2312" w:hint="eastAsia"/>
          <w:szCs w:val="32"/>
        </w:rPr>
        <w:t>月</w:t>
      </w:r>
      <w:r>
        <w:rPr>
          <w:rFonts w:eastAsia="仿宋_GB2312"/>
          <w:szCs w:val="32"/>
        </w:rPr>
        <w:t>15</w:t>
      </w:r>
      <w:r>
        <w:rPr>
          <w:rFonts w:eastAsia="仿宋_GB2312" w:hint="eastAsia"/>
          <w:szCs w:val="32"/>
        </w:rPr>
        <w:t>日、</w:t>
      </w:r>
      <w:r>
        <w:rPr>
          <w:rFonts w:eastAsia="仿宋_GB2312"/>
          <w:szCs w:val="32"/>
        </w:rPr>
        <w:t>2020</w:t>
      </w:r>
      <w:r>
        <w:rPr>
          <w:rFonts w:eastAsia="仿宋_GB2312" w:hint="eastAsia"/>
          <w:szCs w:val="32"/>
        </w:rPr>
        <w:t>年</w:t>
      </w:r>
      <w:r>
        <w:rPr>
          <w:rFonts w:eastAsia="仿宋_GB2312"/>
          <w:szCs w:val="32"/>
        </w:rPr>
        <w:t>5</w:t>
      </w:r>
      <w:r>
        <w:rPr>
          <w:rFonts w:eastAsia="仿宋_GB2312" w:hint="eastAsia"/>
          <w:szCs w:val="32"/>
        </w:rPr>
        <w:t>月</w:t>
      </w:r>
      <w:r>
        <w:rPr>
          <w:rFonts w:eastAsia="仿宋_GB2312"/>
          <w:szCs w:val="32"/>
        </w:rPr>
        <w:t>6</w:t>
      </w:r>
      <w:r>
        <w:rPr>
          <w:rFonts w:eastAsia="仿宋_GB2312" w:hint="eastAsia"/>
          <w:szCs w:val="32"/>
        </w:rPr>
        <w:t>日分别向本局提交了持续整改措施落实情况的报告并申请终止调查。</w:t>
      </w:r>
    </w:p>
    <w:p w:rsidR="00460F71" w:rsidRPr="00460F71" w:rsidRDefault="00460F71" w:rsidP="00460F71">
      <w:pPr>
        <w:spacing w:line="590" w:lineRule="exact"/>
        <w:ind w:firstLineChars="200" w:firstLine="632"/>
        <w:rPr>
          <w:rFonts w:ascii="黑体" w:eastAsia="黑体"/>
          <w:szCs w:val="32"/>
        </w:rPr>
      </w:pPr>
      <w:r w:rsidRPr="00460F71">
        <w:rPr>
          <w:rFonts w:ascii="黑体" w:eastAsia="黑体" w:hint="eastAsia"/>
          <w:szCs w:val="32"/>
        </w:rPr>
        <w:t>四、终止调查决定</w:t>
      </w:r>
    </w:p>
    <w:p w:rsidR="008F7209" w:rsidRDefault="008F7209" w:rsidP="00460F71">
      <w:pPr>
        <w:spacing w:line="590" w:lineRule="exact"/>
        <w:ind w:firstLineChars="200" w:firstLine="632"/>
        <w:rPr>
          <w:rFonts w:eastAsia="仿宋_GB2312"/>
          <w:szCs w:val="32"/>
        </w:rPr>
      </w:pPr>
      <w:r>
        <w:rPr>
          <w:rFonts w:eastAsia="仿宋_GB2312" w:hint="eastAsia"/>
          <w:szCs w:val="32"/>
        </w:rPr>
        <w:t>鉴于当事人采取的具体整改措施符合《中止调查申请书》中承诺的整改内容，未出现《反垄断法》第四十五条第三款规定，依照《反垄断法》第四十五条第二款规定，本局</w:t>
      </w:r>
      <w:r w:rsidR="007234FC">
        <w:rPr>
          <w:rFonts w:eastAsia="仿宋_GB2312" w:hint="eastAsia"/>
          <w:szCs w:val="32"/>
        </w:rPr>
        <w:t>决定</w:t>
      </w:r>
      <w:r>
        <w:rPr>
          <w:rFonts w:eastAsia="仿宋_GB2312" w:hint="eastAsia"/>
          <w:szCs w:val="32"/>
        </w:rPr>
        <w:t>对当事人涉嫌违反《反垄断法》的行为终止调查。</w:t>
      </w:r>
    </w:p>
    <w:p w:rsidR="008F7209" w:rsidRDefault="008F7209" w:rsidP="008F7209">
      <w:pPr>
        <w:spacing w:line="590" w:lineRule="exact"/>
        <w:ind w:firstLineChars="200" w:firstLine="632"/>
        <w:rPr>
          <w:rFonts w:eastAsia="仿宋_GB2312"/>
          <w:szCs w:val="32"/>
        </w:rPr>
      </w:pPr>
    </w:p>
    <w:p w:rsidR="008F7209" w:rsidRDefault="008F7209" w:rsidP="008F7209">
      <w:pPr>
        <w:spacing w:line="600" w:lineRule="exact"/>
        <w:rPr>
          <w:rFonts w:eastAsia="仿宋_GB2312"/>
          <w:w w:val="99"/>
          <w:szCs w:val="32"/>
        </w:rPr>
      </w:pPr>
      <w:bookmarkStart w:id="0" w:name="_GoBack"/>
      <w:bookmarkEnd w:id="0"/>
    </w:p>
    <w:p w:rsidR="008F7209" w:rsidRDefault="008F7209" w:rsidP="008F7209">
      <w:pPr>
        <w:spacing w:line="600" w:lineRule="exact"/>
        <w:rPr>
          <w:rFonts w:eastAsia="仿宋_GB2312"/>
          <w:w w:val="99"/>
          <w:szCs w:val="32"/>
        </w:rPr>
      </w:pPr>
    </w:p>
    <w:p w:rsidR="008F7209" w:rsidRDefault="008F7209" w:rsidP="008F7209">
      <w:pPr>
        <w:spacing w:line="600" w:lineRule="exact"/>
        <w:ind w:firstLineChars="200" w:firstLine="622"/>
        <w:jc w:val="center"/>
        <w:rPr>
          <w:rFonts w:eastAsia="仿宋_GB2312"/>
          <w:w w:val="99"/>
          <w:szCs w:val="32"/>
        </w:rPr>
      </w:pPr>
      <w:r>
        <w:rPr>
          <w:rFonts w:eastAsia="仿宋_GB2312"/>
          <w:w w:val="99"/>
          <w:szCs w:val="32"/>
        </w:rPr>
        <w:t xml:space="preserve">                    </w:t>
      </w:r>
      <w:r>
        <w:rPr>
          <w:rFonts w:eastAsia="仿宋_GB2312" w:hint="eastAsia"/>
          <w:w w:val="99"/>
          <w:szCs w:val="32"/>
        </w:rPr>
        <w:t>江苏省市场监督管理局</w:t>
      </w:r>
    </w:p>
    <w:p w:rsidR="008F7209" w:rsidRDefault="008F7209" w:rsidP="008F7209">
      <w:pPr>
        <w:spacing w:line="600" w:lineRule="exact"/>
        <w:ind w:firstLineChars="200" w:firstLine="622"/>
        <w:jc w:val="center"/>
        <w:rPr>
          <w:rFonts w:eastAsia="仿宋_GB2312"/>
          <w:w w:val="99"/>
          <w:szCs w:val="32"/>
        </w:rPr>
      </w:pPr>
      <w:r>
        <w:rPr>
          <w:rFonts w:eastAsia="仿宋_GB2312"/>
          <w:w w:val="99"/>
          <w:szCs w:val="32"/>
        </w:rPr>
        <w:t xml:space="preserve">                    </w:t>
      </w:r>
      <w:r w:rsidRPr="008B3E00">
        <w:rPr>
          <w:rFonts w:eastAsia="仿宋_GB2312"/>
          <w:w w:val="99"/>
          <w:szCs w:val="32"/>
        </w:rPr>
        <w:t xml:space="preserve"> 2019</w:t>
      </w:r>
      <w:r w:rsidRPr="008B3E00">
        <w:rPr>
          <w:rFonts w:eastAsia="仿宋_GB2312"/>
          <w:w w:val="99"/>
          <w:szCs w:val="32"/>
        </w:rPr>
        <w:t>年</w:t>
      </w:r>
      <w:r w:rsidR="008B3E00" w:rsidRPr="008B3E00">
        <w:rPr>
          <w:rFonts w:eastAsia="仿宋_GB2312"/>
          <w:w w:val="99"/>
          <w:szCs w:val="32"/>
        </w:rPr>
        <w:t>7</w:t>
      </w:r>
      <w:r w:rsidRPr="008B3E00">
        <w:rPr>
          <w:rFonts w:eastAsia="仿宋_GB2312"/>
          <w:w w:val="99"/>
          <w:szCs w:val="32"/>
        </w:rPr>
        <w:t>月</w:t>
      </w:r>
      <w:r w:rsidR="00584F3F">
        <w:rPr>
          <w:rFonts w:eastAsia="仿宋_GB2312" w:hint="eastAsia"/>
          <w:w w:val="99"/>
          <w:szCs w:val="32"/>
        </w:rPr>
        <w:t>8</w:t>
      </w:r>
      <w:r w:rsidRPr="008B3E00">
        <w:rPr>
          <w:rFonts w:eastAsia="仿宋_GB2312"/>
          <w:w w:val="99"/>
          <w:szCs w:val="32"/>
        </w:rPr>
        <w:t>日</w:t>
      </w:r>
    </w:p>
    <w:p w:rsidR="003E0F4E" w:rsidRPr="00D00B06" w:rsidRDefault="003E0F4E" w:rsidP="00D00B06">
      <w:pPr>
        <w:spacing w:line="500" w:lineRule="exact"/>
        <w:ind w:firstLine="0"/>
        <w:rPr>
          <w:rFonts w:eastAsia="仿宋_GB2312" w:cs="仿宋"/>
          <w:color w:val="000000"/>
          <w:szCs w:val="32"/>
        </w:rPr>
      </w:pPr>
    </w:p>
    <w:sectPr w:rsidR="003E0F4E" w:rsidRPr="00D00B06" w:rsidSect="003220C6">
      <w:headerReference w:type="even" r:id="rId6"/>
      <w:headerReference w:type="default" r:id="rId7"/>
      <w:footerReference w:type="even" r:id="rId8"/>
      <w:footerReference w:type="default" r:id="rId9"/>
      <w:pgSz w:w="11906" w:h="16838" w:code="9"/>
      <w:pgMar w:top="2098" w:right="1474" w:bottom="1985" w:left="1588" w:header="851" w:footer="1418" w:gutter="0"/>
      <w:paperSrc w:first="15" w:other="15"/>
      <w:pgNumType w:start="1"/>
      <w:cols w:space="720"/>
      <w:docGrid w:type="linesAndChars" w:linePitch="579" w:charSpace="-8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4687" w:rsidRDefault="00D64687">
      <w:r>
        <w:separator/>
      </w:r>
    </w:p>
  </w:endnote>
  <w:endnote w:type="continuationSeparator" w:id="0">
    <w:p w:rsidR="00D64687" w:rsidRDefault="00D646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Microsoft YaHei UI"/>
    <w:charset w:val="86"/>
    <w:family w:val="script"/>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charset w:val="86"/>
    <w:family w:val="auto"/>
    <w:pitch w:val="variable"/>
    <w:sig w:usb0="00000001" w:usb1="080E0000" w:usb2="00000010" w:usb3="00000000" w:csb0="00040000" w:csb1="00000000"/>
  </w:font>
  <w:font w:name="方正黑体_GBK">
    <w:charset w:val="86"/>
    <w:family w:val="auto"/>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5376" w:rsidRDefault="00C65376" w:rsidP="00C65376">
    <w:pPr>
      <w:pStyle w:val="a4"/>
      <w:ind w:leftChars="50" w:left="160" w:rightChars="50" w:right="160"/>
      <w:jc w:val="both"/>
    </w:pPr>
    <w:r>
      <w:rPr>
        <w:rFonts w:hint="eastAsia"/>
      </w:rPr>
      <w:t>—</w:t>
    </w:r>
    <w:r>
      <w:t xml:space="preserve"> </w:t>
    </w:r>
    <w:r w:rsidR="005A16B4">
      <w:rPr>
        <w:rStyle w:val="a5"/>
      </w:rPr>
      <w:fldChar w:fldCharType="begin"/>
    </w:r>
    <w:r>
      <w:rPr>
        <w:rStyle w:val="a5"/>
      </w:rPr>
      <w:instrText xml:space="preserve"> PAGE </w:instrText>
    </w:r>
    <w:r w:rsidR="005A16B4">
      <w:rPr>
        <w:rStyle w:val="a5"/>
      </w:rPr>
      <w:fldChar w:fldCharType="separate"/>
    </w:r>
    <w:r w:rsidR="009A7610">
      <w:rPr>
        <w:rStyle w:val="a5"/>
        <w:noProof/>
      </w:rPr>
      <w:t>4</w:t>
    </w:r>
    <w:r w:rsidR="005A16B4">
      <w:rPr>
        <w:rStyle w:val="a5"/>
      </w:rPr>
      <w:fldChar w:fldCharType="end"/>
    </w:r>
    <w:r>
      <w:rPr>
        <w:rStyle w:val="a5"/>
      </w:rPr>
      <w:t xml:space="preserve"> </w:t>
    </w:r>
    <w:r>
      <w:rPr>
        <w:rFonts w:hint="eastAsia"/>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01B9" w:rsidRDefault="004B01B9" w:rsidP="00C65376">
    <w:pPr>
      <w:pStyle w:val="a4"/>
      <w:ind w:leftChars="50" w:left="160" w:rightChars="50" w:right="160"/>
      <w:jc w:val="right"/>
    </w:pPr>
    <w:r>
      <w:rPr>
        <w:rFonts w:hint="eastAsia"/>
      </w:rPr>
      <w:t>—</w:t>
    </w:r>
    <w:r>
      <w:rPr>
        <w:rFonts w:hint="eastAsia"/>
      </w:rPr>
      <w:t xml:space="preserve"> </w:t>
    </w:r>
    <w:r w:rsidR="005A16B4">
      <w:rPr>
        <w:rStyle w:val="a5"/>
      </w:rPr>
      <w:fldChar w:fldCharType="begin"/>
    </w:r>
    <w:r>
      <w:rPr>
        <w:rStyle w:val="a5"/>
      </w:rPr>
      <w:instrText xml:space="preserve"> PAGE </w:instrText>
    </w:r>
    <w:r w:rsidR="005A16B4">
      <w:rPr>
        <w:rStyle w:val="a5"/>
      </w:rPr>
      <w:fldChar w:fldCharType="separate"/>
    </w:r>
    <w:r w:rsidR="009A7610">
      <w:rPr>
        <w:rStyle w:val="a5"/>
        <w:noProof/>
      </w:rPr>
      <w:t>1</w:t>
    </w:r>
    <w:r w:rsidR="005A16B4">
      <w:rPr>
        <w:rStyle w:val="a5"/>
      </w:rPr>
      <w:fldChar w:fldCharType="end"/>
    </w:r>
    <w:r>
      <w:rPr>
        <w:rStyle w:val="a5"/>
        <w:rFonts w:hint="eastAsia"/>
      </w:rPr>
      <w:t xml:space="preserve"> </w:t>
    </w:r>
    <w:r>
      <w:rPr>
        <w:rFonts w:hint="eastAsia"/>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4687" w:rsidRDefault="00D64687">
      <w:r>
        <w:separator/>
      </w:r>
    </w:p>
  </w:footnote>
  <w:footnote w:type="continuationSeparator" w:id="0">
    <w:p w:rsidR="00D64687" w:rsidRDefault="00D6468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5376" w:rsidRDefault="00C65376" w:rsidP="00C65376">
    <w:pPr>
      <w:pStyle w:val="a3"/>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5376" w:rsidRDefault="00C65376" w:rsidP="00C65376">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evenAndOddHeaders/>
  <w:drawingGridHorizontalSpacing w:val="158"/>
  <w:drawingGridVerticalSpacing w:val="579"/>
  <w:displayHorizontalDrawingGridEvery w:val="0"/>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C65376"/>
    <w:rsid w:val="0004081C"/>
    <w:rsid w:val="00046DE2"/>
    <w:rsid w:val="00064BB2"/>
    <w:rsid w:val="00082E60"/>
    <w:rsid w:val="000D0473"/>
    <w:rsid w:val="000D4089"/>
    <w:rsid w:val="000E0975"/>
    <w:rsid w:val="0010238B"/>
    <w:rsid w:val="00115A54"/>
    <w:rsid w:val="00115DAF"/>
    <w:rsid w:val="00170EB2"/>
    <w:rsid w:val="001A1466"/>
    <w:rsid w:val="001A7FA0"/>
    <w:rsid w:val="0020386D"/>
    <w:rsid w:val="0021120B"/>
    <w:rsid w:val="00220E25"/>
    <w:rsid w:val="00227E79"/>
    <w:rsid w:val="00236196"/>
    <w:rsid w:val="00251C7A"/>
    <w:rsid w:val="00273E6E"/>
    <w:rsid w:val="00274FBB"/>
    <w:rsid w:val="00296D44"/>
    <w:rsid w:val="002C3F03"/>
    <w:rsid w:val="002E6386"/>
    <w:rsid w:val="002F7ACE"/>
    <w:rsid w:val="003112C8"/>
    <w:rsid w:val="00313185"/>
    <w:rsid w:val="00316745"/>
    <w:rsid w:val="003220C6"/>
    <w:rsid w:val="0033343E"/>
    <w:rsid w:val="003339AA"/>
    <w:rsid w:val="00336942"/>
    <w:rsid w:val="003370E6"/>
    <w:rsid w:val="00346128"/>
    <w:rsid w:val="003719F3"/>
    <w:rsid w:val="00383964"/>
    <w:rsid w:val="00384C26"/>
    <w:rsid w:val="003A3D6C"/>
    <w:rsid w:val="003C0009"/>
    <w:rsid w:val="003E0F4E"/>
    <w:rsid w:val="003E7A97"/>
    <w:rsid w:val="00403096"/>
    <w:rsid w:val="00403559"/>
    <w:rsid w:val="004171A5"/>
    <w:rsid w:val="00422546"/>
    <w:rsid w:val="0042667B"/>
    <w:rsid w:val="004274B4"/>
    <w:rsid w:val="00431F4A"/>
    <w:rsid w:val="00451FB5"/>
    <w:rsid w:val="00453582"/>
    <w:rsid w:val="004571C2"/>
    <w:rsid w:val="00460F71"/>
    <w:rsid w:val="00471002"/>
    <w:rsid w:val="00482524"/>
    <w:rsid w:val="0048534E"/>
    <w:rsid w:val="0048576B"/>
    <w:rsid w:val="004879F0"/>
    <w:rsid w:val="00493722"/>
    <w:rsid w:val="004A06AA"/>
    <w:rsid w:val="004B01B9"/>
    <w:rsid w:val="004C6A22"/>
    <w:rsid w:val="004F1E08"/>
    <w:rsid w:val="004F2CFB"/>
    <w:rsid w:val="004F52C4"/>
    <w:rsid w:val="00500A41"/>
    <w:rsid w:val="005037B4"/>
    <w:rsid w:val="005319C1"/>
    <w:rsid w:val="00575A88"/>
    <w:rsid w:val="00580109"/>
    <w:rsid w:val="00584F3F"/>
    <w:rsid w:val="00594461"/>
    <w:rsid w:val="00597440"/>
    <w:rsid w:val="005A12BA"/>
    <w:rsid w:val="005A16B4"/>
    <w:rsid w:val="005B480F"/>
    <w:rsid w:val="005B575C"/>
    <w:rsid w:val="005E6A7C"/>
    <w:rsid w:val="005F4829"/>
    <w:rsid w:val="005F6737"/>
    <w:rsid w:val="006349CF"/>
    <w:rsid w:val="00675529"/>
    <w:rsid w:val="00684F9B"/>
    <w:rsid w:val="006D2A58"/>
    <w:rsid w:val="006E6D04"/>
    <w:rsid w:val="006F74E1"/>
    <w:rsid w:val="007234FC"/>
    <w:rsid w:val="00743287"/>
    <w:rsid w:val="00743CA5"/>
    <w:rsid w:val="00762157"/>
    <w:rsid w:val="007630BF"/>
    <w:rsid w:val="0076701F"/>
    <w:rsid w:val="00782FD8"/>
    <w:rsid w:val="007C74D7"/>
    <w:rsid w:val="007D5B52"/>
    <w:rsid w:val="007E0C3B"/>
    <w:rsid w:val="007F751D"/>
    <w:rsid w:val="008050FD"/>
    <w:rsid w:val="008315FF"/>
    <w:rsid w:val="00846CE2"/>
    <w:rsid w:val="00854126"/>
    <w:rsid w:val="00854FCB"/>
    <w:rsid w:val="00882549"/>
    <w:rsid w:val="008828AD"/>
    <w:rsid w:val="008831E4"/>
    <w:rsid w:val="008842E4"/>
    <w:rsid w:val="00886BE5"/>
    <w:rsid w:val="00893CD1"/>
    <w:rsid w:val="00897FBF"/>
    <w:rsid w:val="008A1E6B"/>
    <w:rsid w:val="008B1FF6"/>
    <w:rsid w:val="008B3E00"/>
    <w:rsid w:val="008B4C0A"/>
    <w:rsid w:val="008C3F03"/>
    <w:rsid w:val="008D0C9C"/>
    <w:rsid w:val="008D47F8"/>
    <w:rsid w:val="008D7027"/>
    <w:rsid w:val="008E0C70"/>
    <w:rsid w:val="008E5D2D"/>
    <w:rsid w:val="008F7209"/>
    <w:rsid w:val="00932EC2"/>
    <w:rsid w:val="009A1198"/>
    <w:rsid w:val="009A2EF5"/>
    <w:rsid w:val="009A3AB3"/>
    <w:rsid w:val="009A7610"/>
    <w:rsid w:val="009E1F9E"/>
    <w:rsid w:val="009F297B"/>
    <w:rsid w:val="00A15E90"/>
    <w:rsid w:val="00A66A47"/>
    <w:rsid w:val="00A80669"/>
    <w:rsid w:val="00AA6BC9"/>
    <w:rsid w:val="00AB4CFD"/>
    <w:rsid w:val="00AB616B"/>
    <w:rsid w:val="00AE5F03"/>
    <w:rsid w:val="00B021E0"/>
    <w:rsid w:val="00B13B0B"/>
    <w:rsid w:val="00B43973"/>
    <w:rsid w:val="00B44254"/>
    <w:rsid w:val="00B53256"/>
    <w:rsid w:val="00B57F49"/>
    <w:rsid w:val="00B811B3"/>
    <w:rsid w:val="00B85567"/>
    <w:rsid w:val="00BB0576"/>
    <w:rsid w:val="00BB2D74"/>
    <w:rsid w:val="00BC0350"/>
    <w:rsid w:val="00BC3D0F"/>
    <w:rsid w:val="00BD2B19"/>
    <w:rsid w:val="00BF613E"/>
    <w:rsid w:val="00C02AD1"/>
    <w:rsid w:val="00C17746"/>
    <w:rsid w:val="00C45877"/>
    <w:rsid w:val="00C513C9"/>
    <w:rsid w:val="00C5235C"/>
    <w:rsid w:val="00C57A2A"/>
    <w:rsid w:val="00C64A69"/>
    <w:rsid w:val="00C65376"/>
    <w:rsid w:val="00C65989"/>
    <w:rsid w:val="00C65E3A"/>
    <w:rsid w:val="00C869D5"/>
    <w:rsid w:val="00C86C6A"/>
    <w:rsid w:val="00C9426A"/>
    <w:rsid w:val="00C967DD"/>
    <w:rsid w:val="00CC366E"/>
    <w:rsid w:val="00D00B06"/>
    <w:rsid w:val="00D05710"/>
    <w:rsid w:val="00D143D2"/>
    <w:rsid w:val="00D14C05"/>
    <w:rsid w:val="00D200ED"/>
    <w:rsid w:val="00D314D8"/>
    <w:rsid w:val="00D34DF5"/>
    <w:rsid w:val="00D47113"/>
    <w:rsid w:val="00D507C8"/>
    <w:rsid w:val="00D6094B"/>
    <w:rsid w:val="00D64687"/>
    <w:rsid w:val="00D7740F"/>
    <w:rsid w:val="00D91299"/>
    <w:rsid w:val="00DB3775"/>
    <w:rsid w:val="00DB5C60"/>
    <w:rsid w:val="00DE0EEE"/>
    <w:rsid w:val="00DF478A"/>
    <w:rsid w:val="00E23DFF"/>
    <w:rsid w:val="00E248BA"/>
    <w:rsid w:val="00E5165F"/>
    <w:rsid w:val="00E54EDA"/>
    <w:rsid w:val="00E575EB"/>
    <w:rsid w:val="00E70B18"/>
    <w:rsid w:val="00E76909"/>
    <w:rsid w:val="00E875FF"/>
    <w:rsid w:val="00E96B36"/>
    <w:rsid w:val="00ED2DF8"/>
    <w:rsid w:val="00EE0D11"/>
    <w:rsid w:val="00EE3FE6"/>
    <w:rsid w:val="00F01951"/>
    <w:rsid w:val="00F11887"/>
    <w:rsid w:val="00F135DC"/>
    <w:rsid w:val="00F1566A"/>
    <w:rsid w:val="00F552A4"/>
    <w:rsid w:val="00F91EA6"/>
    <w:rsid w:val="00FF1E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144CEB"/>
  <w15:docId w15:val="{ADD07735-3BE8-435C-9F2C-B42320A68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20C6"/>
    <w:pPr>
      <w:widowControl w:val="0"/>
      <w:autoSpaceDE w:val="0"/>
      <w:autoSpaceDN w:val="0"/>
      <w:snapToGrid w:val="0"/>
      <w:spacing w:line="590" w:lineRule="atLeast"/>
      <w:ind w:firstLine="624"/>
      <w:jc w:val="both"/>
    </w:pPr>
    <w:rPr>
      <w:rFonts w:eastAsia="方正仿宋_GBK"/>
      <w:snapToGrid w:val="0"/>
      <w:sz w:val="32"/>
    </w:rPr>
  </w:style>
  <w:style w:type="paragraph" w:styleId="1">
    <w:name w:val="heading 1"/>
    <w:basedOn w:val="a"/>
    <w:next w:val="a"/>
    <w:qFormat/>
    <w:rsid w:val="00482524"/>
    <w:pPr>
      <w:keepNext/>
      <w:keepLines/>
      <w:spacing w:before="340" w:after="330" w:line="578" w:lineRule="atLeast"/>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82524"/>
    <w:pPr>
      <w:pBdr>
        <w:bottom w:val="single" w:sz="6" w:space="1" w:color="auto"/>
      </w:pBdr>
      <w:tabs>
        <w:tab w:val="center" w:pos="4153"/>
        <w:tab w:val="right" w:pos="8306"/>
      </w:tabs>
      <w:spacing w:line="240" w:lineRule="atLeast"/>
      <w:jc w:val="center"/>
    </w:pPr>
    <w:rPr>
      <w:sz w:val="18"/>
    </w:rPr>
  </w:style>
  <w:style w:type="paragraph" w:customStyle="1" w:styleId="10">
    <w:name w:val="标题1"/>
    <w:basedOn w:val="a"/>
    <w:next w:val="a"/>
    <w:rsid w:val="00482524"/>
    <w:pPr>
      <w:tabs>
        <w:tab w:val="left" w:pos="9193"/>
        <w:tab w:val="left" w:pos="9827"/>
      </w:tabs>
      <w:spacing w:line="700" w:lineRule="atLeast"/>
      <w:ind w:firstLine="0"/>
      <w:jc w:val="center"/>
    </w:pPr>
    <w:rPr>
      <w:rFonts w:eastAsia="方正小标宋_GBK"/>
      <w:sz w:val="44"/>
    </w:rPr>
  </w:style>
  <w:style w:type="paragraph" w:styleId="a4">
    <w:name w:val="footer"/>
    <w:basedOn w:val="a"/>
    <w:rsid w:val="00482524"/>
    <w:pPr>
      <w:tabs>
        <w:tab w:val="center" w:pos="4153"/>
        <w:tab w:val="right" w:pos="8306"/>
      </w:tabs>
      <w:spacing w:line="400" w:lineRule="atLeast"/>
      <w:ind w:firstLine="0"/>
      <w:jc w:val="center"/>
    </w:pPr>
    <w:rPr>
      <w:sz w:val="28"/>
    </w:rPr>
  </w:style>
  <w:style w:type="character" w:styleId="a5">
    <w:name w:val="page number"/>
    <w:basedOn w:val="a0"/>
    <w:rsid w:val="00482524"/>
  </w:style>
  <w:style w:type="paragraph" w:styleId="a6">
    <w:name w:val="Normal Indent"/>
    <w:basedOn w:val="a"/>
    <w:next w:val="a"/>
    <w:rsid w:val="00482524"/>
    <w:pPr>
      <w:adjustRightInd w:val="0"/>
      <w:snapToGrid/>
      <w:ind w:firstLine="0"/>
      <w:jc w:val="left"/>
    </w:pPr>
    <w:rPr>
      <w:spacing w:val="-25"/>
    </w:rPr>
  </w:style>
  <w:style w:type="paragraph" w:customStyle="1" w:styleId="2">
    <w:name w:val="标题2"/>
    <w:basedOn w:val="a"/>
    <w:next w:val="a"/>
    <w:rsid w:val="00482524"/>
    <w:pPr>
      <w:ind w:firstLine="0"/>
      <w:jc w:val="center"/>
    </w:pPr>
    <w:rPr>
      <w:rFonts w:eastAsia="方正楷体_GBK"/>
    </w:rPr>
  </w:style>
  <w:style w:type="paragraph" w:customStyle="1" w:styleId="3">
    <w:name w:val="标题3"/>
    <w:basedOn w:val="a"/>
    <w:next w:val="a"/>
    <w:rsid w:val="00482524"/>
    <w:rPr>
      <w:rFonts w:eastAsia="方正黑体_GBK"/>
    </w:rPr>
  </w:style>
  <w:style w:type="paragraph" w:styleId="a7">
    <w:name w:val="Balloon Text"/>
    <w:basedOn w:val="a"/>
    <w:link w:val="a8"/>
    <w:rsid w:val="00236196"/>
    <w:pPr>
      <w:spacing w:line="240" w:lineRule="auto"/>
    </w:pPr>
    <w:rPr>
      <w:sz w:val="18"/>
      <w:szCs w:val="18"/>
    </w:rPr>
  </w:style>
  <w:style w:type="character" w:customStyle="1" w:styleId="a8">
    <w:name w:val="批注框文本 字符"/>
    <w:basedOn w:val="a0"/>
    <w:link w:val="a7"/>
    <w:rsid w:val="00236196"/>
    <w:rPr>
      <w:rFonts w:eastAsia="方正仿宋_GBK"/>
      <w:snapToGrid w:val="0"/>
      <w:sz w:val="18"/>
      <w:szCs w:val="18"/>
    </w:rPr>
  </w:style>
  <w:style w:type="paragraph" w:customStyle="1" w:styleId="a9">
    <w:name w:val="公文正文"/>
    <w:basedOn w:val="a"/>
    <w:link w:val="Char"/>
    <w:qFormat/>
    <w:rsid w:val="00932EC2"/>
    <w:pPr>
      <w:autoSpaceDE/>
      <w:autoSpaceDN/>
      <w:snapToGrid/>
      <w:spacing w:line="570" w:lineRule="exact"/>
      <w:ind w:firstLineChars="200" w:firstLine="200"/>
    </w:pPr>
    <w:rPr>
      <w:rFonts w:ascii="方正仿宋_GBK" w:hAnsi="方正仿宋_GBK"/>
      <w:bCs/>
      <w:snapToGrid/>
      <w:kern w:val="28"/>
      <w:szCs w:val="32"/>
    </w:rPr>
  </w:style>
  <w:style w:type="character" w:customStyle="1" w:styleId="Char">
    <w:name w:val="公文正文 Char"/>
    <w:link w:val="a9"/>
    <w:rsid w:val="00932EC2"/>
    <w:rPr>
      <w:rFonts w:ascii="方正仿宋_GBK" w:eastAsia="方正仿宋_GBK" w:hAnsi="方正仿宋_GBK"/>
      <w:bCs/>
      <w:kern w:val="28"/>
      <w:sz w:val="32"/>
      <w:szCs w:val="32"/>
    </w:rPr>
  </w:style>
  <w:style w:type="paragraph" w:styleId="aa">
    <w:name w:val="annotation text"/>
    <w:basedOn w:val="a"/>
    <w:link w:val="ab"/>
    <w:unhideWhenUsed/>
    <w:rsid w:val="008F7209"/>
    <w:pPr>
      <w:autoSpaceDE/>
      <w:autoSpaceDN/>
      <w:snapToGrid/>
      <w:spacing w:line="240" w:lineRule="auto"/>
      <w:ind w:firstLine="0"/>
      <w:jc w:val="left"/>
    </w:pPr>
    <w:rPr>
      <w:rFonts w:ascii="Calibri" w:eastAsia="宋体" w:hAnsi="Calibri"/>
      <w:snapToGrid/>
      <w:kern w:val="2"/>
      <w:sz w:val="21"/>
      <w:szCs w:val="22"/>
    </w:rPr>
  </w:style>
  <w:style w:type="character" w:customStyle="1" w:styleId="ab">
    <w:name w:val="批注文字 字符"/>
    <w:basedOn w:val="a0"/>
    <w:link w:val="aa"/>
    <w:rsid w:val="008F7209"/>
    <w:rPr>
      <w:rFonts w:ascii="Calibri" w:hAnsi="Calibri"/>
      <w:kern w:val="2"/>
      <w:sz w:val="21"/>
      <w:szCs w:val="22"/>
    </w:rPr>
  </w:style>
  <w:style w:type="character" w:styleId="ac">
    <w:name w:val="annotation reference"/>
    <w:basedOn w:val="a0"/>
    <w:uiPriority w:val="99"/>
    <w:unhideWhenUsed/>
    <w:rsid w:val="008F7209"/>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006003">
      <w:bodyDiv w:val="1"/>
      <w:marLeft w:val="0"/>
      <w:marRight w:val="0"/>
      <w:marTop w:val="0"/>
      <w:marBottom w:val="0"/>
      <w:divBdr>
        <w:top w:val="none" w:sz="0" w:space="0" w:color="auto"/>
        <w:left w:val="none" w:sz="0" w:space="0" w:color="auto"/>
        <w:bottom w:val="none" w:sz="0" w:space="0" w:color="auto"/>
        <w:right w:val="none" w:sz="0" w:space="0" w:color="auto"/>
      </w:divBdr>
    </w:div>
    <w:div w:id="1724021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400</TotalTime>
  <Pages>1</Pages>
  <Words>287</Words>
  <Characters>1638</Characters>
  <Application>Microsoft Office Word</Application>
  <DocSecurity>0</DocSecurity>
  <Lines>13</Lines>
  <Paragraphs>3</Paragraphs>
  <ScaleCrop>false</ScaleCrop>
  <Company>wyk</Company>
  <LinksUpToDate>false</LinksUpToDate>
  <CharactersWithSpaces>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公文通报模板</dc:title>
  <dc:creator>孙健</dc:creator>
  <cp:lastModifiedBy>USER-</cp:lastModifiedBy>
  <cp:revision>90</cp:revision>
  <cp:lastPrinted>2020-07-08T07:11:00Z</cp:lastPrinted>
  <dcterms:created xsi:type="dcterms:W3CDTF">2020-04-19T07:15:00Z</dcterms:created>
  <dcterms:modified xsi:type="dcterms:W3CDTF">2020-07-24T08:29:00Z</dcterms:modified>
</cp:coreProperties>
</file>