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top"/>
        <w:rPr>
          <w:rFonts w:hint="eastAsia" w:ascii="CESI黑体-GB2312" w:hAnsi="CESI黑体-GB2312" w:eastAsia="CESI黑体-GB2312" w:cs="CESI黑体-GB2312"/>
          <w:color w:val="000000"/>
          <w:sz w:val="32"/>
          <w:szCs w:val="32"/>
          <w:lang w:bidi="ar"/>
        </w:rPr>
      </w:pPr>
      <w:r>
        <w:rPr>
          <w:rFonts w:hint="eastAsia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top"/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</w:rPr>
        <w:t>方大添加剂（阳泉）有限公司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outlineLvl w:val="0"/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  <w:t>一、</w:t>
      </w: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eastAsia="zh-CN" w:bidi="ar"/>
        </w:rPr>
        <w:t>存在</w:t>
      </w: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  <w:t>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企业包装间新设立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更衣室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洗手、干手、风淋等设备设施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未向当地行政审批部门申报。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（二）</w:t>
      </w: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eastAsia="zh-CN" w:bidi="ar"/>
        </w:rPr>
        <w:t>生产过程控制</w:t>
      </w: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个别桶装物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无标识标签信息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；部分原辅料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放置于成品库房内。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outlineLvl w:val="0"/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依据《食品生产经营监督检查管理办法》（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国家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bidi="ar"/>
        </w:rPr>
        <w:t>市场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eastAsia="zh-CN" w:bidi="ar"/>
        </w:rPr>
        <w:t>监督管理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总局令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第49号），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要求企业限期整改。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阳泉市市场监管部门依法处理，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已确认检查发现问题整改完成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5CBA6BFF"/>
    <w:rsid w:val="5CBA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2024-02-01T09:27:00Z</dcterms:created>
  <dc:creator>（＾Ｏ＾☆♪晶晶 </dc:creator>
  <cp:lastModifiedBy>（＾Ｏ＾☆♪晶晶 </cp:lastModifiedBy>
  <dcterms:modified xsi:type="dcterms:W3CDTF">2024-02-01T09:27:54Z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F979413C2EF4480BA1C1A11D3FE61D38_11</vt:lpwstr>
  </property>
</Properties>
</file>