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ascii="黑体" w:hAnsi="黑体" w:eastAsia="黑体" w:cs="黑体"/>
          <w:sz w:val="32"/>
          <w:szCs w:val="32"/>
        </w:rPr>
      </w:pPr>
      <w:bookmarkStart w:id="0" w:name="BiaoTiΩ1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ascii="方正小标宋_GBK" w:eastAsia="方正小标宋_GBK"/>
          <w:sz w:val="40"/>
          <w:szCs w:val="4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检查企业（单位）名单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ascii="方正小标宋_GBK" w:eastAsia="方正小标宋_GBK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药品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批发企业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  <w:t>符合要求的批发</w:t>
      </w: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bidi="ar"/>
        </w:rPr>
        <w:t>企业</w:t>
      </w: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eastAsia="zh-CN" w:bidi="ar"/>
        </w:rPr>
        <w:t>（</w:t>
      </w: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  <w:t>25家</w:t>
      </w: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eastAsia="zh-CN" w:bidi="ar"/>
        </w:rPr>
        <w:t>）：</w:t>
      </w:r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山东三正医药有限公司、山东鸿德圣林医药有限公司、淄博康华医疗器械有限责任公司药品经营部、华润烟台医药有限公司、威海市京鲁医药供应有限责任公司、鲁药集团淄博医药有限公司、山东康健医药有限公司、东营市华康医药有限公司、瑞康医药集团股份有限公司、山东安诚医药物流有限公司、漱玉医药物流(枣庄)有限公司、山东科悦医药物流有限公司、绿谷（菏泽）医药有限公司、国药控股菏泽有限公司、山东颐美药业有限公司、济南信康医药有限公司、山东硕和医药有限公司、烟台东方医药有限公司、山东亚辰医药有限公司、临沂康贝尔医药有限公司、山东一阳医药有限公司、山东永辰医药有限公司、济宁广源医药有限公司、山东天瑞医药集团有限公司梁山分公司、山东朋欣药业有限公司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药品使用单位、零售企业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  <w:t>延伸检查项目符合要求的药品使用单位（15家）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：日照市中心医院、日照市心脏病医院、巨野薛扶集医院、济南市中西医结合医院、济南市人民医院、烟台市芝罘区妇幼保健院、烟台富顺医院有限公司、巨野麟城医院、博山区机关卫生所、淄博万杰肿瘤医院、德城玉荣诊所、德州海吉亚医院、青岛华国中医医院、泰安市第一人民医院、泰安市岱岳区妇幼保健院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  <w:t>延伸检查项目符合要求的药品零售企业（1家）：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 w:bidi="ar"/>
        </w:rPr>
        <w:t>泗水县圣晨之星星村药品零售有限公司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5EF91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user</cp:lastModifiedBy>
  <dcterms:modified xsi:type="dcterms:W3CDTF">2024-08-05T14:32:42Z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