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rPr>
          <w:rFonts w:hint="default" w:ascii="宋体" w:hAnsi="宋体" w:eastAsia="方正黑体_GBK" w:cs="宋体"/>
          <w:color w:val="auto"/>
          <w:spacing w:val="-11"/>
          <w:sz w:val="32"/>
          <w:szCs w:val="44"/>
          <w:lang w:val="en-US" w:eastAsia="zh-CN"/>
        </w:rPr>
      </w:pPr>
      <w:r>
        <w:rPr>
          <w:rFonts w:hint="eastAsia" w:ascii="宋体" w:hAnsi="宋体" w:eastAsia="方正黑体_GBK" w:cs="宋体"/>
          <w:color w:val="auto"/>
          <w:spacing w:val="-11"/>
          <w:sz w:val="32"/>
          <w:szCs w:val="44"/>
          <w:lang w:val="en-US" w:eastAsia="zh-CN"/>
        </w:rPr>
        <w:t>附件3</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宋体"/>
          <w:color w:val="auto"/>
          <w:spacing w:val="-11"/>
          <w:sz w:val="44"/>
          <w:szCs w:val="44"/>
        </w:rPr>
      </w:pPr>
      <w:r>
        <w:rPr>
          <w:rFonts w:hint="eastAsia" w:ascii="宋体" w:hAnsi="宋体" w:eastAsia="方正小标宋_GBK" w:cs="宋体"/>
          <w:color w:val="auto"/>
          <w:spacing w:val="-11"/>
          <w:sz w:val="44"/>
          <w:szCs w:val="44"/>
        </w:rPr>
        <w:t>部分不合格检验项目小知识</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宋体" w:hAnsi="宋体" w:eastAsia="方正小标宋_GBK" w:cs="宋体"/>
          <w:color w:val="auto"/>
          <w:spacing w:val="-11"/>
          <w:sz w:val="44"/>
          <w:szCs w:val="44"/>
        </w:rPr>
      </w:pPr>
    </w:p>
    <w:p>
      <w:pPr>
        <w:keepNext w:val="0"/>
        <w:keepLines w:val="0"/>
        <w:pageBreakBefore w:val="0"/>
        <w:kinsoku/>
        <w:wordWrap/>
        <w:overflowPunct/>
        <w:topLinePunct w:val="0"/>
        <w:autoSpaceDE/>
        <w:autoSpaceDN/>
        <w:bidi w:val="0"/>
        <w:adjustRightInd/>
        <w:snapToGrid/>
        <w:spacing w:line="594" w:lineRule="exact"/>
        <w:ind w:firstLine="592" w:firstLineChars="200"/>
        <w:textAlignment w:val="auto"/>
        <w:rPr>
          <w:rFonts w:hint="eastAsia" w:eastAsia="黑体"/>
          <w:color w:val="auto"/>
          <w:spacing w:val="-12"/>
          <w:sz w:val="32"/>
          <w:szCs w:val="32"/>
          <w:highlight w:val="none"/>
          <w:lang w:val="en-US" w:eastAsia="zh-CN"/>
        </w:rPr>
      </w:pPr>
      <w:r>
        <w:rPr>
          <w:rFonts w:hint="eastAsia" w:eastAsia="黑体"/>
          <w:color w:val="auto"/>
          <w:spacing w:val="-12"/>
          <w:sz w:val="32"/>
          <w:szCs w:val="32"/>
          <w:highlight w:val="none"/>
          <w:lang w:val="en-US" w:eastAsia="zh-CN"/>
        </w:rPr>
        <w:t>一、腐霉利</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94" w:lineRule="exact"/>
        <w:ind w:left="0" w:right="0" w:firstLine="640" w:firstLineChars="200"/>
        <w:jc w:val="left"/>
        <w:textAlignment w:val="auto"/>
        <w:rPr>
          <w:rFonts w:hint="eastAsia" w:ascii="Calibri" w:hAnsi="Calibri" w:eastAsia="仿宋_GB2312" w:cs="Times New Roman"/>
          <w:color w:val="auto"/>
          <w:kern w:val="2"/>
          <w:sz w:val="32"/>
          <w:szCs w:val="32"/>
          <w:highlight w:val="none"/>
          <w:lang w:val="en-US" w:eastAsia="zh-CN" w:bidi="ar-SA"/>
        </w:rPr>
      </w:pPr>
      <w:r>
        <w:rPr>
          <w:rFonts w:hint="eastAsia" w:ascii="Calibri" w:hAnsi="Calibri" w:eastAsia="仿宋_GB2312" w:cs="Times New Roman"/>
          <w:color w:val="auto"/>
          <w:kern w:val="2"/>
          <w:sz w:val="32"/>
          <w:szCs w:val="32"/>
          <w:highlight w:val="none"/>
          <w:lang w:val="en-US" w:eastAsia="zh-CN" w:bidi="ar-SA"/>
        </w:rPr>
        <w:t xml:space="preserve">腐霉利是一种广谱内吸性的高效杀菌剂，对低温高湿条件下发生的灰霉病、菌核病有显著效果，但菌株容易对其产生抗性。长期食用腐霉利超标的食品，对人体健康可能产生危害。《食品安全国家标准 食品中农药最大残留限量》（GB </w:t>
      </w:r>
      <w:r>
        <w:rPr>
          <w:rFonts w:hint="eastAsia" w:eastAsia="仿宋_GB2312" w:cs="Times New Roman"/>
          <w:color w:val="auto"/>
          <w:kern w:val="2"/>
          <w:sz w:val="32"/>
          <w:szCs w:val="32"/>
          <w:highlight w:val="none"/>
          <w:lang w:val="en-US" w:eastAsia="zh-CN" w:bidi="ar-SA"/>
        </w:rPr>
        <w:t>2763—2021</w:t>
      </w:r>
      <w:r>
        <w:rPr>
          <w:rFonts w:hint="eastAsia" w:ascii="Calibri" w:hAnsi="Calibri" w:eastAsia="仿宋_GB2312" w:cs="Times New Roman"/>
          <w:color w:val="auto"/>
          <w:kern w:val="2"/>
          <w:sz w:val="32"/>
          <w:szCs w:val="32"/>
          <w:highlight w:val="none"/>
          <w:lang w:val="en-US" w:eastAsia="zh-CN" w:bidi="ar-SA"/>
        </w:rPr>
        <w:t>）中规定，腐霉利在菠菜中的最大残留限量值为10mg/kg。菠菜中腐霉利超标的原因，可能是菜农对使用农药的安全间隔期不了解，从而违规使用农药。</w:t>
      </w:r>
    </w:p>
    <w:p>
      <w:pPr>
        <w:keepNext w:val="0"/>
        <w:keepLines w:val="0"/>
        <w:pageBreakBefore w:val="0"/>
        <w:widowControl w:val="0"/>
        <w:kinsoku/>
        <w:wordWrap/>
        <w:overflowPunct/>
        <w:topLinePunct w:val="0"/>
        <w:autoSpaceDE/>
        <w:autoSpaceDN/>
        <w:bidi w:val="0"/>
        <w:adjustRightInd/>
        <w:snapToGrid/>
        <w:spacing w:line="594" w:lineRule="exact"/>
        <w:ind w:firstLine="596" w:firstLineChars="200"/>
        <w:textAlignment w:val="auto"/>
        <w:rPr>
          <w:rFonts w:hint="eastAsia" w:ascii="宋体" w:hAnsi="宋体" w:eastAsia="方正黑体_GBK" w:cs="宋体"/>
          <w:color w:val="auto"/>
          <w:spacing w:val="-11"/>
          <w:sz w:val="32"/>
          <w:szCs w:val="32"/>
          <w:lang w:eastAsia="zh-CN"/>
        </w:rPr>
      </w:pPr>
      <w:r>
        <w:rPr>
          <w:rFonts w:hint="eastAsia" w:ascii="宋体" w:hAnsi="宋体" w:eastAsia="方正黑体_GBK" w:cs="宋体"/>
          <w:color w:val="auto"/>
          <w:spacing w:val="-11"/>
          <w:sz w:val="32"/>
          <w:szCs w:val="32"/>
          <w:lang w:val="en-US" w:eastAsia="zh-CN"/>
        </w:rPr>
        <w:t>二</w:t>
      </w:r>
      <w:r>
        <w:rPr>
          <w:rFonts w:hint="eastAsia" w:ascii="宋体" w:hAnsi="宋体" w:eastAsia="方正黑体_GBK" w:cs="宋体"/>
          <w:color w:val="auto"/>
          <w:spacing w:val="-11"/>
          <w:sz w:val="32"/>
          <w:szCs w:val="32"/>
        </w:rPr>
        <w:t>、阴离子合成洗涤剂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eastAsia" w:ascii="宋体" w:hAnsi="宋体" w:eastAsia="方正仿宋_GBK" w:cs="宋体"/>
          <w:color w:val="auto"/>
          <w:kern w:val="2"/>
          <w:sz w:val="32"/>
          <w:szCs w:val="32"/>
          <w:lang w:val="en-US" w:eastAsia="zh-CN" w:bidi="ar-SA"/>
        </w:rPr>
      </w:pPr>
      <w:r>
        <w:rPr>
          <w:rFonts w:hint="eastAsia" w:ascii="宋体" w:hAnsi="宋体" w:eastAsia="方正仿宋_GBK" w:cs="宋体"/>
          <w:color w:val="auto"/>
          <w:kern w:val="2"/>
          <w:sz w:val="32"/>
          <w:szCs w:val="32"/>
          <w:lang w:val="en-US" w:eastAsia="zh-CN" w:bidi="ar-SA"/>
        </w:rPr>
        <w:t>阴离子合成洗涤剂主要成分是十二烷基苯磺酸钠，是我们日常生活中经常用到的洗衣粉、洗洁精、洗衣液、肥皂等洗涤剂的主要成分，是一种低毒物质，因其使用方便、易溶解、稳定性好、成本低等优点被广泛使用。阴离子合成洗涤是消毒餐（饮）具质量评价的重要指标之一。《食品安全国家标准 消毒餐(饮)具》（GB 14934—2016）中规定，使用化学消毒法的餐（饮）具中不得检出阴离子合成洗涤剂（以十二烷基苯磺酸钠计）。餐（饮）具中检出阴离子合成洗涤剂的原因可能是由于餐（饮）具消毒单位使用的洗涤剂不合格或使用量过大，或未经足够量清水冲洗，最终残留在餐（饮）具中。</w:t>
      </w:r>
    </w:p>
    <w:p>
      <w:pPr>
        <w:keepNext w:val="0"/>
        <w:keepLines w:val="0"/>
        <w:pageBreakBefore w:val="0"/>
        <w:widowControl w:val="0"/>
        <w:kinsoku/>
        <w:wordWrap/>
        <w:overflowPunct/>
        <w:topLinePunct w:val="0"/>
        <w:autoSpaceDE/>
        <w:autoSpaceDN/>
        <w:bidi w:val="0"/>
        <w:adjustRightInd/>
        <w:snapToGrid/>
        <w:spacing w:line="594" w:lineRule="exact"/>
        <w:ind w:firstLine="592" w:firstLineChars="200"/>
        <w:jc w:val="left"/>
        <w:textAlignment w:val="auto"/>
        <w:rPr>
          <w:rFonts w:hint="eastAsia" w:eastAsia="黑体"/>
          <w:color w:val="auto"/>
          <w:spacing w:val="-12"/>
          <w:sz w:val="32"/>
          <w:szCs w:val="32"/>
          <w:highlight w:val="none"/>
          <w:lang w:val="en-US" w:eastAsia="zh-CN"/>
        </w:rPr>
      </w:pPr>
      <w:r>
        <w:rPr>
          <w:rFonts w:hint="eastAsia" w:eastAsia="黑体"/>
          <w:color w:val="auto"/>
          <w:spacing w:val="-12"/>
          <w:sz w:val="32"/>
          <w:szCs w:val="32"/>
          <w:highlight w:val="none"/>
          <w:lang w:val="en-US" w:eastAsia="zh-CN"/>
        </w:rPr>
        <w:t>三、</w:t>
      </w:r>
      <w:r>
        <w:rPr>
          <w:rFonts w:hint="eastAsia" w:eastAsia="黑体"/>
          <w:color w:val="auto"/>
          <w:spacing w:val="-12"/>
          <w:sz w:val="32"/>
          <w:szCs w:val="32"/>
          <w:highlight w:val="none"/>
          <w:lang w:val="en-US" w:eastAsia="zh-CN"/>
        </w:rPr>
        <w:t>乙酰甲胺磷</w:t>
      </w:r>
    </w:p>
    <w:p>
      <w:pPr>
        <w:pStyle w:val="9"/>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rightChars="0" w:firstLine="640" w:firstLineChars="200"/>
        <w:jc w:val="left"/>
        <w:textAlignment w:val="auto"/>
        <w:rPr>
          <w:rFonts w:hint="eastAsia" w:ascii="宋体" w:hAnsi="宋体" w:eastAsia="方正仿宋_GBK" w:cs="方正仿宋_GBK"/>
          <w:color w:val="auto"/>
          <w:kern w:val="2"/>
          <w:sz w:val="32"/>
          <w:szCs w:val="32"/>
          <w:highlight w:val="none"/>
          <w:lang w:val="en-US" w:eastAsia="zh-CN" w:bidi="ar-SA"/>
        </w:rPr>
      </w:pPr>
      <w:r>
        <w:rPr>
          <w:rFonts w:hint="eastAsia" w:ascii="宋体" w:hAnsi="宋体" w:eastAsia="方正仿宋_GBK" w:cs="方正仿宋_GBK"/>
          <w:color w:val="auto"/>
          <w:kern w:val="2"/>
          <w:sz w:val="32"/>
          <w:szCs w:val="32"/>
          <w:highlight w:val="none"/>
          <w:lang w:val="en-US" w:eastAsia="zh-CN" w:bidi="ar-SA"/>
        </w:rPr>
        <w:t>乙酰甲胺磷，内吸性的有机磷类杀虫剂。食用食品一般不会导致乙酰甲胺磷的急性中毒，但长期食用乙酰甲胺磷超标的食品，对人体健康也有一定影响。《食品安全国家标准 食品中农药最大残留限量》（GB 2763—2021）中规定，乙酰甲胺磷在瓜果类水果中最大残留量为0.02mg/kg。哈密瓜中乙酰甲胺磷超标的原因可能是果农采收前违规使用相关农药。</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596" w:firstLineChars="200"/>
        <w:textAlignment w:val="auto"/>
        <w:rPr>
          <w:rFonts w:hint="eastAsia" w:ascii="宋体" w:hAnsi="宋体" w:eastAsia="方正黑体_GBK" w:cs="方正黑体_GBK"/>
          <w:color w:val="auto"/>
          <w:kern w:val="2"/>
          <w:sz w:val="32"/>
          <w:szCs w:val="32"/>
          <w:highlight w:val="none"/>
          <w:lang w:val="en-US" w:eastAsia="zh-CN" w:bidi="ar-SA"/>
        </w:rPr>
      </w:pPr>
      <w:r>
        <w:rPr>
          <w:rFonts w:hint="eastAsia" w:ascii="宋体" w:hAnsi="宋体" w:eastAsia="方正黑体_GBK" w:cs="方正黑体_GBK"/>
          <w:color w:val="auto"/>
          <w:spacing w:val="-11"/>
          <w:sz w:val="32"/>
          <w:szCs w:val="32"/>
          <w:lang w:val="en-US" w:eastAsia="zh-CN"/>
        </w:rPr>
        <w:t>四、孔雀</w:t>
      </w:r>
      <w:r>
        <w:rPr>
          <w:rFonts w:hint="eastAsia" w:ascii="宋体" w:hAnsi="宋体" w:eastAsia="方正黑体_GBK" w:cs="方正黑体_GBK"/>
          <w:color w:val="auto"/>
          <w:spacing w:val="-11"/>
          <w:sz w:val="32"/>
          <w:szCs w:val="32"/>
          <w:highlight w:val="none"/>
          <w:lang w:val="en-US" w:eastAsia="zh-CN"/>
        </w:rPr>
        <w:t>石绿</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eastAsia" w:ascii="宋体" w:hAnsi="宋体" w:eastAsia="方正黑体_GBK" w:cs="方正黑体_GBK"/>
          <w:color w:val="auto"/>
          <w:spacing w:val="-11"/>
          <w:sz w:val="32"/>
          <w:szCs w:val="32"/>
          <w:lang w:val="en-US" w:eastAsia="zh-CN"/>
        </w:rPr>
      </w:pPr>
      <w:r>
        <w:rPr>
          <w:rFonts w:hint="eastAsia" w:ascii="宋体" w:hAnsi="宋体" w:eastAsia="方正仿宋_GBK" w:cs="方正仿宋_GBK"/>
          <w:color w:val="auto"/>
          <w:kern w:val="2"/>
          <w:sz w:val="32"/>
          <w:szCs w:val="32"/>
          <w:highlight w:val="none"/>
          <w:lang w:val="en-US" w:eastAsia="zh-CN" w:bidi="ar-SA"/>
        </w:rPr>
        <w:t>孔雀石绿属于有毒的三苯甲烷类化学物，既是染料，也是杀灭真菌、细菌、寄生虫的药物。食用检出孔雀石绿的食品，可能对人体造成潜在的致癌、致畸、致突变等危害。《动物性食品中兽药最高残留限量》（农业部公告 第235号）中规定，孔雀石绿为禁止使用的药物，在动物性食品中不得检出。淡水鱼中检出孔雀石绿的原因，可</w:t>
      </w:r>
      <w:bookmarkStart w:id="0" w:name="_GoBack"/>
      <w:bookmarkEnd w:id="0"/>
      <w:r>
        <w:rPr>
          <w:rFonts w:hint="eastAsia" w:ascii="宋体" w:hAnsi="宋体" w:eastAsia="方正仿宋_GBK" w:cs="方正仿宋_GBK"/>
          <w:color w:val="auto"/>
          <w:kern w:val="2"/>
          <w:sz w:val="32"/>
          <w:szCs w:val="32"/>
          <w:highlight w:val="none"/>
          <w:lang w:val="en-US" w:eastAsia="zh-CN" w:bidi="ar-SA"/>
        </w:rPr>
        <w:t>能是养殖户在养殖过程中违规使用相关兽药。</w:t>
      </w:r>
    </w:p>
    <w:p>
      <w:pPr>
        <w:keepNext w:val="0"/>
        <w:keepLines w:val="0"/>
        <w:pageBreakBefore w:val="0"/>
        <w:kinsoku/>
        <w:wordWrap/>
        <w:overflowPunct/>
        <w:topLinePunct w:val="0"/>
        <w:autoSpaceDE/>
        <w:autoSpaceDN/>
        <w:bidi w:val="0"/>
        <w:adjustRightInd/>
        <w:snapToGrid/>
        <w:spacing w:line="594" w:lineRule="exact"/>
        <w:ind w:firstLine="592" w:firstLineChars="200"/>
        <w:textAlignment w:val="auto"/>
        <w:rPr>
          <w:rFonts w:hint="eastAsia" w:ascii="黑体" w:hAnsi="黑体" w:eastAsia="黑体"/>
          <w:color w:val="auto"/>
          <w:spacing w:val="-12"/>
          <w:sz w:val="32"/>
          <w:szCs w:val="32"/>
          <w:highlight w:val="none"/>
          <w:lang w:val="en-US" w:eastAsia="zh-CN"/>
        </w:rPr>
      </w:pPr>
      <w:r>
        <w:rPr>
          <w:rFonts w:hint="eastAsia" w:ascii="黑体" w:hAnsi="黑体" w:eastAsia="黑体"/>
          <w:color w:val="auto"/>
          <w:spacing w:val="-12"/>
          <w:sz w:val="32"/>
          <w:szCs w:val="32"/>
          <w:highlight w:val="none"/>
          <w:lang w:val="en-US" w:eastAsia="zh-CN"/>
        </w:rPr>
        <w:t>五、二氧化硫残留量</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default" w:ascii="宋体" w:hAnsi="宋体" w:eastAsia="方正仿宋_GBK" w:cs="宋体"/>
          <w:color w:val="auto"/>
          <w:kern w:val="2"/>
          <w:sz w:val="32"/>
          <w:szCs w:val="32"/>
          <w:lang w:val="en-US" w:eastAsia="zh-CN" w:bidi="ar-SA"/>
        </w:rPr>
      </w:pPr>
      <w:r>
        <w:rPr>
          <w:rFonts w:hint="default" w:ascii="宋体" w:hAnsi="宋体" w:eastAsia="方正仿宋_GBK" w:cs="宋体"/>
          <w:color w:val="auto"/>
          <w:kern w:val="2"/>
          <w:sz w:val="32"/>
          <w:szCs w:val="32"/>
          <w:lang w:val="en-US" w:eastAsia="zh-CN" w:bidi="ar-SA"/>
        </w:rPr>
        <w:t>二氧化硫（以及焦亚硫酸钾、亚硫酸钠等添加剂）对食品有漂白、防腐和抗氧化作用，使用后均产生二氧化硫残留。二氧化硫进入人体后最终转化为硫酸盐并随尿液排出体外，一般不会对人体健康造成不良影响，但如果长期过量摄入二氧化硫，可能会对健康不利。《食品安全国家标准 食品添加剂使用标准》（GB 2760—2014）中规定，蔬菜干制品中二氧化硫残留量不得超过0.2g/kg。蔬菜干制品中二氧化硫残留量超标的原因，可能是生产企业为了改善蔬菜干制品的色泽，从而超量使用二氧化硫，也</w:t>
      </w:r>
      <w:r>
        <w:rPr>
          <w:rFonts w:hint="eastAsia" w:ascii="宋体" w:hAnsi="宋体" w:eastAsia="方正仿宋_GBK" w:cs="宋体"/>
          <w:color w:val="auto"/>
          <w:kern w:val="2"/>
          <w:sz w:val="32"/>
          <w:szCs w:val="32"/>
          <w:lang w:val="en-US" w:eastAsia="zh-CN" w:bidi="ar-SA"/>
        </w:rPr>
        <w:t xml:space="preserve">   </w:t>
      </w:r>
      <w:r>
        <w:rPr>
          <w:rFonts w:hint="default" w:ascii="宋体" w:hAnsi="宋体" w:eastAsia="方正仿宋_GBK" w:cs="宋体"/>
          <w:color w:val="auto"/>
          <w:kern w:val="2"/>
          <w:sz w:val="32"/>
          <w:szCs w:val="32"/>
          <w:lang w:val="en-US" w:eastAsia="zh-CN" w:bidi="ar-SA"/>
        </w:rPr>
        <w:t>可能是使用时不计量或计量不准确。</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textAlignment w:val="auto"/>
        <w:rPr>
          <w:rFonts w:hint="default" w:ascii="宋体" w:hAnsi="宋体" w:eastAsia="方正仿宋_GBK" w:cs="方正仿宋_GBK"/>
          <w:color w:val="auto"/>
          <w:kern w:val="2"/>
          <w:sz w:val="32"/>
          <w:szCs w:val="32"/>
          <w:lang w:val="en-US" w:eastAsia="zh-CN" w:bidi="ar-SA"/>
        </w:rPr>
      </w:pPr>
    </w:p>
    <w:sectPr>
      <w:footerReference r:id="rId3" w:type="default"/>
      <w:footerReference r:id="rId4" w:type="even"/>
      <w:pgSz w:w="11906" w:h="16838"/>
      <w:pgMar w:top="2098" w:right="1417"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C051593-A5C3-44DE-9A58-8415204390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95593DC-6A20-4271-AB52-D90571CF16F4}"/>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embedRegular r:id="rId3" w:fontKey="{226738B3-848A-4A1E-B271-96C90ADE92AC}"/>
  </w:font>
  <w:font w:name="方正小标宋_GBK">
    <w:panose1 w:val="03000509000000000000"/>
    <w:charset w:val="86"/>
    <w:family w:val="auto"/>
    <w:pitch w:val="default"/>
    <w:sig w:usb0="00000001" w:usb1="080E0000" w:usb2="00000000" w:usb3="00000000" w:csb0="00040000" w:csb1="00000000"/>
    <w:embedRegular r:id="rId4" w:fontKey="{D8DFB383-ABE0-4520-A92C-CD85B3010551}"/>
  </w:font>
  <w:font w:name="方正仿宋_GBK">
    <w:panose1 w:val="03000509000000000000"/>
    <w:charset w:val="86"/>
    <w:family w:val="auto"/>
    <w:pitch w:val="default"/>
    <w:sig w:usb0="00000001" w:usb1="080E0000" w:usb2="00000000" w:usb3="00000000" w:csb0="00040000" w:csb1="00000000"/>
    <w:embedRegular r:id="rId5" w:fontKey="{02C92491-2809-48FD-BBEA-DBD3984A306C}"/>
  </w:font>
  <w:font w:name="仿宋_GB2312">
    <w:altName w:val="仿宋"/>
    <w:panose1 w:val="02010609030101010101"/>
    <w:charset w:val="86"/>
    <w:family w:val="modern"/>
    <w:pitch w:val="default"/>
    <w:sig w:usb0="00000000" w:usb1="00000000" w:usb2="00000000" w:usb3="00000000" w:csb0="00040000" w:csb1="00000000"/>
    <w:embedRegular r:id="rId6" w:fontKey="{7A75825D-9B39-4F68-A2DC-20130AD86D65}"/>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0827681"/>
      <w:docPartObj>
        <w:docPartGallery w:val="autotext"/>
      </w:docPartObj>
    </w:sdtPr>
    <w:sdtContent>
      <w:p>
        <w:pPr>
          <w:pStyle w:val="6"/>
          <w:jc w:val="center"/>
        </w:pPr>
        <w:r>
          <w:fldChar w:fldCharType="begin"/>
        </w:r>
        <w:r>
          <w:instrText xml:space="preserve">PAGE   \* MERGEFORMAT</w:instrText>
        </w:r>
        <w:r>
          <w:fldChar w:fldCharType="separate"/>
        </w:r>
        <w:r>
          <w:rPr>
            <w:lang w:val="zh-CN"/>
          </w:rPr>
          <w:t>4</w:t>
        </w:r>
        <w:r>
          <w:fldChar w:fldCharType="end"/>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2JlNTk5N2I1MjE1ZDc4Y2MwMTI0OWVmYzZkOGMifQ=="/>
  </w:docVars>
  <w:rsids>
    <w:rsidRoot w:val="15B85137"/>
    <w:rsid w:val="000119D5"/>
    <w:rsid w:val="00013E30"/>
    <w:rsid w:val="000276F3"/>
    <w:rsid w:val="00045657"/>
    <w:rsid w:val="00063DA7"/>
    <w:rsid w:val="000868BD"/>
    <w:rsid w:val="0009071C"/>
    <w:rsid w:val="000C63B4"/>
    <w:rsid w:val="000D132D"/>
    <w:rsid w:val="000E0F61"/>
    <w:rsid w:val="000E639C"/>
    <w:rsid w:val="00101A1D"/>
    <w:rsid w:val="0010777E"/>
    <w:rsid w:val="00116CA2"/>
    <w:rsid w:val="00135634"/>
    <w:rsid w:val="00135A77"/>
    <w:rsid w:val="00142BDE"/>
    <w:rsid w:val="0015345E"/>
    <w:rsid w:val="00170041"/>
    <w:rsid w:val="0018028B"/>
    <w:rsid w:val="001B6492"/>
    <w:rsid w:val="00205007"/>
    <w:rsid w:val="00217ABC"/>
    <w:rsid w:val="00256527"/>
    <w:rsid w:val="00263FF9"/>
    <w:rsid w:val="00277D08"/>
    <w:rsid w:val="002805F4"/>
    <w:rsid w:val="002973CA"/>
    <w:rsid w:val="002B1D5C"/>
    <w:rsid w:val="00334125"/>
    <w:rsid w:val="0036317E"/>
    <w:rsid w:val="00366A48"/>
    <w:rsid w:val="003863E8"/>
    <w:rsid w:val="00387207"/>
    <w:rsid w:val="003B6CD4"/>
    <w:rsid w:val="003C1AAD"/>
    <w:rsid w:val="003D4702"/>
    <w:rsid w:val="003F5AD0"/>
    <w:rsid w:val="003F6028"/>
    <w:rsid w:val="00407D86"/>
    <w:rsid w:val="004201AC"/>
    <w:rsid w:val="00423211"/>
    <w:rsid w:val="00425E6A"/>
    <w:rsid w:val="00447299"/>
    <w:rsid w:val="00457F63"/>
    <w:rsid w:val="00467CE0"/>
    <w:rsid w:val="004707E4"/>
    <w:rsid w:val="004735A6"/>
    <w:rsid w:val="004C53F6"/>
    <w:rsid w:val="004D036B"/>
    <w:rsid w:val="004D0CC7"/>
    <w:rsid w:val="004D4E94"/>
    <w:rsid w:val="00514B88"/>
    <w:rsid w:val="005216E2"/>
    <w:rsid w:val="00541843"/>
    <w:rsid w:val="00551758"/>
    <w:rsid w:val="00565D70"/>
    <w:rsid w:val="00576235"/>
    <w:rsid w:val="0057719D"/>
    <w:rsid w:val="00580AA7"/>
    <w:rsid w:val="005A6A35"/>
    <w:rsid w:val="005A758A"/>
    <w:rsid w:val="005C0139"/>
    <w:rsid w:val="005C2A8D"/>
    <w:rsid w:val="005C692C"/>
    <w:rsid w:val="005C76FA"/>
    <w:rsid w:val="005D5A75"/>
    <w:rsid w:val="005E7727"/>
    <w:rsid w:val="00603050"/>
    <w:rsid w:val="00613B2D"/>
    <w:rsid w:val="006221A8"/>
    <w:rsid w:val="00632D84"/>
    <w:rsid w:val="00643647"/>
    <w:rsid w:val="006B4C83"/>
    <w:rsid w:val="006E25C7"/>
    <w:rsid w:val="006E3529"/>
    <w:rsid w:val="006E385A"/>
    <w:rsid w:val="006F10E4"/>
    <w:rsid w:val="007114C3"/>
    <w:rsid w:val="00716E8E"/>
    <w:rsid w:val="007323B8"/>
    <w:rsid w:val="00741E8B"/>
    <w:rsid w:val="00742D85"/>
    <w:rsid w:val="0076297A"/>
    <w:rsid w:val="00766A6B"/>
    <w:rsid w:val="00771D1B"/>
    <w:rsid w:val="00786192"/>
    <w:rsid w:val="0079128E"/>
    <w:rsid w:val="007B44DC"/>
    <w:rsid w:val="007C2539"/>
    <w:rsid w:val="007C55DC"/>
    <w:rsid w:val="007D761E"/>
    <w:rsid w:val="00800E6D"/>
    <w:rsid w:val="00806AD3"/>
    <w:rsid w:val="00821EE7"/>
    <w:rsid w:val="00845504"/>
    <w:rsid w:val="00846448"/>
    <w:rsid w:val="00887F75"/>
    <w:rsid w:val="00897065"/>
    <w:rsid w:val="008A48FA"/>
    <w:rsid w:val="008A5021"/>
    <w:rsid w:val="008B15D7"/>
    <w:rsid w:val="008C1364"/>
    <w:rsid w:val="008C1784"/>
    <w:rsid w:val="008C6ED2"/>
    <w:rsid w:val="008E0081"/>
    <w:rsid w:val="008E32F5"/>
    <w:rsid w:val="008E5099"/>
    <w:rsid w:val="008F021C"/>
    <w:rsid w:val="00900777"/>
    <w:rsid w:val="0093073B"/>
    <w:rsid w:val="00960313"/>
    <w:rsid w:val="00965F07"/>
    <w:rsid w:val="00970BC3"/>
    <w:rsid w:val="00971CE9"/>
    <w:rsid w:val="00974858"/>
    <w:rsid w:val="00974E0A"/>
    <w:rsid w:val="009B222A"/>
    <w:rsid w:val="009B4783"/>
    <w:rsid w:val="009C1BB5"/>
    <w:rsid w:val="009C3466"/>
    <w:rsid w:val="009D1B09"/>
    <w:rsid w:val="009E7BB2"/>
    <w:rsid w:val="00A010B9"/>
    <w:rsid w:val="00A0353B"/>
    <w:rsid w:val="00A1474C"/>
    <w:rsid w:val="00A26906"/>
    <w:rsid w:val="00A4164C"/>
    <w:rsid w:val="00A636E2"/>
    <w:rsid w:val="00A8267D"/>
    <w:rsid w:val="00A91948"/>
    <w:rsid w:val="00A9326F"/>
    <w:rsid w:val="00A93A64"/>
    <w:rsid w:val="00AA1D13"/>
    <w:rsid w:val="00AA3B2A"/>
    <w:rsid w:val="00AA5C0A"/>
    <w:rsid w:val="00AC1A0F"/>
    <w:rsid w:val="00AD14F2"/>
    <w:rsid w:val="00AD27DE"/>
    <w:rsid w:val="00AD3EE2"/>
    <w:rsid w:val="00AE2315"/>
    <w:rsid w:val="00AF4A96"/>
    <w:rsid w:val="00B11ADD"/>
    <w:rsid w:val="00B9140D"/>
    <w:rsid w:val="00B935D9"/>
    <w:rsid w:val="00BA3536"/>
    <w:rsid w:val="00BB0DB0"/>
    <w:rsid w:val="00BC6D13"/>
    <w:rsid w:val="00BD226E"/>
    <w:rsid w:val="00BE073D"/>
    <w:rsid w:val="00C05113"/>
    <w:rsid w:val="00C062B0"/>
    <w:rsid w:val="00C10C4F"/>
    <w:rsid w:val="00C202FE"/>
    <w:rsid w:val="00C34DC8"/>
    <w:rsid w:val="00C44F2E"/>
    <w:rsid w:val="00C4512B"/>
    <w:rsid w:val="00C65F31"/>
    <w:rsid w:val="00C66715"/>
    <w:rsid w:val="00C86322"/>
    <w:rsid w:val="00C95EE7"/>
    <w:rsid w:val="00C9799C"/>
    <w:rsid w:val="00CB26E2"/>
    <w:rsid w:val="00CB435C"/>
    <w:rsid w:val="00CB78B8"/>
    <w:rsid w:val="00CC1560"/>
    <w:rsid w:val="00CD0F21"/>
    <w:rsid w:val="00CD2A83"/>
    <w:rsid w:val="00CF5F6A"/>
    <w:rsid w:val="00CF6EF9"/>
    <w:rsid w:val="00D16B82"/>
    <w:rsid w:val="00D2666E"/>
    <w:rsid w:val="00D501B0"/>
    <w:rsid w:val="00D63508"/>
    <w:rsid w:val="00D70167"/>
    <w:rsid w:val="00D83AA0"/>
    <w:rsid w:val="00D87B22"/>
    <w:rsid w:val="00D93034"/>
    <w:rsid w:val="00DA0BCC"/>
    <w:rsid w:val="00DC00F9"/>
    <w:rsid w:val="00DD476E"/>
    <w:rsid w:val="00E00F1F"/>
    <w:rsid w:val="00E01E3C"/>
    <w:rsid w:val="00E167A0"/>
    <w:rsid w:val="00E21F73"/>
    <w:rsid w:val="00E32D98"/>
    <w:rsid w:val="00E43414"/>
    <w:rsid w:val="00E51E77"/>
    <w:rsid w:val="00E54A66"/>
    <w:rsid w:val="00E5774B"/>
    <w:rsid w:val="00E8121D"/>
    <w:rsid w:val="00E82C94"/>
    <w:rsid w:val="00EA77E3"/>
    <w:rsid w:val="00EC0211"/>
    <w:rsid w:val="00ED0256"/>
    <w:rsid w:val="00ED0DA7"/>
    <w:rsid w:val="00ED21A0"/>
    <w:rsid w:val="00EF6B02"/>
    <w:rsid w:val="00F05932"/>
    <w:rsid w:val="00F075AE"/>
    <w:rsid w:val="00F1347C"/>
    <w:rsid w:val="00F75612"/>
    <w:rsid w:val="00F80202"/>
    <w:rsid w:val="00F915D8"/>
    <w:rsid w:val="00FA490E"/>
    <w:rsid w:val="00FA66BA"/>
    <w:rsid w:val="00FC3D20"/>
    <w:rsid w:val="00FF2E4D"/>
    <w:rsid w:val="02E57613"/>
    <w:rsid w:val="07DB4775"/>
    <w:rsid w:val="08F07F5B"/>
    <w:rsid w:val="0AAD14F9"/>
    <w:rsid w:val="0BAF665A"/>
    <w:rsid w:val="0FED6590"/>
    <w:rsid w:val="11AA7966"/>
    <w:rsid w:val="141679B1"/>
    <w:rsid w:val="159E2C66"/>
    <w:rsid w:val="15B85137"/>
    <w:rsid w:val="16041BA6"/>
    <w:rsid w:val="187854F2"/>
    <w:rsid w:val="1D2A530E"/>
    <w:rsid w:val="1DFF4B09"/>
    <w:rsid w:val="1F0653D6"/>
    <w:rsid w:val="27633C24"/>
    <w:rsid w:val="2AC16902"/>
    <w:rsid w:val="2BDB0938"/>
    <w:rsid w:val="2C9024A3"/>
    <w:rsid w:val="2DE7759F"/>
    <w:rsid w:val="2F0D0E1E"/>
    <w:rsid w:val="2FB35B1D"/>
    <w:rsid w:val="34220DB4"/>
    <w:rsid w:val="361B61C7"/>
    <w:rsid w:val="3A512225"/>
    <w:rsid w:val="3B797920"/>
    <w:rsid w:val="3D2F4655"/>
    <w:rsid w:val="3ECA4CD4"/>
    <w:rsid w:val="40475A64"/>
    <w:rsid w:val="43FB64F2"/>
    <w:rsid w:val="44586DC0"/>
    <w:rsid w:val="46F05C86"/>
    <w:rsid w:val="479E0D55"/>
    <w:rsid w:val="48805DD2"/>
    <w:rsid w:val="492963C6"/>
    <w:rsid w:val="4A0D2464"/>
    <w:rsid w:val="4AFE195C"/>
    <w:rsid w:val="4B304B48"/>
    <w:rsid w:val="4B5562A0"/>
    <w:rsid w:val="4BC323F1"/>
    <w:rsid w:val="4C9B5A25"/>
    <w:rsid w:val="4E755725"/>
    <w:rsid w:val="4EE57FD2"/>
    <w:rsid w:val="50804728"/>
    <w:rsid w:val="51632454"/>
    <w:rsid w:val="52732B71"/>
    <w:rsid w:val="532E3A5B"/>
    <w:rsid w:val="57DD4F82"/>
    <w:rsid w:val="5B0203A0"/>
    <w:rsid w:val="5EAB5261"/>
    <w:rsid w:val="60FD15F7"/>
    <w:rsid w:val="63A75247"/>
    <w:rsid w:val="63E11CB1"/>
    <w:rsid w:val="67AB0CED"/>
    <w:rsid w:val="67D45B94"/>
    <w:rsid w:val="6A00000E"/>
    <w:rsid w:val="6A7A5576"/>
    <w:rsid w:val="6D535020"/>
    <w:rsid w:val="6E0005AE"/>
    <w:rsid w:val="6ED3511D"/>
    <w:rsid w:val="6FB849AC"/>
    <w:rsid w:val="709C5D3C"/>
    <w:rsid w:val="714D5A47"/>
    <w:rsid w:val="727857FE"/>
    <w:rsid w:val="74A44FDB"/>
    <w:rsid w:val="75856B41"/>
    <w:rsid w:val="7AE845AB"/>
    <w:rsid w:val="7CCD4AFB"/>
    <w:rsid w:val="7D2423F5"/>
    <w:rsid w:val="7E764C7A"/>
    <w:rsid w:val="7F5B1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qFormat/>
    <w:uiPriority w:val="0"/>
    <w:pPr>
      <w:spacing w:after="120"/>
      <w:ind w:left="420" w:leftChars="200"/>
    </w:pPr>
  </w:style>
  <w:style w:type="paragraph" w:styleId="4">
    <w:name w:val="annotation text"/>
    <w:basedOn w:val="1"/>
    <w:link w:val="21"/>
    <w:qFormat/>
    <w:uiPriority w:val="0"/>
    <w:pPr>
      <w:jc w:val="left"/>
    </w:pPr>
  </w:style>
  <w:style w:type="paragraph" w:styleId="5">
    <w:name w:val="Balloon Text"/>
    <w:basedOn w:val="1"/>
    <w:link w:val="16"/>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20"/>
    <w:qFormat/>
    <w:uiPriority w:val="0"/>
    <w:pPr>
      <w:spacing w:line="594" w:lineRule="exact"/>
      <w:ind w:firstLine="200" w:firstLineChars="200"/>
      <w:jc w:val="left"/>
      <w:outlineLvl w:val="1"/>
    </w:pPr>
    <w:rPr>
      <w:rFonts w:ascii="Times New Roman" w:hAnsi="Times New Roman" w:eastAsia="黑体" w:cstheme="minorBidi"/>
      <w:bCs/>
      <w:kern w:val="28"/>
      <w:sz w:val="32"/>
      <w:szCs w:val="32"/>
    </w:rPr>
  </w:style>
  <w:style w:type="paragraph" w:styleId="9">
    <w:name w:val="Normal (Web)"/>
    <w:basedOn w:val="1"/>
    <w:unhideWhenUsed/>
    <w:qFormat/>
    <w:uiPriority w:val="99"/>
    <w:pPr>
      <w:spacing w:beforeAutospacing="1" w:afterAutospacing="1"/>
      <w:jc w:val="left"/>
    </w:pPr>
    <w:rPr>
      <w:rFonts w:asciiTheme="minorHAnsi" w:hAnsiTheme="minorHAnsi" w:eastAsiaTheme="minorEastAsia"/>
      <w:kern w:val="0"/>
      <w:sz w:val="24"/>
      <w:szCs w:val="22"/>
    </w:rPr>
  </w:style>
  <w:style w:type="paragraph" w:styleId="10">
    <w:name w:val="annotation subject"/>
    <w:basedOn w:val="4"/>
    <w:next w:val="4"/>
    <w:link w:val="22"/>
    <w:qFormat/>
    <w:uiPriority w:val="0"/>
    <w:rPr>
      <w:b/>
      <w:bCs/>
    </w:rPr>
  </w:style>
  <w:style w:type="character" w:styleId="13">
    <w:name w:val="Strong"/>
    <w:basedOn w:val="12"/>
    <w:qFormat/>
    <w:uiPriority w:val="0"/>
    <w:rPr>
      <w:b/>
    </w:rPr>
  </w:style>
  <w:style w:type="character" w:styleId="14">
    <w:name w:val="annotation reference"/>
    <w:basedOn w:val="12"/>
    <w:qFormat/>
    <w:uiPriority w:val="0"/>
    <w:rPr>
      <w:sz w:val="21"/>
      <w:szCs w:val="21"/>
    </w:rPr>
  </w:style>
  <w:style w:type="paragraph" w:customStyle="1" w:styleId="15">
    <w:name w:val="列出段落2"/>
    <w:basedOn w:val="1"/>
    <w:qFormat/>
    <w:uiPriority w:val="34"/>
    <w:pPr>
      <w:ind w:firstLine="420" w:firstLineChars="200"/>
    </w:pPr>
  </w:style>
  <w:style w:type="character" w:customStyle="1" w:styleId="16">
    <w:name w:val="批注框文本 字符"/>
    <w:basedOn w:val="12"/>
    <w:link w:val="5"/>
    <w:qFormat/>
    <w:uiPriority w:val="0"/>
    <w:rPr>
      <w:rFonts w:ascii="Calibri" w:hAnsi="Calibri" w:eastAsia="宋体" w:cs="Times New Roman"/>
      <w:kern w:val="2"/>
      <w:sz w:val="18"/>
      <w:szCs w:val="18"/>
    </w:rPr>
  </w:style>
  <w:style w:type="paragraph" w:styleId="17">
    <w:name w:val="List Paragraph"/>
    <w:basedOn w:val="1"/>
    <w:qFormat/>
    <w:uiPriority w:val="34"/>
    <w:pPr>
      <w:ind w:firstLine="420" w:firstLineChars="200"/>
    </w:pPr>
    <w:rPr>
      <w:szCs w:val="22"/>
    </w:rPr>
  </w:style>
  <w:style w:type="character" w:customStyle="1" w:styleId="18">
    <w:name w:val="页眉 字符"/>
    <w:basedOn w:val="12"/>
    <w:link w:val="7"/>
    <w:qFormat/>
    <w:uiPriority w:val="0"/>
    <w:rPr>
      <w:rFonts w:ascii="Calibri" w:hAnsi="Calibri" w:eastAsia="宋体" w:cs="Times New Roman"/>
      <w:kern w:val="2"/>
      <w:sz w:val="18"/>
      <w:szCs w:val="18"/>
    </w:rPr>
  </w:style>
  <w:style w:type="character" w:customStyle="1" w:styleId="19">
    <w:name w:val="页脚 字符"/>
    <w:basedOn w:val="12"/>
    <w:link w:val="6"/>
    <w:qFormat/>
    <w:uiPriority w:val="99"/>
    <w:rPr>
      <w:rFonts w:ascii="Calibri" w:hAnsi="Calibri" w:eastAsia="宋体" w:cs="Times New Roman"/>
      <w:kern w:val="2"/>
      <w:sz w:val="18"/>
      <w:szCs w:val="18"/>
    </w:rPr>
  </w:style>
  <w:style w:type="character" w:customStyle="1" w:styleId="20">
    <w:name w:val="副标题 字符"/>
    <w:basedOn w:val="12"/>
    <w:link w:val="8"/>
    <w:qFormat/>
    <w:uiPriority w:val="0"/>
    <w:rPr>
      <w:rFonts w:ascii="Times New Roman" w:hAnsi="Times New Roman" w:eastAsia="黑体"/>
      <w:bCs/>
      <w:kern w:val="28"/>
      <w:sz w:val="32"/>
      <w:szCs w:val="32"/>
    </w:rPr>
  </w:style>
  <w:style w:type="character" w:customStyle="1" w:styleId="21">
    <w:name w:val="批注文字 字符"/>
    <w:basedOn w:val="12"/>
    <w:link w:val="4"/>
    <w:qFormat/>
    <w:uiPriority w:val="0"/>
    <w:rPr>
      <w:rFonts w:ascii="Calibri" w:hAnsi="Calibri" w:eastAsia="宋体" w:cs="Times New Roman"/>
      <w:kern w:val="2"/>
      <w:sz w:val="21"/>
      <w:szCs w:val="24"/>
    </w:rPr>
  </w:style>
  <w:style w:type="character" w:customStyle="1" w:styleId="22">
    <w:name w:val="批注主题 字符"/>
    <w:basedOn w:val="21"/>
    <w:link w:val="10"/>
    <w:qFormat/>
    <w:uiPriority w:val="0"/>
    <w:rPr>
      <w:rFonts w:ascii="Calibri" w:hAnsi="Calibri" w:eastAsia="宋体" w:cs="Times New Roman"/>
      <w:b/>
      <w:bCs/>
      <w:kern w:val="2"/>
      <w:sz w:val="21"/>
      <w:szCs w:val="24"/>
    </w:rPr>
  </w:style>
  <w:style w:type="paragraph" w:customStyle="1" w:styleId="23">
    <w:name w:val="列出段落1"/>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996</Words>
  <Characters>1041</Characters>
  <Lines>16</Lines>
  <Paragraphs>4</Paragraphs>
  <TotalTime>2</TotalTime>
  <ScaleCrop>false</ScaleCrop>
  <LinksUpToDate>false</LinksUpToDate>
  <CharactersWithSpaces>1049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2018-10-19T06:08:00Z</dcterms:created>
  <dc:creator>Anonymous</dc:creator>
  <cp:lastModifiedBy>Administrator</cp:lastModifiedBy>
  <dcterms:modified xsi:type="dcterms:W3CDTF">2023-11-28T07:22:55Z</dcterms:modified>
  <dc:title>附件1</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665DFCFFE0C14853875C9B62468006AB</vt:lpwstr>
  </property>
</Properties>
</file>