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default" w:ascii="宋体" w:hAnsi="宋体" w:eastAsia="方正黑体_GBK" w:cs="宋体"/>
          <w:color w:val="auto"/>
          <w:spacing w:val="-11"/>
          <w:sz w:val="32"/>
          <w:szCs w:val="44"/>
          <w:lang w:val="en-US" w:eastAsia="zh-CN"/>
        </w:rPr>
      </w:pPr>
      <w:r>
        <w:rPr>
          <w:rFonts w:hint="eastAsia" w:ascii="宋体" w:hAnsi="宋体" w:eastAsia="方正黑体_GBK" w:cs="宋体"/>
          <w:color w:val="auto"/>
          <w:spacing w:val="-11"/>
          <w:sz w:val="32"/>
          <w:szCs w:val="44"/>
          <w:lang w:val="en-US" w:eastAsia="zh-CN"/>
        </w:rPr>
        <w:t>附件3</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color w:val="auto"/>
          <w:spacing w:val="-11"/>
          <w:sz w:val="44"/>
          <w:szCs w:val="44"/>
        </w:rPr>
      </w:pPr>
      <w:r>
        <w:rPr>
          <w:rFonts w:hint="eastAsia" w:ascii="宋体" w:hAnsi="宋体" w:eastAsia="方正小标宋_GBK" w:cs="宋体"/>
          <w:color w:val="auto"/>
          <w:spacing w:val="-11"/>
          <w:sz w:val="44"/>
          <w:szCs w:val="44"/>
        </w:rPr>
        <w:t>部分不合格检验项目小知识</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color w:val="auto"/>
          <w:spacing w:val="-11"/>
          <w:sz w:val="44"/>
          <w:szCs w:val="44"/>
        </w:rPr>
      </w:pPr>
    </w:p>
    <w:p>
      <w:pPr>
        <w:keepNext w:val="0"/>
        <w:keepLines w:val="0"/>
        <w:pageBreakBefore w:val="0"/>
        <w:widowControl w:val="0"/>
        <w:kinsoku/>
        <w:wordWrap/>
        <w:overflowPunct/>
        <w:topLinePunct w:val="0"/>
        <w:autoSpaceDE/>
        <w:autoSpaceDN/>
        <w:bidi w:val="0"/>
        <w:adjustRightInd/>
        <w:snapToGrid/>
        <w:spacing w:line="590" w:lineRule="exact"/>
        <w:ind w:firstLine="592" w:firstLineChars="200"/>
        <w:textAlignment w:val="auto"/>
        <w:rPr>
          <w:rFonts w:hint="eastAsia" w:eastAsia="黑体"/>
          <w:color w:val="auto"/>
          <w:spacing w:val="-12"/>
          <w:sz w:val="32"/>
          <w:szCs w:val="32"/>
          <w:lang w:val="en-US" w:eastAsia="zh-CN"/>
        </w:rPr>
      </w:pPr>
      <w:r>
        <w:rPr>
          <w:rFonts w:hint="eastAsia" w:eastAsia="黑体"/>
          <w:color w:val="auto"/>
          <w:spacing w:val="-12"/>
          <w:sz w:val="32"/>
          <w:szCs w:val="32"/>
          <w:lang w:val="en-US" w:eastAsia="zh-CN"/>
        </w:rPr>
        <w:t>一、氯氟氰菊酯和高效氯氟氰菊酯</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氯氟氰菊酯和高效氯氟氰菊酯是一种广谱、高效拟除虫菊酯类杀虫剂，以触杀和胃毒作用为主，广泛用于农林业和卫生虫害的防治。少量的残留不会引起人体急性中毒，但长期食用氯氟氰菊酯和高效氯氟氰菊酯超标的食品，对人体健康可能有一定影响。《食品安全国家标准 食品中农药最大残留限量》（GB 2763—2021）中规定，氯氟氰菊酯和高效氯氟氰菊酯在根茎类和薯芋蔬菜（马铃薯除外）中的最大残留限量值为0.01mg/kg。姜中氯氰菊酯和高效氯氰菊酯超标的原因，可能是为控制病情不遵守休药期规定，致使上市销售时产品中的药物残留量未降解至标准限量以下。</w:t>
      </w:r>
    </w:p>
    <w:p>
      <w:pPr>
        <w:keepNext w:val="0"/>
        <w:keepLines w:val="0"/>
        <w:pageBreakBefore w:val="0"/>
        <w:widowControl w:val="0"/>
        <w:kinsoku/>
        <w:wordWrap/>
        <w:overflowPunct/>
        <w:topLinePunct w:val="0"/>
        <w:autoSpaceDE/>
        <w:autoSpaceDN/>
        <w:bidi w:val="0"/>
        <w:adjustRightInd/>
        <w:snapToGrid/>
        <w:spacing w:line="590" w:lineRule="exact"/>
        <w:ind w:firstLine="596" w:firstLineChars="200"/>
        <w:textAlignment w:val="auto"/>
        <w:rPr>
          <w:rFonts w:hint="eastAsia" w:ascii="方正黑体_GBK" w:hAnsi="方正黑体_GBK" w:eastAsia="方正黑体_GBK" w:cs="方正黑体_GBK"/>
          <w:b w:val="0"/>
          <w:bCs w:val="0"/>
          <w:color w:val="auto"/>
          <w:spacing w:val="-11"/>
          <w:sz w:val="32"/>
          <w:szCs w:val="32"/>
          <w:lang w:val="en-US" w:eastAsia="zh-CN"/>
        </w:rPr>
      </w:pPr>
      <w:r>
        <w:rPr>
          <w:rFonts w:hint="eastAsia" w:ascii="方正黑体_GBK" w:hAnsi="方正黑体_GBK" w:eastAsia="方正黑体_GBK" w:cs="方正黑体_GBK"/>
          <w:b w:val="0"/>
          <w:bCs w:val="0"/>
          <w:color w:val="auto"/>
          <w:spacing w:val="-11"/>
          <w:sz w:val="32"/>
          <w:szCs w:val="32"/>
          <w:lang w:val="en-US" w:eastAsia="zh-CN"/>
        </w:rPr>
        <w:t>二、恩诺沙星</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恩诺沙星属第三代喹诺酮类药物，是一类人工合成的广谱抗菌药，用于治疗动物的皮肤感染、呼吸道感染等，是动物专属用药。长期食用恩诺沙星残留超标的食品，可能在人体中蓄积，进而对人体机能产生危害，还可能使人体产生耐药性菌株。《食品安全国家标准 食品中兽药最大残留限量》（GB 31650—2019）中规定，恩诺沙星在鱼的皮和肉中最大残留限量值为100μg/kg。淡水鱼中恩诺沙星超标的原因，可能是在养殖过程中为快速控制疫病，违规加大用药量或不遵守休药期规定，致使产品上市销售时的药物残留量超标。</w:t>
      </w:r>
    </w:p>
    <w:p>
      <w:pPr>
        <w:keepNext w:val="0"/>
        <w:keepLines w:val="0"/>
        <w:pageBreakBefore w:val="0"/>
        <w:widowControl w:val="0"/>
        <w:kinsoku/>
        <w:wordWrap/>
        <w:overflowPunct/>
        <w:topLinePunct w:val="0"/>
        <w:autoSpaceDE/>
        <w:autoSpaceDN/>
        <w:bidi w:val="0"/>
        <w:adjustRightInd/>
        <w:snapToGrid/>
        <w:spacing w:line="594" w:lineRule="exact"/>
        <w:ind w:firstLine="596" w:firstLineChars="200"/>
        <w:textAlignment w:val="auto"/>
        <w:rPr>
          <w:rFonts w:hint="eastAsia" w:ascii="宋体" w:hAnsi="宋体" w:eastAsia="方正黑体_GBK" w:cs="宋体"/>
          <w:color w:val="auto"/>
          <w:spacing w:val="-11"/>
          <w:sz w:val="32"/>
          <w:szCs w:val="32"/>
          <w:lang w:eastAsia="zh-CN"/>
        </w:rPr>
      </w:pPr>
      <w:r>
        <w:rPr>
          <w:rFonts w:hint="eastAsia" w:ascii="宋体" w:hAnsi="宋体" w:eastAsia="方正黑体_GBK" w:cs="宋体"/>
          <w:color w:val="auto"/>
          <w:spacing w:val="-11"/>
          <w:sz w:val="32"/>
          <w:szCs w:val="32"/>
          <w:lang w:val="en-US" w:eastAsia="zh-CN"/>
        </w:rPr>
        <w:t>三</w:t>
      </w:r>
      <w:r>
        <w:rPr>
          <w:rFonts w:hint="eastAsia" w:ascii="宋体" w:hAnsi="宋体" w:eastAsia="方正黑体_GBK" w:cs="宋体"/>
          <w:color w:val="auto"/>
          <w:spacing w:val="-11"/>
          <w:sz w:val="32"/>
          <w:szCs w:val="32"/>
        </w:rPr>
        <w:t>、阴离子合成洗涤剂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eastAsia" w:ascii="宋体" w:hAnsi="宋体" w:eastAsia="方正仿宋_GBK" w:cs="宋体"/>
          <w:color w:val="auto"/>
          <w:kern w:val="2"/>
          <w:sz w:val="32"/>
          <w:szCs w:val="32"/>
          <w:lang w:val="en-US" w:eastAsia="zh-CN" w:bidi="ar-SA"/>
        </w:rPr>
      </w:pPr>
      <w:r>
        <w:rPr>
          <w:rFonts w:hint="eastAsia" w:ascii="宋体" w:hAnsi="宋体" w:eastAsia="方正仿宋_GBK" w:cs="宋体"/>
          <w:color w:val="auto"/>
          <w:kern w:val="2"/>
          <w:sz w:val="32"/>
          <w:szCs w:val="32"/>
          <w:lang w:val="en-US" w:eastAsia="zh-CN" w:bidi="ar-SA"/>
        </w:rPr>
        <w:t>阴离子合成洗涤剂主要成分是十二烷基苯磺酸钠，是我们日常生活中经常用到的洗衣粉、洗洁精、洗衣液、肥皂等洗涤剂的主要成分，是一种低毒物质，因其使用方便、易溶解、稳定性好、成本低等优点被广泛使用。阴离子合成洗涤是消毒餐（饮）具质量评价的重要指标之一。《食品安全国家标准 消毒餐(饮)具》（GB 14934—2016）中规定，使用化学消毒法的餐（饮）具中不得检出阴离子合成洗涤剂（以十二烷基苯磺酸钠计）。餐（饮）具中检出阴离子合成洗涤剂的原因可能是由于餐（饮）具消毒单位使用的洗涤剂不合格或使用量过大，或未经足够量清水冲洗，最终残留在餐（饮）具中。</w:t>
      </w:r>
    </w:p>
    <w:p>
      <w:pPr>
        <w:keepNext w:val="0"/>
        <w:keepLines w:val="0"/>
        <w:pageBreakBefore w:val="0"/>
        <w:widowControl w:val="0"/>
        <w:kinsoku/>
        <w:wordWrap/>
        <w:overflowPunct/>
        <w:topLinePunct w:val="0"/>
        <w:autoSpaceDE/>
        <w:autoSpaceDN/>
        <w:bidi w:val="0"/>
        <w:adjustRightInd/>
        <w:snapToGrid/>
        <w:spacing w:line="590" w:lineRule="exact"/>
        <w:ind w:firstLine="596" w:firstLineChars="200"/>
        <w:textAlignment w:val="auto"/>
        <w:rPr>
          <w:rFonts w:hint="eastAsia" w:ascii="宋体" w:hAnsi="宋体" w:eastAsia="方正黑体_GBK" w:cs="方正黑体_GBK"/>
          <w:color w:val="auto"/>
          <w:spacing w:val="-11"/>
          <w:sz w:val="32"/>
          <w:szCs w:val="32"/>
          <w:lang w:val="en-US" w:eastAsia="zh-CN"/>
        </w:rPr>
      </w:pPr>
      <w:r>
        <w:rPr>
          <w:rFonts w:hint="eastAsia" w:ascii="宋体" w:hAnsi="宋体" w:eastAsia="方正黑体_GBK" w:cs="方正黑体_GBK"/>
          <w:color w:val="auto"/>
          <w:spacing w:val="-11"/>
          <w:sz w:val="32"/>
          <w:szCs w:val="32"/>
          <w:lang w:val="en-US" w:eastAsia="zh-CN"/>
        </w:rPr>
        <w:t>四、</w:t>
      </w:r>
      <w:r>
        <w:rPr>
          <w:rFonts w:hint="eastAsia" w:ascii="宋体" w:hAnsi="宋体" w:eastAsia="黑体" w:cs="黑体"/>
          <w:color w:val="auto"/>
          <w:sz w:val="32"/>
          <w:szCs w:val="32"/>
        </w:rPr>
        <w:t>防腐剂混合使用时各自用量占其最大使用量的比例之和</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方正仿宋_GBK"/>
          <w:color w:val="auto"/>
          <w:kern w:val="2"/>
          <w:sz w:val="32"/>
          <w:szCs w:val="32"/>
          <w:lang w:val="en-US" w:eastAsia="zh-CN" w:bidi="ar-SA"/>
        </w:rPr>
      </w:pPr>
      <w:r>
        <w:rPr>
          <w:rFonts w:hint="eastAsia" w:ascii="宋体" w:hAnsi="宋体" w:eastAsia="方正仿宋_GBK" w:cs="宋体"/>
          <w:color w:val="auto"/>
          <w:kern w:val="2"/>
          <w:sz w:val="32"/>
          <w:szCs w:val="32"/>
          <w:highlight w:val="none"/>
          <w:lang w:val="en-US" w:eastAsia="zh-CN" w:bidi="ar-SA"/>
        </w:rPr>
        <w:t>防腐剂是常见的食品添加剂，指天然或合成的化学成分，用于延缓或抑制由微生物引起的食品腐败变质。长期食用防腐剂超标的食品会对人体健康造成损害。《食品安全国家标准 食品添加剂使用标准》（GB 2760—2014）中规定，防腐剂在混合使用时各自用量占其最大使用量的比例之和不应超过1。防腐剂混合使用时各自用量占其最大使用量的比例之和检测值超标的原因，可能是生产企业在生产加工过程中未严格控制各防腐剂的用量造成的。</w:t>
      </w:r>
      <w:bookmarkStart w:id="0" w:name="_GoBack"/>
      <w:bookmarkEnd w:id="0"/>
    </w:p>
    <w:sectPr>
      <w:footerReference r:id="rId3" w:type="default"/>
      <w:footerReference r:id="rId4" w:type="even"/>
      <w:pgSz w:w="11906" w:h="16838"/>
      <w:pgMar w:top="2098" w:right="1417"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01FE7B-F518-4560-98DE-49694FE7C7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embedRegular r:id="rId2" w:fontKey="{C11F7BEF-8328-4AF1-A837-7E1C7E7CB5B0}"/>
  </w:font>
  <w:font w:name="方正小标宋_GBK">
    <w:panose1 w:val="03000509000000000000"/>
    <w:charset w:val="86"/>
    <w:family w:val="auto"/>
    <w:pitch w:val="default"/>
    <w:sig w:usb0="00000001" w:usb1="080E0000" w:usb2="00000000" w:usb3="00000000" w:csb0="00040000" w:csb1="00000000"/>
    <w:embedRegular r:id="rId3" w:fontKey="{FC2712E2-B6CA-4DB2-AC67-7AB816C3BDFD}"/>
  </w:font>
  <w:font w:name="方正仿宋_GBK">
    <w:panose1 w:val="03000509000000000000"/>
    <w:charset w:val="86"/>
    <w:family w:val="auto"/>
    <w:pitch w:val="default"/>
    <w:sig w:usb0="00000001" w:usb1="080E0000" w:usb2="00000000" w:usb3="00000000" w:csb0="00040000" w:csb1="00000000"/>
    <w:embedRegular r:id="rId4" w:fontKey="{CE7293B8-503C-4A04-BE6B-9357BA35932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0827681"/>
      <w:docPartObj>
        <w:docPartGallery w:val="autotext"/>
      </w:docPartObj>
    </w:sdtPr>
    <w:sdtContent>
      <w:p>
        <w:pPr>
          <w:pStyle w:val="6"/>
          <w:jc w:val="center"/>
        </w:pPr>
        <w:r>
          <w:fldChar w:fldCharType="begin"/>
        </w:r>
        <w:r>
          <w:instrText xml:space="preserve">PAGE   \* MERGEFORMAT</w:instrText>
        </w:r>
        <w:r>
          <w:fldChar w:fldCharType="separate"/>
        </w:r>
        <w:r>
          <w:rPr>
            <w:lang w:val="zh-CN"/>
          </w:rPr>
          <w:t>4</w:t>
        </w:r>
        <w: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2JlNTk5N2I1MjE1ZDc4Y2MwMTI0OWVmYzZkOGMifQ=="/>
  </w:docVars>
  <w:rsids>
    <w:rsidRoot w:val="15B85137"/>
    <w:rsid w:val="000119D5"/>
    <w:rsid w:val="00013E30"/>
    <w:rsid w:val="000276F3"/>
    <w:rsid w:val="00045657"/>
    <w:rsid w:val="00063DA7"/>
    <w:rsid w:val="000868BD"/>
    <w:rsid w:val="0009071C"/>
    <w:rsid w:val="000C63B4"/>
    <w:rsid w:val="000D132D"/>
    <w:rsid w:val="000E0F61"/>
    <w:rsid w:val="000E639C"/>
    <w:rsid w:val="00101A1D"/>
    <w:rsid w:val="0010777E"/>
    <w:rsid w:val="00116CA2"/>
    <w:rsid w:val="00135634"/>
    <w:rsid w:val="00135A77"/>
    <w:rsid w:val="00142BDE"/>
    <w:rsid w:val="0015345E"/>
    <w:rsid w:val="00170041"/>
    <w:rsid w:val="0018028B"/>
    <w:rsid w:val="001B6492"/>
    <w:rsid w:val="00205007"/>
    <w:rsid w:val="00217ABC"/>
    <w:rsid w:val="00256527"/>
    <w:rsid w:val="00263FF9"/>
    <w:rsid w:val="00277D08"/>
    <w:rsid w:val="002805F4"/>
    <w:rsid w:val="002973CA"/>
    <w:rsid w:val="002B1D5C"/>
    <w:rsid w:val="00334125"/>
    <w:rsid w:val="0036317E"/>
    <w:rsid w:val="00366A48"/>
    <w:rsid w:val="003863E8"/>
    <w:rsid w:val="00387207"/>
    <w:rsid w:val="003B6CD4"/>
    <w:rsid w:val="003C1AAD"/>
    <w:rsid w:val="003D4702"/>
    <w:rsid w:val="003F5AD0"/>
    <w:rsid w:val="003F6028"/>
    <w:rsid w:val="00407D86"/>
    <w:rsid w:val="004201AC"/>
    <w:rsid w:val="00423211"/>
    <w:rsid w:val="00425E6A"/>
    <w:rsid w:val="00447299"/>
    <w:rsid w:val="00457F63"/>
    <w:rsid w:val="00467CE0"/>
    <w:rsid w:val="004707E4"/>
    <w:rsid w:val="004735A6"/>
    <w:rsid w:val="004C53F6"/>
    <w:rsid w:val="004D036B"/>
    <w:rsid w:val="004D0CC7"/>
    <w:rsid w:val="004D4E94"/>
    <w:rsid w:val="00514B88"/>
    <w:rsid w:val="005216E2"/>
    <w:rsid w:val="00541843"/>
    <w:rsid w:val="00551758"/>
    <w:rsid w:val="00565D70"/>
    <w:rsid w:val="00576235"/>
    <w:rsid w:val="0057719D"/>
    <w:rsid w:val="00580AA7"/>
    <w:rsid w:val="005A6A35"/>
    <w:rsid w:val="005A758A"/>
    <w:rsid w:val="005C0139"/>
    <w:rsid w:val="005C2A8D"/>
    <w:rsid w:val="005C692C"/>
    <w:rsid w:val="005C76FA"/>
    <w:rsid w:val="005D5A75"/>
    <w:rsid w:val="005E7727"/>
    <w:rsid w:val="00603050"/>
    <w:rsid w:val="00613B2D"/>
    <w:rsid w:val="006221A8"/>
    <w:rsid w:val="00632D84"/>
    <w:rsid w:val="00643647"/>
    <w:rsid w:val="006B4C83"/>
    <w:rsid w:val="006E25C7"/>
    <w:rsid w:val="006E3529"/>
    <w:rsid w:val="006E385A"/>
    <w:rsid w:val="006F10E4"/>
    <w:rsid w:val="007114C3"/>
    <w:rsid w:val="00716E8E"/>
    <w:rsid w:val="007323B8"/>
    <w:rsid w:val="00741E8B"/>
    <w:rsid w:val="00742D85"/>
    <w:rsid w:val="0076297A"/>
    <w:rsid w:val="00766A6B"/>
    <w:rsid w:val="00771D1B"/>
    <w:rsid w:val="00786192"/>
    <w:rsid w:val="0079128E"/>
    <w:rsid w:val="007B44DC"/>
    <w:rsid w:val="007C2539"/>
    <w:rsid w:val="007C55DC"/>
    <w:rsid w:val="007D761E"/>
    <w:rsid w:val="00800E6D"/>
    <w:rsid w:val="00806AD3"/>
    <w:rsid w:val="00821EE7"/>
    <w:rsid w:val="00845504"/>
    <w:rsid w:val="00846448"/>
    <w:rsid w:val="00887F75"/>
    <w:rsid w:val="00897065"/>
    <w:rsid w:val="008A48FA"/>
    <w:rsid w:val="008A5021"/>
    <w:rsid w:val="008B15D7"/>
    <w:rsid w:val="008C1364"/>
    <w:rsid w:val="008C1784"/>
    <w:rsid w:val="008C6ED2"/>
    <w:rsid w:val="008E0081"/>
    <w:rsid w:val="008E32F5"/>
    <w:rsid w:val="008E5099"/>
    <w:rsid w:val="008F021C"/>
    <w:rsid w:val="00900777"/>
    <w:rsid w:val="0093073B"/>
    <w:rsid w:val="00960313"/>
    <w:rsid w:val="00965F07"/>
    <w:rsid w:val="00970BC3"/>
    <w:rsid w:val="00971CE9"/>
    <w:rsid w:val="00974858"/>
    <w:rsid w:val="00974E0A"/>
    <w:rsid w:val="009B222A"/>
    <w:rsid w:val="009B4783"/>
    <w:rsid w:val="009C1BB5"/>
    <w:rsid w:val="009C3466"/>
    <w:rsid w:val="009D1B09"/>
    <w:rsid w:val="009E7BB2"/>
    <w:rsid w:val="00A010B9"/>
    <w:rsid w:val="00A0353B"/>
    <w:rsid w:val="00A1474C"/>
    <w:rsid w:val="00A26906"/>
    <w:rsid w:val="00A4164C"/>
    <w:rsid w:val="00A636E2"/>
    <w:rsid w:val="00A8267D"/>
    <w:rsid w:val="00A91948"/>
    <w:rsid w:val="00A9326F"/>
    <w:rsid w:val="00A93A64"/>
    <w:rsid w:val="00AA1D13"/>
    <w:rsid w:val="00AA3B2A"/>
    <w:rsid w:val="00AA5C0A"/>
    <w:rsid w:val="00AC1A0F"/>
    <w:rsid w:val="00AD14F2"/>
    <w:rsid w:val="00AD27DE"/>
    <w:rsid w:val="00AD3EE2"/>
    <w:rsid w:val="00AE2315"/>
    <w:rsid w:val="00AF4A96"/>
    <w:rsid w:val="00B11ADD"/>
    <w:rsid w:val="00B9140D"/>
    <w:rsid w:val="00B935D9"/>
    <w:rsid w:val="00BA3536"/>
    <w:rsid w:val="00BB0DB0"/>
    <w:rsid w:val="00BC6D13"/>
    <w:rsid w:val="00BD226E"/>
    <w:rsid w:val="00BE073D"/>
    <w:rsid w:val="00C05113"/>
    <w:rsid w:val="00C062B0"/>
    <w:rsid w:val="00C10C4F"/>
    <w:rsid w:val="00C202FE"/>
    <w:rsid w:val="00C34DC8"/>
    <w:rsid w:val="00C44F2E"/>
    <w:rsid w:val="00C4512B"/>
    <w:rsid w:val="00C65F31"/>
    <w:rsid w:val="00C66715"/>
    <w:rsid w:val="00C86322"/>
    <w:rsid w:val="00C95EE7"/>
    <w:rsid w:val="00C9799C"/>
    <w:rsid w:val="00CB26E2"/>
    <w:rsid w:val="00CB435C"/>
    <w:rsid w:val="00CB78B8"/>
    <w:rsid w:val="00CC1560"/>
    <w:rsid w:val="00CD0F21"/>
    <w:rsid w:val="00CD2A83"/>
    <w:rsid w:val="00CF5F6A"/>
    <w:rsid w:val="00CF6EF9"/>
    <w:rsid w:val="00D16B82"/>
    <w:rsid w:val="00D2666E"/>
    <w:rsid w:val="00D501B0"/>
    <w:rsid w:val="00D63508"/>
    <w:rsid w:val="00D70167"/>
    <w:rsid w:val="00D83AA0"/>
    <w:rsid w:val="00D87B22"/>
    <w:rsid w:val="00D93034"/>
    <w:rsid w:val="00DA0BCC"/>
    <w:rsid w:val="00DC00F9"/>
    <w:rsid w:val="00DD476E"/>
    <w:rsid w:val="00E00F1F"/>
    <w:rsid w:val="00E01E3C"/>
    <w:rsid w:val="00E167A0"/>
    <w:rsid w:val="00E21F73"/>
    <w:rsid w:val="00E32D98"/>
    <w:rsid w:val="00E43414"/>
    <w:rsid w:val="00E51E77"/>
    <w:rsid w:val="00E54A66"/>
    <w:rsid w:val="00E5774B"/>
    <w:rsid w:val="00E8121D"/>
    <w:rsid w:val="00E82C94"/>
    <w:rsid w:val="00EA77E3"/>
    <w:rsid w:val="00EC0211"/>
    <w:rsid w:val="00ED0256"/>
    <w:rsid w:val="00ED0DA7"/>
    <w:rsid w:val="00ED21A0"/>
    <w:rsid w:val="00EF6B02"/>
    <w:rsid w:val="00F05932"/>
    <w:rsid w:val="00F075AE"/>
    <w:rsid w:val="00F1347C"/>
    <w:rsid w:val="00F75612"/>
    <w:rsid w:val="00F80202"/>
    <w:rsid w:val="00F915D8"/>
    <w:rsid w:val="00FA490E"/>
    <w:rsid w:val="00FA66BA"/>
    <w:rsid w:val="00FC3D20"/>
    <w:rsid w:val="00FF2E4D"/>
    <w:rsid w:val="02E57613"/>
    <w:rsid w:val="07DB4775"/>
    <w:rsid w:val="08F07F5B"/>
    <w:rsid w:val="0AAD14F9"/>
    <w:rsid w:val="0BAF665A"/>
    <w:rsid w:val="0FED6590"/>
    <w:rsid w:val="11AA7966"/>
    <w:rsid w:val="141679B1"/>
    <w:rsid w:val="159E2C66"/>
    <w:rsid w:val="15B85137"/>
    <w:rsid w:val="16041BA6"/>
    <w:rsid w:val="187854F2"/>
    <w:rsid w:val="1D2A530E"/>
    <w:rsid w:val="1DFF4B09"/>
    <w:rsid w:val="1F0653D6"/>
    <w:rsid w:val="27633C24"/>
    <w:rsid w:val="2AC16902"/>
    <w:rsid w:val="2BDB0938"/>
    <w:rsid w:val="2C9024A3"/>
    <w:rsid w:val="2DE7759F"/>
    <w:rsid w:val="2FB35B1D"/>
    <w:rsid w:val="34220DB4"/>
    <w:rsid w:val="361B61C7"/>
    <w:rsid w:val="3A512225"/>
    <w:rsid w:val="3B797920"/>
    <w:rsid w:val="3ECA4CD4"/>
    <w:rsid w:val="40475A64"/>
    <w:rsid w:val="43FB64F2"/>
    <w:rsid w:val="44586DC0"/>
    <w:rsid w:val="46F05C86"/>
    <w:rsid w:val="479E0D55"/>
    <w:rsid w:val="48805DD2"/>
    <w:rsid w:val="492963C6"/>
    <w:rsid w:val="4A0D2464"/>
    <w:rsid w:val="4AFE195C"/>
    <w:rsid w:val="4B304B48"/>
    <w:rsid w:val="4B5562A0"/>
    <w:rsid w:val="4BC323F1"/>
    <w:rsid w:val="4C9B5A25"/>
    <w:rsid w:val="4EE57FD2"/>
    <w:rsid w:val="50804728"/>
    <w:rsid w:val="51632454"/>
    <w:rsid w:val="52732B71"/>
    <w:rsid w:val="532E3A5B"/>
    <w:rsid w:val="5B0203A0"/>
    <w:rsid w:val="60FD15F7"/>
    <w:rsid w:val="63A75247"/>
    <w:rsid w:val="63E11CB1"/>
    <w:rsid w:val="67AB0CED"/>
    <w:rsid w:val="67D45B94"/>
    <w:rsid w:val="6A00000E"/>
    <w:rsid w:val="6A7A5576"/>
    <w:rsid w:val="6D535020"/>
    <w:rsid w:val="6E0005AE"/>
    <w:rsid w:val="6ED3511D"/>
    <w:rsid w:val="6FB849AC"/>
    <w:rsid w:val="714D5A47"/>
    <w:rsid w:val="727857FE"/>
    <w:rsid w:val="74A44FDB"/>
    <w:rsid w:val="75856B41"/>
    <w:rsid w:val="7AE845AB"/>
    <w:rsid w:val="7CCD4AFB"/>
    <w:rsid w:val="7D2423F5"/>
    <w:rsid w:val="7E764C7A"/>
    <w:rsid w:val="7F5B1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4">
    <w:name w:val="annotation text"/>
    <w:basedOn w:val="1"/>
    <w:link w:val="21"/>
    <w:qFormat/>
    <w:uiPriority w:val="0"/>
    <w:pPr>
      <w:jc w:val="left"/>
    </w:pPr>
  </w:style>
  <w:style w:type="paragraph" w:styleId="5">
    <w:name w:val="Balloon Text"/>
    <w:basedOn w:val="1"/>
    <w:link w:val="16"/>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20"/>
    <w:qFormat/>
    <w:uiPriority w:val="0"/>
    <w:pPr>
      <w:spacing w:line="594" w:lineRule="exact"/>
      <w:ind w:firstLine="200" w:firstLineChars="200"/>
      <w:jc w:val="left"/>
      <w:outlineLvl w:val="1"/>
    </w:pPr>
    <w:rPr>
      <w:rFonts w:ascii="Times New Roman" w:hAnsi="Times New Roman" w:eastAsia="黑体" w:cstheme="minorBidi"/>
      <w:bCs/>
      <w:kern w:val="28"/>
      <w:sz w:val="32"/>
      <w:szCs w:val="32"/>
    </w:rPr>
  </w:style>
  <w:style w:type="paragraph" w:styleId="9">
    <w:name w:val="Normal (Web)"/>
    <w:basedOn w:val="1"/>
    <w:unhideWhenUsed/>
    <w:qFormat/>
    <w:uiPriority w:val="99"/>
    <w:pPr>
      <w:spacing w:beforeAutospacing="1" w:afterAutospacing="1"/>
      <w:jc w:val="left"/>
    </w:pPr>
    <w:rPr>
      <w:rFonts w:asciiTheme="minorHAnsi" w:hAnsiTheme="minorHAnsi" w:eastAsiaTheme="minorEastAsia"/>
      <w:kern w:val="0"/>
      <w:sz w:val="24"/>
      <w:szCs w:val="22"/>
    </w:rPr>
  </w:style>
  <w:style w:type="paragraph" w:styleId="10">
    <w:name w:val="annotation subject"/>
    <w:basedOn w:val="4"/>
    <w:next w:val="4"/>
    <w:link w:val="22"/>
    <w:qFormat/>
    <w:uiPriority w:val="0"/>
    <w:rPr>
      <w:b/>
      <w:bCs/>
    </w:rPr>
  </w:style>
  <w:style w:type="character" w:styleId="13">
    <w:name w:val="Strong"/>
    <w:basedOn w:val="12"/>
    <w:qFormat/>
    <w:uiPriority w:val="0"/>
    <w:rPr>
      <w:b/>
    </w:rPr>
  </w:style>
  <w:style w:type="character" w:styleId="14">
    <w:name w:val="annotation reference"/>
    <w:basedOn w:val="12"/>
    <w:qFormat/>
    <w:uiPriority w:val="0"/>
    <w:rPr>
      <w:sz w:val="21"/>
      <w:szCs w:val="21"/>
    </w:rPr>
  </w:style>
  <w:style w:type="paragraph" w:customStyle="1" w:styleId="15">
    <w:name w:val="列出段落2"/>
    <w:basedOn w:val="1"/>
    <w:qFormat/>
    <w:uiPriority w:val="34"/>
    <w:pPr>
      <w:ind w:firstLine="420" w:firstLineChars="200"/>
    </w:pPr>
  </w:style>
  <w:style w:type="character" w:customStyle="1" w:styleId="16">
    <w:name w:val="批注框文本 字符"/>
    <w:basedOn w:val="12"/>
    <w:link w:val="5"/>
    <w:qFormat/>
    <w:uiPriority w:val="0"/>
    <w:rPr>
      <w:rFonts w:ascii="Calibri" w:hAnsi="Calibri" w:eastAsia="宋体" w:cs="Times New Roman"/>
      <w:kern w:val="2"/>
      <w:sz w:val="18"/>
      <w:szCs w:val="18"/>
    </w:rPr>
  </w:style>
  <w:style w:type="paragraph" w:styleId="17">
    <w:name w:val="List Paragraph"/>
    <w:basedOn w:val="1"/>
    <w:qFormat/>
    <w:uiPriority w:val="34"/>
    <w:pPr>
      <w:ind w:firstLine="420" w:firstLineChars="200"/>
    </w:pPr>
    <w:rPr>
      <w:szCs w:val="22"/>
    </w:rPr>
  </w:style>
  <w:style w:type="character" w:customStyle="1" w:styleId="18">
    <w:name w:val="页眉 字符"/>
    <w:basedOn w:val="12"/>
    <w:link w:val="7"/>
    <w:qFormat/>
    <w:uiPriority w:val="0"/>
    <w:rPr>
      <w:rFonts w:ascii="Calibri" w:hAnsi="Calibri" w:eastAsia="宋体" w:cs="Times New Roman"/>
      <w:kern w:val="2"/>
      <w:sz w:val="18"/>
      <w:szCs w:val="18"/>
    </w:rPr>
  </w:style>
  <w:style w:type="character" w:customStyle="1" w:styleId="19">
    <w:name w:val="页脚 字符"/>
    <w:basedOn w:val="12"/>
    <w:link w:val="6"/>
    <w:qFormat/>
    <w:uiPriority w:val="99"/>
    <w:rPr>
      <w:rFonts w:ascii="Calibri" w:hAnsi="Calibri" w:eastAsia="宋体" w:cs="Times New Roman"/>
      <w:kern w:val="2"/>
      <w:sz w:val="18"/>
      <w:szCs w:val="18"/>
    </w:rPr>
  </w:style>
  <w:style w:type="character" w:customStyle="1" w:styleId="20">
    <w:name w:val="副标题 字符"/>
    <w:basedOn w:val="12"/>
    <w:link w:val="8"/>
    <w:qFormat/>
    <w:uiPriority w:val="0"/>
    <w:rPr>
      <w:rFonts w:ascii="Times New Roman" w:hAnsi="Times New Roman" w:eastAsia="黑体"/>
      <w:bCs/>
      <w:kern w:val="28"/>
      <w:sz w:val="32"/>
      <w:szCs w:val="32"/>
    </w:rPr>
  </w:style>
  <w:style w:type="character" w:customStyle="1" w:styleId="21">
    <w:name w:val="批注文字 字符"/>
    <w:basedOn w:val="12"/>
    <w:link w:val="4"/>
    <w:qFormat/>
    <w:uiPriority w:val="0"/>
    <w:rPr>
      <w:rFonts w:ascii="Calibri" w:hAnsi="Calibri" w:eastAsia="宋体" w:cs="Times New Roman"/>
      <w:kern w:val="2"/>
      <w:sz w:val="21"/>
      <w:szCs w:val="24"/>
    </w:rPr>
  </w:style>
  <w:style w:type="character" w:customStyle="1" w:styleId="22">
    <w:name w:val="批注主题 字符"/>
    <w:basedOn w:val="21"/>
    <w:link w:val="10"/>
    <w:qFormat/>
    <w:uiPriority w:val="0"/>
    <w:rPr>
      <w:rFonts w:ascii="Calibri" w:hAnsi="Calibri" w:eastAsia="宋体" w:cs="Times New Roman"/>
      <w:b/>
      <w:bCs/>
      <w:kern w:val="2"/>
      <w:sz w:val="21"/>
      <w:szCs w:val="24"/>
    </w:rPr>
  </w:style>
  <w:style w:type="paragraph" w:customStyle="1" w:styleId="23">
    <w:name w:val="列出段落1"/>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64</Words>
  <Characters>65</Characters>
  <Lines>16</Lines>
  <Paragraphs>4</Paragraphs>
  <TotalTime>8</TotalTime>
  <ScaleCrop>false</ScaleCrop>
  <LinksUpToDate>false</LinksUpToDate>
  <CharactersWithSpaces>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2018-10-19T06:08:00Z</dcterms:created>
  <dc:creator>Anonymous</dc:creator>
  <cp:lastModifiedBy>Administrator</cp:lastModifiedBy>
  <dcterms:modified xsi:type="dcterms:W3CDTF">2023-11-28T00:47:33Z</dcterms:modified>
  <dc:title>附件1</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665DFCFFE0C14853875C9B62468006AB</vt:lpwstr>
  </property>
</Properties>
</file>