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ˎ̥" w:eastAsia="黑体" w:cs="Arial"/>
          <w:color w:val="auto"/>
          <w:sz w:val="32"/>
          <w:szCs w:val="32"/>
          <w:lang w:val="en-US" w:eastAsia="zh-CN"/>
        </w:rPr>
      </w:pPr>
      <w:r>
        <w:rPr>
          <w:rFonts w:hint="eastAsia" w:ascii="黑体" w:hAnsi="ˎ̥" w:eastAsia="黑体" w:cs="Arial"/>
          <w:color w:val="auto"/>
          <w:sz w:val="32"/>
          <w:szCs w:val="32"/>
        </w:rPr>
        <w:t>附件4</w:t>
      </w:r>
      <w:r>
        <w:rPr>
          <w:rFonts w:hint="eastAsia" w:ascii="黑体" w:hAnsi="ˎ̥" w:eastAsia="黑体" w:cs="Arial"/>
          <w:color w:val="auto"/>
          <w:sz w:val="32"/>
          <w:szCs w:val="32"/>
          <w:lang w:val="en-US" w:eastAsia="zh-CN"/>
        </w:rPr>
        <w:t>:</w:t>
      </w:r>
    </w:p>
    <w:p>
      <w:pPr>
        <w:spacing w:line="560" w:lineRule="exact"/>
        <w:jc w:val="center"/>
        <w:rPr>
          <w:rFonts w:hint="eastAsia" w:ascii="方正小标宋简体" w:hAnsi="方正小标宋简体" w:eastAsia="方正小标宋简体" w:cs="方正小标宋简体"/>
          <w:b/>
          <w:color w:val="auto"/>
          <w:sz w:val="44"/>
          <w:szCs w:val="44"/>
          <w:shd w:val="clear" w:color="auto" w:fill="FFFFFF"/>
        </w:rPr>
      </w:pPr>
      <w:r>
        <w:rPr>
          <w:rFonts w:hint="eastAsia" w:ascii="方正小标宋简体" w:hAnsi="方正小标宋简体" w:eastAsia="方正小标宋简体" w:cs="方正小标宋简体"/>
          <w:color w:val="auto"/>
          <w:sz w:val="44"/>
          <w:szCs w:val="44"/>
        </w:rPr>
        <w:t>关于部分检验项目的说明</w:t>
      </w:r>
    </w:p>
    <w:p>
      <w:pPr>
        <w:pStyle w:val="7"/>
        <w:keepNext w:val="0"/>
        <w:keepLines w:val="0"/>
        <w:pageBreakBefore w:val="0"/>
        <w:widowControl/>
        <w:numPr>
          <w:ilvl w:val="0"/>
          <w:numId w:val="0"/>
        </w:numPr>
        <w:kinsoku/>
        <w:wordWrap w:val="0"/>
        <w:overflowPunct/>
        <w:topLinePunct w:val="0"/>
        <w:autoSpaceDE/>
        <w:autoSpaceDN/>
        <w:bidi w:val="0"/>
        <w:adjustRightInd/>
        <w:snapToGrid/>
        <w:spacing w:before="0" w:beforeLines="0" w:beforeAutospacing="0" w:after="0" w:afterLines="0" w:afterAutospacing="0" w:line="360" w:lineRule="auto"/>
        <w:ind w:firstLine="640" w:firstLineChars="200"/>
        <w:textAlignment w:val="auto"/>
        <w:rPr>
          <w:rFonts w:hint="eastAsia" w:ascii="黑体" w:hAnsi="黑体" w:eastAsia="黑体" w:cs="黑体"/>
          <w:b w:val="0"/>
          <w:bCs w:val="0"/>
          <w:color w:val="auto"/>
          <w:kern w:val="2"/>
          <w:sz w:val="32"/>
          <w:szCs w:val="32"/>
          <w:lang w:val="en-US" w:eastAsia="zh-CN" w:bidi="ar-SA"/>
        </w:rPr>
      </w:pPr>
    </w:p>
    <w:p>
      <w:pPr>
        <w:pStyle w:val="7"/>
        <w:keepNext w:val="0"/>
        <w:keepLines w:val="0"/>
        <w:pageBreakBefore w:val="0"/>
        <w:widowControl/>
        <w:numPr>
          <w:ilvl w:val="0"/>
          <w:numId w:val="0"/>
        </w:numPr>
        <w:kinsoku/>
        <w:wordWrap w:val="0"/>
        <w:overflowPunct/>
        <w:topLinePunct w:val="0"/>
        <w:autoSpaceDE/>
        <w:autoSpaceDN/>
        <w:bidi w:val="0"/>
        <w:adjustRightInd/>
        <w:snapToGrid/>
        <w:spacing w:before="0" w:beforeLines="0" w:beforeAutospacing="0" w:after="0" w:afterLines="0" w:afterAutospacing="0" w:line="360" w:lineRule="auto"/>
        <w:ind w:firstLine="640" w:firstLineChars="200"/>
        <w:textAlignment w:val="auto"/>
        <w:rPr>
          <w:rFonts w:hint="eastAsia" w:ascii="黑体" w:hAnsi="黑体" w:eastAsia="黑体" w:cs="黑体"/>
          <w:b w:val="0"/>
          <w:bCs w:val="0"/>
          <w:color w:val="auto"/>
          <w:kern w:val="2"/>
          <w:sz w:val="32"/>
          <w:szCs w:val="32"/>
          <w:lang w:val="en-US" w:eastAsia="zh-CN" w:bidi="ar-SA"/>
        </w:rPr>
      </w:pPr>
      <w:r>
        <w:rPr>
          <w:rFonts w:hint="eastAsia" w:ascii="黑体" w:hAnsi="黑体" w:eastAsia="黑体" w:cs="黑体"/>
          <w:b w:val="0"/>
          <w:bCs w:val="0"/>
          <w:color w:val="auto"/>
          <w:kern w:val="2"/>
          <w:sz w:val="32"/>
          <w:szCs w:val="32"/>
          <w:lang w:val="en-US" w:eastAsia="zh-CN" w:bidi="ar-SA"/>
        </w:rPr>
        <w:t>一、铝的残留量（干样品，以Al计）</w:t>
      </w:r>
    </w:p>
    <w:p>
      <w:pPr>
        <w:pStyle w:val="7"/>
        <w:keepNext w:val="0"/>
        <w:keepLines w:val="0"/>
        <w:pageBreakBefore w:val="0"/>
        <w:widowControl/>
        <w:numPr>
          <w:ilvl w:val="0"/>
          <w:numId w:val="0"/>
        </w:numPr>
        <w:kinsoku/>
        <w:wordWrap w:val="0"/>
        <w:overflowPunct/>
        <w:topLinePunct w:val="0"/>
        <w:autoSpaceDE/>
        <w:autoSpaceDN/>
        <w:bidi w:val="0"/>
        <w:adjustRightInd/>
        <w:snapToGrid/>
        <w:spacing w:before="0" w:beforeLines="0" w:beforeAutospacing="0" w:after="0" w:afterLines="0" w:afterAutospacing="0" w:line="360" w:lineRule="auto"/>
        <w:ind w:firstLine="660" w:firstLineChars="200"/>
        <w:textAlignment w:val="auto"/>
        <w:rPr>
          <w:rFonts w:hint="default" w:ascii="仿宋" w:hAnsi="仿宋" w:eastAsia="仿宋" w:cs="仿宋"/>
          <w:i w:val="0"/>
          <w:caps w:val="0"/>
          <w:color w:val="auto"/>
          <w:spacing w:val="5"/>
          <w:sz w:val="32"/>
          <w:szCs w:val="32"/>
          <w:shd w:val="clear" w:fill="FFFFFF"/>
          <w:lang w:val="en-US" w:eastAsia="zh-CN"/>
        </w:rPr>
      </w:pPr>
      <w:r>
        <w:rPr>
          <w:rFonts w:hint="default" w:ascii="仿宋" w:hAnsi="仿宋" w:eastAsia="仿宋" w:cs="仿宋"/>
          <w:i w:val="0"/>
          <w:caps w:val="0"/>
          <w:color w:val="auto"/>
          <w:spacing w:val="5"/>
          <w:sz w:val="32"/>
          <w:szCs w:val="32"/>
          <w:shd w:val="clear" w:fill="FFFFFF"/>
          <w:lang w:val="en-US" w:eastAsia="zh-CN"/>
        </w:rPr>
        <w:t>硫酸铝钾（又名钾明矾）、硫酸铝铵（又名铵明矶）是食品加工中常用的食品添加剂，使用后会产生铝残留。</w:t>
      </w:r>
      <w:bookmarkStart w:id="0" w:name="_GoBack"/>
      <w:bookmarkEnd w:id="0"/>
      <w:r>
        <w:rPr>
          <w:rFonts w:hint="default" w:ascii="仿宋" w:hAnsi="仿宋" w:eastAsia="仿宋" w:cs="仿宋"/>
          <w:i w:val="0"/>
          <w:caps w:val="0"/>
          <w:color w:val="auto"/>
          <w:spacing w:val="5"/>
          <w:sz w:val="32"/>
          <w:szCs w:val="32"/>
          <w:shd w:val="clear" w:fill="FFFFFF"/>
          <w:lang w:val="en-US" w:eastAsia="zh-CN"/>
        </w:rPr>
        <w:t>含铝食品添加剂可用作膨松剂、稳定剂、抗结剂和染色料等，很多国家如美国、欧盟成员国、澳洲、新西兰、日本和我国等都允许使用含铝食品添加剂。《食品安全国家标准食品添加剂使用标准》（GB 2760—2014）中规定，硫酸铝钾、硫酸铝铵作为膨松剂、稳定剂可应用于豆类制品，其添加量“按生产需要适量添加”，而在终产品（干样品）中的铝残留最大限量不得超过100mg/kg。铝残留量超标的原因可能是，个别企业为改善产品口感，在生产加工过程中超限量、超范围使用含铝添加剂，或者其使用的复配添加剂中铝含量过高。长期摄入铝残留超标的食品，可能影响人体</w:t>
      </w:r>
      <w:r>
        <w:rPr>
          <w:rFonts w:hint="eastAsia" w:ascii="仿宋" w:hAnsi="仿宋" w:eastAsia="仿宋" w:cs="仿宋"/>
          <w:i w:val="0"/>
          <w:caps w:val="0"/>
          <w:color w:val="auto"/>
          <w:spacing w:val="5"/>
          <w:sz w:val="32"/>
          <w:szCs w:val="32"/>
          <w:shd w:val="clear" w:fill="FFFFFF"/>
          <w:lang w:val="en-US" w:eastAsia="zh-CN"/>
        </w:rPr>
        <w:t>身体健康</w:t>
      </w:r>
      <w:r>
        <w:rPr>
          <w:rFonts w:hint="default" w:ascii="仿宋" w:hAnsi="仿宋" w:eastAsia="仿宋" w:cs="仿宋"/>
          <w:i w:val="0"/>
          <w:caps w:val="0"/>
          <w:color w:val="auto"/>
          <w:spacing w:val="5"/>
          <w:sz w:val="32"/>
          <w:szCs w:val="32"/>
          <w:shd w:val="clear" w:fill="FFFFFF"/>
          <w:lang w:val="en-US" w:eastAsia="zh-CN"/>
        </w:rPr>
        <w:t>。</w:t>
      </w:r>
    </w:p>
    <w:p>
      <w:pPr>
        <w:pStyle w:val="7"/>
        <w:keepNext w:val="0"/>
        <w:keepLines w:val="0"/>
        <w:pageBreakBefore w:val="0"/>
        <w:widowControl/>
        <w:numPr>
          <w:ilvl w:val="0"/>
          <w:numId w:val="0"/>
        </w:numPr>
        <w:kinsoku/>
        <w:wordWrap w:val="0"/>
        <w:overflowPunct/>
        <w:topLinePunct w:val="0"/>
        <w:autoSpaceDE/>
        <w:autoSpaceDN/>
        <w:bidi w:val="0"/>
        <w:adjustRightInd/>
        <w:snapToGrid/>
        <w:spacing w:before="0" w:beforeLines="0" w:beforeAutospacing="0" w:after="0" w:afterLines="0" w:afterAutospacing="0" w:line="360" w:lineRule="auto"/>
        <w:ind w:firstLine="640" w:firstLineChars="200"/>
        <w:textAlignment w:val="auto"/>
        <w:rPr>
          <w:rFonts w:hint="default" w:ascii="黑体" w:hAnsi="黑体" w:eastAsia="黑体" w:cs="黑体"/>
          <w:b w:val="0"/>
          <w:bCs w:val="0"/>
          <w:color w:val="auto"/>
          <w:kern w:val="2"/>
          <w:sz w:val="32"/>
          <w:szCs w:val="32"/>
          <w:lang w:val="en-US" w:eastAsia="zh-CN" w:bidi="ar-SA"/>
        </w:rPr>
      </w:pPr>
      <w:r>
        <w:rPr>
          <w:rFonts w:hint="eastAsia" w:ascii="黑体" w:hAnsi="黑体" w:eastAsia="黑体" w:cs="黑体"/>
          <w:b w:val="0"/>
          <w:bCs w:val="0"/>
          <w:color w:val="auto"/>
          <w:kern w:val="2"/>
          <w:sz w:val="32"/>
          <w:szCs w:val="32"/>
          <w:lang w:val="en-US" w:eastAsia="zh-CN" w:bidi="ar-SA"/>
        </w:rPr>
        <w:t>二、</w:t>
      </w:r>
      <w:r>
        <w:rPr>
          <w:rFonts w:hint="default" w:ascii="黑体" w:hAnsi="黑体" w:eastAsia="黑体" w:cs="黑体"/>
          <w:b w:val="0"/>
          <w:bCs w:val="0"/>
          <w:color w:val="auto"/>
          <w:kern w:val="2"/>
          <w:sz w:val="32"/>
          <w:szCs w:val="32"/>
          <w:lang w:val="en-US" w:eastAsia="zh-CN" w:bidi="ar-SA"/>
        </w:rPr>
        <w:t>二氧化硫残留量</w:t>
      </w:r>
    </w:p>
    <w:p>
      <w:pPr>
        <w:pStyle w:val="7"/>
        <w:keepNext w:val="0"/>
        <w:keepLines w:val="0"/>
        <w:pageBreakBefore w:val="0"/>
        <w:widowControl/>
        <w:numPr>
          <w:ilvl w:val="0"/>
          <w:numId w:val="0"/>
        </w:numPr>
        <w:kinsoku/>
        <w:wordWrap w:val="0"/>
        <w:overflowPunct/>
        <w:topLinePunct w:val="0"/>
        <w:autoSpaceDE/>
        <w:autoSpaceDN/>
        <w:bidi w:val="0"/>
        <w:adjustRightInd/>
        <w:snapToGrid/>
        <w:spacing w:before="0" w:beforeLines="0" w:beforeAutospacing="0" w:after="0" w:afterLines="0" w:afterAutospacing="0" w:line="360" w:lineRule="auto"/>
        <w:ind w:firstLine="660" w:firstLineChars="200"/>
        <w:textAlignment w:val="auto"/>
        <w:rPr>
          <w:rFonts w:hint="default" w:ascii="仿宋" w:hAnsi="仿宋" w:eastAsia="仿宋" w:cs="仿宋"/>
          <w:i w:val="0"/>
          <w:caps w:val="0"/>
          <w:color w:val="auto"/>
          <w:spacing w:val="5"/>
          <w:sz w:val="32"/>
          <w:szCs w:val="32"/>
          <w:shd w:val="clear" w:fill="FFFFFF"/>
          <w:lang w:val="en-US" w:eastAsia="zh-CN"/>
        </w:rPr>
      </w:pPr>
      <w:r>
        <w:rPr>
          <w:rFonts w:hint="default" w:ascii="仿宋" w:hAnsi="仿宋" w:eastAsia="仿宋" w:cs="仿宋"/>
          <w:i w:val="0"/>
          <w:caps w:val="0"/>
          <w:color w:val="auto"/>
          <w:spacing w:val="5"/>
          <w:sz w:val="32"/>
          <w:szCs w:val="32"/>
          <w:shd w:val="clear" w:fill="FFFFFF"/>
          <w:lang w:val="en-US" w:eastAsia="zh-CN"/>
        </w:rPr>
        <w:t>二氧化硫（以及焦亚硫酸钾、亚硫酸钠等添加剂）对食品有漂白、防腐和抗氧化作用，是食品加工中常用的漂白剂和防腐剂，使用后均产生二氧化硫残留。《食品安全国家标准食品添加剂使用标准》（GB 2760—2014）中规定，蔬菜制品中二氧化硫残留量的最大限量值为0.</w:t>
      </w:r>
      <w:r>
        <w:rPr>
          <w:rFonts w:hint="eastAsia" w:ascii="仿宋" w:hAnsi="仿宋" w:eastAsia="仿宋" w:cs="仿宋"/>
          <w:i w:val="0"/>
          <w:caps w:val="0"/>
          <w:color w:val="auto"/>
          <w:spacing w:val="5"/>
          <w:sz w:val="32"/>
          <w:szCs w:val="32"/>
          <w:shd w:val="clear" w:fill="FFFFFF"/>
          <w:lang w:val="en-US" w:eastAsia="zh-CN"/>
        </w:rPr>
        <w:t>1</w:t>
      </w:r>
      <w:r>
        <w:rPr>
          <w:rFonts w:hint="default" w:ascii="仿宋" w:hAnsi="仿宋" w:eastAsia="仿宋" w:cs="仿宋"/>
          <w:i w:val="0"/>
          <w:caps w:val="0"/>
          <w:color w:val="auto"/>
          <w:spacing w:val="5"/>
          <w:sz w:val="32"/>
          <w:szCs w:val="32"/>
          <w:shd w:val="clear" w:fill="FFFFFF"/>
          <w:lang w:val="en-US" w:eastAsia="zh-CN"/>
        </w:rPr>
        <w:t>g/kg。蔬菜制品中二氧化硫残留量超标原因可能是企业在加工过程中超限量使用亚硫酸盐等漂白剂，以达到漂白和防腐的目的所导致。摄入少量二氧化硫，可在人体内经酶转化后由尿液排出体外，一般不会对人体健康造成不良影响，但如果长期过量摄入二氧化硫，可能会对健康不利。</w:t>
      </w:r>
    </w:p>
    <w:p>
      <w:pPr>
        <w:pStyle w:val="7"/>
        <w:keepNext w:val="0"/>
        <w:keepLines w:val="0"/>
        <w:pageBreakBefore w:val="0"/>
        <w:widowControl/>
        <w:numPr>
          <w:ilvl w:val="0"/>
          <w:numId w:val="0"/>
        </w:numPr>
        <w:kinsoku/>
        <w:wordWrap w:val="0"/>
        <w:overflowPunct/>
        <w:topLinePunct w:val="0"/>
        <w:autoSpaceDE/>
        <w:autoSpaceDN/>
        <w:bidi w:val="0"/>
        <w:adjustRightInd/>
        <w:snapToGrid/>
        <w:spacing w:before="0" w:beforeLines="0" w:beforeAutospacing="0" w:after="0" w:afterLines="0" w:afterAutospacing="0" w:line="360" w:lineRule="auto"/>
        <w:ind w:firstLine="640" w:firstLineChars="200"/>
        <w:textAlignment w:val="auto"/>
        <w:rPr>
          <w:rFonts w:hint="default" w:ascii="黑体" w:hAnsi="黑体" w:eastAsia="黑体" w:cs="黑体"/>
          <w:b w:val="0"/>
          <w:bCs w:val="0"/>
          <w:color w:val="auto"/>
          <w:kern w:val="2"/>
          <w:sz w:val="32"/>
          <w:szCs w:val="32"/>
          <w:lang w:val="en-US" w:eastAsia="zh-CN" w:bidi="ar-SA"/>
        </w:rPr>
      </w:pPr>
      <w:r>
        <w:rPr>
          <w:rFonts w:hint="eastAsia" w:ascii="黑体" w:hAnsi="黑体" w:eastAsia="黑体" w:cs="黑体"/>
          <w:b w:val="0"/>
          <w:bCs w:val="0"/>
          <w:color w:val="auto"/>
          <w:kern w:val="2"/>
          <w:sz w:val="32"/>
          <w:szCs w:val="32"/>
          <w:lang w:val="en-US" w:eastAsia="zh-CN" w:bidi="ar-SA"/>
        </w:rPr>
        <w:t>三、</w:t>
      </w:r>
      <w:r>
        <w:rPr>
          <w:rFonts w:hint="default" w:ascii="黑体" w:hAnsi="黑体" w:eastAsia="黑体" w:cs="黑体"/>
          <w:b w:val="0"/>
          <w:bCs w:val="0"/>
          <w:color w:val="auto"/>
          <w:kern w:val="2"/>
          <w:sz w:val="32"/>
          <w:szCs w:val="32"/>
          <w:lang w:val="en-US" w:eastAsia="zh-CN" w:bidi="ar-SA"/>
        </w:rPr>
        <w:t>大肠菌群</w:t>
      </w:r>
    </w:p>
    <w:p>
      <w:pPr>
        <w:pStyle w:val="7"/>
        <w:keepNext w:val="0"/>
        <w:keepLines w:val="0"/>
        <w:pageBreakBefore w:val="0"/>
        <w:widowControl/>
        <w:numPr>
          <w:ilvl w:val="0"/>
          <w:numId w:val="0"/>
        </w:numPr>
        <w:kinsoku/>
        <w:wordWrap w:val="0"/>
        <w:overflowPunct/>
        <w:topLinePunct w:val="0"/>
        <w:autoSpaceDE/>
        <w:autoSpaceDN/>
        <w:bidi w:val="0"/>
        <w:adjustRightInd/>
        <w:snapToGrid/>
        <w:spacing w:before="0" w:beforeLines="0" w:beforeAutospacing="0" w:after="0" w:afterLines="0" w:afterAutospacing="0" w:line="360" w:lineRule="auto"/>
        <w:ind w:firstLine="660" w:firstLineChars="200"/>
        <w:textAlignment w:val="auto"/>
        <w:rPr>
          <w:rFonts w:hint="eastAsia" w:ascii="仿宋" w:hAnsi="仿宋" w:eastAsia="仿宋" w:cs="仿宋"/>
          <w:i w:val="0"/>
          <w:caps w:val="0"/>
          <w:color w:val="auto"/>
          <w:spacing w:val="5"/>
          <w:sz w:val="32"/>
          <w:szCs w:val="32"/>
          <w:shd w:val="clear" w:fill="FFFFFF"/>
          <w:lang w:val="en-US" w:eastAsia="zh-CN"/>
        </w:rPr>
      </w:pPr>
      <w:r>
        <w:rPr>
          <w:rFonts w:hint="eastAsia" w:ascii="仿宋" w:hAnsi="仿宋" w:eastAsia="仿宋" w:cs="仿宋"/>
          <w:i w:val="0"/>
          <w:caps w:val="0"/>
          <w:color w:val="auto"/>
          <w:spacing w:val="5"/>
          <w:sz w:val="32"/>
          <w:szCs w:val="32"/>
          <w:shd w:val="clear" w:fill="FFFFFF"/>
          <w:lang w:val="en-US" w:eastAsia="zh-CN"/>
        </w:rPr>
        <w:t>大肠菌群是国内外通用的食品污染常用指示菌之一。消毒餐（饮）具中大肠菌群不合格，说明消毒餐（饮）具存在卫生质量缺陷，提示该消毒餐（饮）具有被肠道致病菌污染的可能，对人体健康具有潜在危害，尤其对老人、小孩的危害更大。《食品安全国家标准 消毒餐（饮）具》（GB 14934-2016）中规定，大肠菌群为不得检出（/50cm2）。造成大肠菌群超标的原因，可能是餐饮具在保洁过程中受到人员、工具等生产设备的污染和餐饮具灭菌不彻底而导致。整体来说和不注意卫生有关，也不排除餐具存放的地方不干净，造成二次污染等。</w:t>
      </w:r>
    </w:p>
    <w:p>
      <w:pPr>
        <w:pStyle w:val="7"/>
        <w:keepNext w:val="0"/>
        <w:keepLines w:val="0"/>
        <w:pageBreakBefore w:val="0"/>
        <w:widowControl/>
        <w:numPr>
          <w:ilvl w:val="0"/>
          <w:numId w:val="0"/>
        </w:numPr>
        <w:kinsoku/>
        <w:wordWrap w:val="0"/>
        <w:overflowPunct/>
        <w:topLinePunct w:val="0"/>
        <w:autoSpaceDE/>
        <w:autoSpaceDN/>
        <w:bidi w:val="0"/>
        <w:adjustRightInd/>
        <w:snapToGrid/>
        <w:spacing w:before="0" w:beforeLines="0" w:beforeAutospacing="0" w:after="0" w:afterLines="0" w:afterAutospacing="0" w:line="360" w:lineRule="auto"/>
        <w:textAlignment w:val="auto"/>
        <w:rPr>
          <w:rFonts w:hint="default" w:ascii="黑体" w:hAnsi="黑体" w:eastAsia="黑体" w:cs="黑体"/>
          <w:b w:val="0"/>
          <w:bCs w:val="0"/>
          <w:color w:val="auto"/>
          <w:kern w:val="2"/>
          <w:sz w:val="32"/>
          <w:szCs w:val="32"/>
          <w:lang w:val="en-US" w:eastAsia="zh-CN" w:bidi="ar-SA"/>
        </w:rPr>
      </w:pPr>
    </w:p>
    <w:sectPr>
      <w:footerReference r:id="rId3" w:type="default"/>
      <w:footerReference r:id="rId4" w:type="even"/>
      <w:pgSz w:w="11906" w:h="16838"/>
      <w:pgMar w:top="1701" w:right="1474" w:bottom="1440" w:left="1588"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ˎ̥">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pPr>
    <w:r>
      <w:rPr>
        <w:sz w:val="18"/>
      </w:rPr>
      <mc:AlternateContent>
        <mc:Choice Requires="wps">
          <w:drawing>
            <wp:anchor distT="0" distB="0" distL="114300" distR="114300" simplePos="0" relativeHeight="251660288" behindDoc="0" locked="0" layoutInCell="1" allowOverlap="1">
              <wp:simplePos x="0" y="0"/>
              <wp:positionH relativeFrom="margin">
                <wp:posOffset>2538095</wp:posOffset>
              </wp:positionH>
              <wp:positionV relativeFrom="paragraph">
                <wp:posOffset>-76200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199.85pt;margin-top:-6pt;height:144pt;width:144pt;mso-position-horizontal-relative:margin;mso-wrap-style:none;z-index:251660288;mso-width-relative:page;mso-height-relative:page;" filled="f" stroked="f" coordsize="21600,21600" o:gfxdata="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">
              <v:fill on="f" focussize="0,0"/>
              <v:stroke on="f" weight="0.5pt"/>
              <v:imagedata o:title=""/>
              <o:lock v:ext="edit" aspectratio="f"/>
              <v:textbox inset="0mm,0mm,0mm,0mm" style="mso-fit-shape-to-text:t;">
                <w:txbxContent>
                  <w:p>
                    <w:pPr>
                      <w:pStyle w:val="4"/>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4"/>
                          </w:pPr>
                          <w:r>
                            <w:fldChar w:fldCharType="begin"/>
                          </w:r>
                          <w:r>
                            <w:instrText xml:space="preserve">PAGE  </w:instrText>
                          </w:r>
                          <w:r>
                            <w:fldChar w:fldCharType="separate"/>
                          </w:r>
                          <w:r>
                            <w:t>44</w:t>
                          </w:r>
                          <w:r>
                            <w:fldChar w:fldCharType="end"/>
                          </w:r>
                        </w:p>
                      </w:txbxContent>
                    </wps:txbx>
                    <wps:bodyPr wrap="none" lIns="0" tIns="0" rIns="0" bIns="0" upright="1">
                      <a:spAutoFit/>
                    </wps:bodyPr>
                  </wps:wsp>
                </a:graphicData>
              </a:graphic>
            </wp:anchor>
          </w:drawing>
        </mc:Choice>
        <mc:Fallback>
          <w:pict>
            <v:shape id="文本框 4"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OqXm5zwAAAAUBAAAPAAAAAAAAAAEAIAAAACIAAABk&#10;cnMvZG93bnJldi54bWxQSwECFAAUAAAACACHTuJAAihtBdYBAACwAwAADgAAAAAAAAABACAAAAAe&#10;AQAAZHJzL2Uyb0RvYy54bWxQSwUGAAAAAAYABgBZAQAAZgUAAAAA&#10;">
              <v:fill on="f" focussize="0,0"/>
              <v:stroke on="f"/>
              <v:imagedata o:title=""/>
              <o:lock v:ext="edit" aspectratio="f"/>
              <v:textbox inset="0mm,0mm,0mm,0mm" style="mso-fit-shape-to-text:t;">
                <w:txbxContent>
                  <w:p>
                    <w:pPr>
                      <w:pStyle w:val="4"/>
                    </w:pPr>
                    <w:r>
                      <w:fldChar w:fldCharType="begin"/>
                    </w:r>
                    <w:r>
                      <w:instrText xml:space="preserve">PAGE  </w:instrText>
                    </w:r>
                    <w:r>
                      <w:fldChar w:fldCharType="separate"/>
                    </w:r>
                    <w:r>
                      <w:t>44</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liMjgxMjljZmY4MjFhOGE1MWYwOTczM2FhMDMwZTMifQ=="/>
  </w:docVars>
  <w:rsids>
    <w:rsidRoot w:val="50251217"/>
    <w:rsid w:val="00042EA7"/>
    <w:rsid w:val="0009330C"/>
    <w:rsid w:val="0011353F"/>
    <w:rsid w:val="00127150"/>
    <w:rsid w:val="001352BE"/>
    <w:rsid w:val="001F52DC"/>
    <w:rsid w:val="002B7887"/>
    <w:rsid w:val="00327623"/>
    <w:rsid w:val="00341E60"/>
    <w:rsid w:val="003F4D36"/>
    <w:rsid w:val="00490FD6"/>
    <w:rsid w:val="004E1986"/>
    <w:rsid w:val="00506A47"/>
    <w:rsid w:val="00513A65"/>
    <w:rsid w:val="005768A0"/>
    <w:rsid w:val="006322FE"/>
    <w:rsid w:val="00663058"/>
    <w:rsid w:val="008062F2"/>
    <w:rsid w:val="008424C2"/>
    <w:rsid w:val="00AD08B1"/>
    <w:rsid w:val="00B50969"/>
    <w:rsid w:val="00C51761"/>
    <w:rsid w:val="00CB02DB"/>
    <w:rsid w:val="00CD5A92"/>
    <w:rsid w:val="00D07BD1"/>
    <w:rsid w:val="00DF1AD7"/>
    <w:rsid w:val="00F86406"/>
    <w:rsid w:val="00FD6984"/>
    <w:rsid w:val="02F241BE"/>
    <w:rsid w:val="09FD7970"/>
    <w:rsid w:val="0D244780"/>
    <w:rsid w:val="11CF092C"/>
    <w:rsid w:val="15144CBD"/>
    <w:rsid w:val="161C6012"/>
    <w:rsid w:val="16EF4AC1"/>
    <w:rsid w:val="19315A43"/>
    <w:rsid w:val="1A30795F"/>
    <w:rsid w:val="1F293B49"/>
    <w:rsid w:val="202964DD"/>
    <w:rsid w:val="24773FA1"/>
    <w:rsid w:val="249948FB"/>
    <w:rsid w:val="25347E29"/>
    <w:rsid w:val="299B6D70"/>
    <w:rsid w:val="2FDE72FF"/>
    <w:rsid w:val="334F5A86"/>
    <w:rsid w:val="33AC14AB"/>
    <w:rsid w:val="35AD4CA0"/>
    <w:rsid w:val="38BC633F"/>
    <w:rsid w:val="3B285626"/>
    <w:rsid w:val="42502180"/>
    <w:rsid w:val="43D309EF"/>
    <w:rsid w:val="46580A75"/>
    <w:rsid w:val="48AC3D28"/>
    <w:rsid w:val="496E39C3"/>
    <w:rsid w:val="4B7E521D"/>
    <w:rsid w:val="4EEA5360"/>
    <w:rsid w:val="50251217"/>
    <w:rsid w:val="52316986"/>
    <w:rsid w:val="55966F40"/>
    <w:rsid w:val="58255C6A"/>
    <w:rsid w:val="58B729C7"/>
    <w:rsid w:val="5D360B0F"/>
    <w:rsid w:val="6082046E"/>
    <w:rsid w:val="60A045C4"/>
    <w:rsid w:val="60AD611E"/>
    <w:rsid w:val="62567F52"/>
    <w:rsid w:val="67BC540F"/>
    <w:rsid w:val="68B758BC"/>
    <w:rsid w:val="69382C40"/>
    <w:rsid w:val="6A587EE3"/>
    <w:rsid w:val="6C903A7C"/>
    <w:rsid w:val="6F176A3C"/>
    <w:rsid w:val="70E45E1B"/>
    <w:rsid w:val="70FD3C34"/>
    <w:rsid w:val="78BF32A8"/>
    <w:rsid w:val="78F053E4"/>
    <w:rsid w:val="7D8F6D5C"/>
    <w:rsid w:val="7E246D4B"/>
    <w:rsid w:val="7F1E5C7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Theme="minorEastAsia" w:cstheme="minorBidi"/>
      <w:kern w:val="2"/>
      <w:sz w:val="21"/>
      <w:szCs w:val="21"/>
      <w:lang w:val="en-US" w:eastAsia="zh-CN" w:bidi="ar-SA"/>
    </w:rPr>
  </w:style>
  <w:style w:type="character" w:default="1" w:styleId="9">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spacing w:after="120" w:afterLines="0" w:afterAutospacing="0"/>
    </w:pPr>
  </w:style>
  <w:style w:type="paragraph" w:styleId="3">
    <w:name w:val="Normal Indent"/>
    <w:basedOn w:val="1"/>
    <w:qFormat/>
    <w:uiPriority w:val="0"/>
    <w:pPr>
      <w:ind w:firstLine="420" w:firstLineChars="200"/>
    </w:p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6">
    <w:name w:val="HTML Preformatted"/>
    <w:basedOn w:val="1"/>
    <w:link w:val="13"/>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pPr>
    <w:rPr>
      <w:rFonts w:ascii="微软雅黑" w:hAnsi="微软雅黑" w:eastAsia="微软雅黑" w:cs="宋体"/>
      <w:kern w:val="0"/>
      <w:sz w:val="24"/>
      <w:szCs w:val="24"/>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Hyperlink"/>
    <w:basedOn w:val="9"/>
    <w:unhideWhenUsed/>
    <w:qFormat/>
    <w:uiPriority w:val="99"/>
    <w:rPr>
      <w:color w:val="656565"/>
      <w:u w:val="none"/>
    </w:rPr>
  </w:style>
  <w:style w:type="character" w:customStyle="1" w:styleId="11">
    <w:name w:val="页眉 Char"/>
    <w:basedOn w:val="9"/>
    <w:link w:val="5"/>
    <w:qFormat/>
    <w:uiPriority w:val="0"/>
    <w:rPr>
      <w:rFonts w:ascii="Times New Roman" w:hAnsi="Times New Roman"/>
      <w:kern w:val="2"/>
      <w:sz w:val="18"/>
      <w:szCs w:val="18"/>
    </w:rPr>
  </w:style>
  <w:style w:type="paragraph" w:styleId="12">
    <w:name w:val="List Paragraph"/>
    <w:basedOn w:val="1"/>
    <w:unhideWhenUsed/>
    <w:qFormat/>
    <w:uiPriority w:val="99"/>
    <w:pPr>
      <w:ind w:firstLine="420" w:firstLineChars="200"/>
    </w:pPr>
  </w:style>
  <w:style w:type="character" w:customStyle="1" w:styleId="13">
    <w:name w:val="HTML 预设格式 Char"/>
    <w:basedOn w:val="9"/>
    <w:link w:val="6"/>
    <w:qFormat/>
    <w:uiPriority w:val="99"/>
    <w:rPr>
      <w:rFonts w:ascii="微软雅黑" w:hAnsi="微软雅黑" w:eastAsia="微软雅黑" w:cs="宋体"/>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332</Words>
  <Characters>363</Characters>
  <Lines>24</Lines>
  <Paragraphs>6</Paragraphs>
  <TotalTime>1</TotalTime>
  <ScaleCrop>false</ScaleCrop>
  <LinksUpToDate>false</LinksUpToDate>
  <CharactersWithSpaces>365</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2017-12-06T17:14:00Z</dcterms:created>
  <dc:creator>小烦</dc:creator>
  <cp:lastModifiedBy>用户食品安全监督管理科</cp:lastModifiedBy>
  <cp:lastPrinted>2023-09-18T06:17:06Z</cp:lastPrinted>
  <dcterms:modified xsi:type="dcterms:W3CDTF">2023-09-18T06:17:13Z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EFE89D610E5642FABBBB249BE1E9E0D9</vt:lpwstr>
  </property>
</Properties>
</file>