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594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镉(以 Cd 计)</w:t>
      </w:r>
    </w:p>
    <w:p>
      <w:pPr>
        <w:widowControl/>
        <w:numPr>
          <w:ilvl w:val="0"/>
          <w:numId w:val="0"/>
        </w:numPr>
        <w:spacing w:line="594" w:lineRule="exact"/>
        <w:ind w:firstLine="60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是一种蓄积性的重金属元素，主要损害肾脏、骨骼和消化系统。人体通过食物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摄入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镉之后，大约50%的镉都分布在肾脏中，15%分布在肝脏中，20%分布在肌肉中，而骨骼中镉的分布是极少量的。由于镉排泄缓慢，可对肾脏和肝脏造成巨大伤害，还可以造成骨质疏松和软化，日本因镉中毒出现过―痛痛病‖。此外，镉干扰膳食中铁的吸收和加速红细胞破坏，可引起贫血；甚至会侵害到免疫系统，继而引发肿瘤。儿童对镉暴露更敏感，长期低剂量镉暴露，不仅影响肾脏和骨骼的正常发育，还会影响免疫系统的正常功能与发育，并对高级神经活动如学习、记忆有损害作用。</w:t>
      </w:r>
    </w:p>
    <w:p>
      <w:pPr>
        <w:widowControl/>
        <w:numPr>
          <w:ilvl w:val="0"/>
          <w:numId w:val="0"/>
        </w:numPr>
        <w:spacing w:line="594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widowControl/>
        <w:numPr>
          <w:ilvl w:val="0"/>
          <w:numId w:val="1"/>
        </w:numPr>
        <w:spacing w:line="594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乙酰甲胺磷</w:t>
      </w:r>
    </w:p>
    <w:p>
      <w:pPr>
        <w:widowControl/>
        <w:numPr>
          <w:ilvl w:val="0"/>
          <w:numId w:val="0"/>
        </w:numPr>
        <w:spacing w:line="594" w:lineRule="exact"/>
        <w:ind w:firstLine="60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内吸性的有机磷类杀虫剂。用于果树、葡萄、啤酒花、橄榄、棉花、大豆、花生、澳洲胡桃、甜菜、芸苔、芹菜、豆荚、马铃薯、稻类、烟草、观赏植物、林业等，防治咀嚼式口器和刺吸式口器害虫，如蚜虫、蓟马、鳞翅目害虫、蠕虫、锯蝇、叶蝉、毛虫等。雄大鼠急性经口LD50为1447mg/kg，雌大鼠为1030mg/kg，急性毒性分级为低毒。中毒机制是抑制体内胆碱酯酶活性，中毒可出现多汗、流涎、恶心、呕吐、腹痛等。食用食品一般不会导致乙酰甲胺磷的急性中毒，但长期食用乙酰甲胺磷超标的食品，对人体健康也有一定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3.噻虫胺</w:t>
      </w:r>
    </w:p>
    <w:p>
      <w:pPr>
        <w:spacing w:line="594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 w:val="0"/>
          <w:bCs w:val="0"/>
          <w:kern w:val="32"/>
          <w:sz w:val="32"/>
          <w:szCs w:val="32"/>
        </w:rPr>
        <w:t>噻虫胺是新烟碱类杀虫剂，是一类高效安全、高选择性的新型杀虫剂，其作用与烟碱乙酰胆碱受体类似，具有触杀、胃毒和内吸活性。少量的农药残留不会引起人体急性中毒，但长期食用噻虫胺残留超标的食品，对人体健康可能有一定影响。《食品安全国家标准 食品中农药最大残留限量》（GB 2763—2021）中规定，噻虫胺在根茎类蔬菜中的最大残留限量值为0.2mg/kg。姜中噻虫胺残留量超标原因，可能是种植户未按规定使用该农药所致。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溶剂残留量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溶剂残留量中的溶剂是指浸出工艺生产植物油所用的溶剂。《大豆油》（GB/T 1535—2003）中规定，四级压榨成品大豆油中溶剂残留量不得检出（检出值小于10mg/kg视为未检出）。溶剂残留量超标的原因可能是生产加工过程中使用浸提溶剂后，没有在后续工艺中采取有效措施去除溶剂，或又将此类产品违规标称为压榨。食用油中溶剂残留量过高，长期大量摄入可能会对人体的神经系统和造血系统产生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</w:p>
    <w:p>
      <w:pPr>
        <w:spacing w:line="360" w:lineRule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  <w:t>5.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菌落总数</w:t>
      </w:r>
    </w:p>
    <w:p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菌落总数是指示性微生物指标，不是致病菌指标，反映食品在生产过程中的卫生状况。如果食品的菌落总数严重超标，将会破坏食品的营养成分，使食品失去食用价值；还会加速食品腐败变质，可能危害人体健康。《食品安全国家标准 酱油》（GB 2717</w:t>
      </w:r>
      <w:r>
        <w:rPr>
          <w:rFonts w:hint="eastAsia" w:ascii="仿宋_GB2312" w:hAnsi="仿宋_GB2312" w:eastAsia="仿宋_GB2312" w:cs="仿宋_GB2312"/>
          <w:b w:val="0"/>
          <w:bCs w:val="0"/>
          <w:kern w:val="32"/>
          <w:sz w:val="32"/>
          <w:szCs w:val="32"/>
        </w:rPr>
        <w:t>—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2018）中规定，</w:t>
      </w:r>
      <w:r>
        <w:rPr>
          <w:rFonts w:hint="eastAsia" w:ascii="Times New Roman" w:hAnsi="Times New Roman" w:eastAsia="仿宋_GB2312" w:cs="Times New Roman"/>
          <w:b w:val="0"/>
          <w:bCs w:val="0"/>
          <w:kern w:val="32"/>
          <w:sz w:val="32"/>
          <w:szCs w:val="32"/>
          <w:lang w:val="en-US" w:eastAsia="zh-CN"/>
        </w:rPr>
        <w:t>酱油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中同一批次产品5个样品的菌落总数检测结果均不得超过</w:t>
      </w:r>
      <w:r>
        <w:rPr>
          <w:rFonts w:hint="eastAsia" w:ascii="Times New Roman" w:hAnsi="Times New Roman" w:eastAsia="仿宋_GB2312" w:cs="Times New Roman"/>
          <w:b w:val="0"/>
          <w:bCs w:val="0"/>
          <w:kern w:val="32"/>
          <w:sz w:val="32"/>
          <w:szCs w:val="32"/>
          <w:lang w:val="en-US" w:eastAsia="zh-CN"/>
        </w:rPr>
        <w:t>5×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10</w:t>
      </w:r>
      <w:r>
        <w:rPr>
          <w:rFonts w:hint="eastAsia" w:ascii="Times New Roman" w:hAnsi="Times New Roman" w:eastAsia="仿宋_GB2312" w:cs="Times New Roman"/>
          <w:b w:val="0"/>
          <w:bCs w:val="0"/>
          <w:kern w:val="32"/>
          <w:sz w:val="32"/>
          <w:szCs w:val="32"/>
          <w:vertAlign w:val="superscript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CFU/g，且最多允许2个样品的检测结果超过</w:t>
      </w:r>
      <w:r>
        <w:rPr>
          <w:rFonts w:hint="eastAsia" w:ascii="Times New Roman" w:hAnsi="Times New Roman" w:eastAsia="仿宋_GB2312" w:cs="Times New Roman"/>
          <w:b w:val="0"/>
          <w:bCs w:val="0"/>
          <w:kern w:val="32"/>
          <w:sz w:val="32"/>
          <w:szCs w:val="32"/>
          <w:lang w:val="en-US" w:eastAsia="zh-CN"/>
        </w:rPr>
        <w:t>5×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10</w:t>
      </w:r>
      <w:r>
        <w:rPr>
          <w:rFonts w:hint="eastAsia" w:ascii="Times New Roman" w:hAnsi="Times New Roman" w:eastAsia="仿宋_GB2312" w:cs="Times New Roman"/>
          <w:b w:val="0"/>
          <w:bCs w:val="0"/>
          <w:kern w:val="32"/>
          <w:sz w:val="32"/>
          <w:szCs w:val="32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CFU/g；《食品安全国家标准 糕点、面包》（GB 7099</w:t>
      </w:r>
      <w:r>
        <w:rPr>
          <w:rFonts w:hint="eastAsia" w:ascii="仿宋_GB2312" w:hAnsi="仿宋_GB2312" w:eastAsia="仿宋_GB2312" w:cs="仿宋_GB2312"/>
          <w:b w:val="0"/>
          <w:bCs w:val="0"/>
          <w:kern w:val="32"/>
          <w:sz w:val="32"/>
          <w:szCs w:val="32"/>
        </w:rPr>
        <w:t>—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2015）中规定，</w:t>
      </w:r>
      <w:r>
        <w:rPr>
          <w:rFonts w:hint="eastAsia" w:ascii="Times New Roman" w:hAnsi="Times New Roman" w:eastAsia="仿宋_GB2312" w:cs="Times New Roman"/>
          <w:b w:val="0"/>
          <w:bCs w:val="0"/>
          <w:kern w:val="32"/>
          <w:sz w:val="32"/>
          <w:szCs w:val="32"/>
          <w:lang w:val="en-US" w:eastAsia="zh-CN"/>
        </w:rPr>
        <w:t>糕点（限制现售的产品，以及含有未熟制的发酵配料或新鲜水果蔬菜的产品除外）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中同一批次产品5个样品的菌落总数检测结果均不得超过10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  <w:vertAlign w:val="superscript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CFU/g，且最多允许2个样品的检测结果超过10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  <w:vertAlign w:val="superscript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CFU/g。</w:t>
      </w:r>
      <w:r>
        <w:rPr>
          <w:rFonts w:hint="eastAsia" w:ascii="Times New Roman" w:hAnsi="Times New Roman" w:eastAsia="仿宋_GB2312" w:cs="Times New Roman"/>
          <w:b w:val="0"/>
          <w:bCs w:val="0"/>
          <w:kern w:val="32"/>
          <w:sz w:val="32"/>
          <w:szCs w:val="32"/>
          <w:lang w:val="en-US" w:eastAsia="zh-CN"/>
        </w:rPr>
        <w:t>酱油、糕点</w:t>
      </w:r>
      <w:r>
        <w:rPr>
          <w:rFonts w:hint="default" w:ascii="Times New Roman" w:hAnsi="Times New Roman" w:eastAsia="仿宋_GB2312" w:cs="Times New Roman"/>
          <w:b w:val="0"/>
          <w:bCs w:val="0"/>
          <w:kern w:val="32"/>
          <w:sz w:val="32"/>
          <w:szCs w:val="32"/>
        </w:rPr>
        <w:t>中菌落总数超标的原因，可能是企业未按要求严格控制生产加工过程的卫生条件，也可能与产品包装密封不严或储运条件不当等有关。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2608D3"/>
    <w:multiLevelType w:val="singleLevel"/>
    <w:tmpl w:val="6E2608D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4N2EzMTU1NGVmMjdiYWRkMDk4YzRiOTcxMjNhNjgifQ=="/>
  </w:docVars>
  <w:rsids>
    <w:rsidRoot w:val="39F33C34"/>
    <w:rsid w:val="05FE0F5C"/>
    <w:rsid w:val="25B33E1E"/>
    <w:rsid w:val="2DD800DA"/>
    <w:rsid w:val="39F33C34"/>
    <w:rsid w:val="3DBD1C27"/>
    <w:rsid w:val="46AC41F6"/>
    <w:rsid w:val="4FF10861"/>
    <w:rsid w:val="58740620"/>
    <w:rsid w:val="59600511"/>
    <w:rsid w:val="7002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  <w:lang w:val="zh-C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1205</Words>
  <Characters>1306</Characters>
  <Lines>0</Lines>
  <Paragraphs>0</Paragraphs>
  <TotalTime>2</TotalTime>
  <ScaleCrop>false</ScaleCrop>
  <LinksUpToDate>false</LinksUpToDate>
  <CharactersWithSpaces>1315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2023-03-21T07:34:00Z</dcterms:created>
  <dc:creator>Lenovo</dc:creator>
  <cp:lastModifiedBy>贵州二十一数字传媒</cp:lastModifiedBy>
  <dcterms:modified xsi:type="dcterms:W3CDTF">2023-09-08T04:01:14Z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93830EF9F8914803B9FE8A75156806C5_13</vt:lpwstr>
  </property>
</Properties>
</file>