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line="560" w:lineRule="exact"/>
        <w:jc w:val="both"/>
        <w:textAlignment w:val="auto"/>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附件1</w:t>
      </w:r>
    </w:p>
    <w:p>
      <w:pPr>
        <w:pStyle w:val="7"/>
        <w:keepNext w:val="0"/>
        <w:keepLines w:val="0"/>
        <w:pageBreakBefore w:val="0"/>
        <w:widowControl/>
        <w:kinsoku/>
        <w:wordWrap w:val="0"/>
        <w:overflowPunct/>
        <w:topLinePunct w:val="0"/>
        <w:autoSpaceDE/>
        <w:autoSpaceDN/>
        <w:bidi w:val="0"/>
        <w:adjustRightInd/>
        <w:snapToGrid/>
        <w:spacing w:before="0" w:beforeLines="0" w:beforeAutospacing="0" w:after="0" w:afterLines="0" w:afterAutospacing="0" w:line="560" w:lineRule="exact"/>
        <w:jc w:val="both"/>
        <w:textAlignment w:val="auto"/>
        <w:rPr>
          <w:rFonts w:hint="eastAsia" w:ascii="宋体" w:hAnsi="宋体"/>
          <w:color w:val="000000" w:themeColor="text1"/>
          <w:sz w:val="32"/>
          <w:szCs w:val="32"/>
          <w:u w:val="none"/>
          <w14:textFill>
            <w14:solidFill>
              <w14:schemeClr w14:val="tx1"/>
            </w14:solidFill>
          </w14:textFill>
        </w:rPr>
      </w:pPr>
    </w:p>
    <w:p>
      <w:pPr>
        <w:pStyle w:val="7"/>
        <w:keepNext w:val="0"/>
        <w:keepLines w:val="0"/>
        <w:pageBreakBefore w:val="0"/>
        <w:widowControl/>
        <w:kinsoku/>
        <w:wordWrap w:val="0"/>
        <w:overflowPunct/>
        <w:topLinePunct w:val="0"/>
        <w:autoSpaceDE/>
        <w:autoSpaceDN/>
        <w:bidi w:val="0"/>
        <w:adjustRightInd/>
        <w:snapToGrid/>
        <w:spacing w:before="0" w:beforeLines="0" w:beforeAutospacing="0" w:after="0" w:afterLines="0" w:afterAutospacing="0" w:line="560" w:lineRule="exact"/>
        <w:jc w:val="center"/>
        <w:textAlignment w:val="auto"/>
        <w:rPr>
          <w:rFonts w:hint="eastAsia" w:ascii="方正小标宋简体" w:eastAsia="方正小标宋简体"/>
          <w:color w:val="000000" w:themeColor="text1"/>
          <w:spacing w:val="-12"/>
          <w:sz w:val="44"/>
          <w:szCs w:val="44"/>
          <w:u w:val="none"/>
          <w14:textFill>
            <w14:solidFill>
              <w14:schemeClr w14:val="tx1"/>
            </w14:solidFill>
          </w14:textFill>
        </w:rPr>
      </w:pPr>
      <w:r>
        <w:rPr>
          <w:rFonts w:hint="eastAsia" w:ascii="方正小标宋简体" w:eastAsia="方正小标宋简体"/>
          <w:color w:val="000000" w:themeColor="text1"/>
          <w:spacing w:val="-12"/>
          <w:sz w:val="44"/>
          <w:szCs w:val="44"/>
          <w:u w:val="none"/>
          <w14:textFill>
            <w14:solidFill>
              <w14:schemeClr w14:val="tx1"/>
            </w14:solidFill>
          </w14:textFill>
        </w:rPr>
        <w:t>部分不合格项目的小知识</w:t>
      </w:r>
    </w:p>
    <w:p>
      <w:pPr>
        <w:pStyle w:val="7"/>
        <w:keepNext w:val="0"/>
        <w:keepLines w:val="0"/>
        <w:pageBreakBefore w:val="0"/>
        <w:widowControl/>
        <w:kinsoku/>
        <w:wordWrap w:val="0"/>
        <w:overflowPunct/>
        <w:topLinePunct w:val="0"/>
        <w:autoSpaceDE/>
        <w:autoSpaceDN/>
        <w:bidi w:val="0"/>
        <w:adjustRightInd/>
        <w:snapToGrid/>
        <w:spacing w:before="0" w:beforeLines="0" w:beforeAutospacing="0" w:after="0" w:afterLines="0" w:afterAutospacing="0" w:line="560" w:lineRule="exact"/>
        <w:jc w:val="both"/>
        <w:textAlignment w:val="auto"/>
        <w:rPr>
          <w:rFonts w:hint="eastAsia" w:ascii="方正小标宋简体" w:eastAsia="方正小标宋简体"/>
          <w:color w:val="000000" w:themeColor="text1"/>
          <w:spacing w:val="-12"/>
          <w:sz w:val="44"/>
          <w:szCs w:val="44"/>
          <w:u w:val="none"/>
          <w14:textFill>
            <w14:solidFill>
              <w14:schemeClr w14:val="tx1"/>
            </w14:solidFill>
          </w14:textFill>
        </w:rPr>
      </w:pP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黑体" w:hAnsi="黑体" w:eastAsia="黑体" w:cs="仿宋_GB2312"/>
          <w:color w:val="auto"/>
          <w:kern w:val="2"/>
          <w:sz w:val="32"/>
          <w:szCs w:val="32"/>
          <w:u w:val="none"/>
          <w:lang w:val="en-US" w:eastAsia="zh-CN"/>
        </w:rPr>
      </w:pPr>
      <w:r>
        <w:rPr>
          <w:rFonts w:hint="eastAsia" w:eastAsia="黑体" w:cs="黑体"/>
          <w:color w:val="000000" w:themeColor="text1"/>
          <w:kern w:val="2"/>
          <w:sz w:val="32"/>
          <w:szCs w:val="32"/>
          <w:u w:val="none"/>
          <w:lang w:val="en-US" w:eastAsia="zh-CN" w:bidi="ar-SA"/>
          <w14:textFill>
            <w14:solidFill>
              <w14:schemeClr w14:val="tx1"/>
            </w14:solidFill>
          </w14:textFill>
        </w:rPr>
        <w:t>一、</w:t>
      </w:r>
      <w:r>
        <w:rPr>
          <w:rFonts w:hint="eastAsia" w:ascii="黑体" w:hAnsi="黑体" w:eastAsia="黑体" w:cs="仿宋_GB2312"/>
          <w:color w:val="auto"/>
          <w:kern w:val="2"/>
          <w:sz w:val="32"/>
          <w:szCs w:val="32"/>
          <w:u w:val="none"/>
          <w:lang w:val="en-US" w:eastAsia="zh-CN"/>
        </w:rPr>
        <w:t>霉菌</w:t>
      </w:r>
    </w:p>
    <w:p>
      <w:pPr>
        <w:pStyle w:val="7"/>
        <w:keepNext w:val="0"/>
        <w:keepLines w:val="0"/>
        <w:pageBreakBefore w:val="0"/>
        <w:widowControl/>
        <w:kinsoku/>
        <w:wordWrap w:val="0"/>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仿宋_GB2312" w:hAnsi="仿宋_GB2312" w:eastAsia="仿宋_GB2312" w:cs="仿宋_GB2312"/>
          <w:color w:val="000000"/>
          <w:kern w:val="2"/>
          <w:sz w:val="32"/>
          <w:szCs w:val="32"/>
          <w:u w:val="none"/>
          <w:lang w:val="en-US" w:eastAsia="zh-CN" w:bidi="ar-SA"/>
        </w:rPr>
      </w:pPr>
      <w:r>
        <w:rPr>
          <w:rFonts w:hint="eastAsia" w:ascii="仿宋_GB2312" w:hAnsi="仿宋_GB2312" w:eastAsia="仿宋_GB2312" w:cs="仿宋_GB2312"/>
          <w:color w:val="000000"/>
          <w:kern w:val="2"/>
          <w:sz w:val="32"/>
          <w:szCs w:val="32"/>
          <w:u w:val="none"/>
          <w:lang w:val="en-US" w:eastAsia="zh-CN" w:bidi="ar-SA"/>
        </w:rPr>
        <w:t>霉菌是真菌的一种，霉菌超标可能是生产企业所使用的原辅料受到霉菌污染，也可能是生产加工过程中卫生条件控制不严格消毒不彻底，还可能与产品包装密封不严、储运条件控制不当等有关。</w:t>
      </w:r>
    </w:p>
    <w:p>
      <w:pPr>
        <w:pStyle w:val="7"/>
        <w:keepNext w:val="0"/>
        <w:keepLines w:val="0"/>
        <w:pageBreakBefore w:val="0"/>
        <w:widowControl/>
        <w:kinsoku/>
        <w:wordWrap w:val="0"/>
        <w:overflowPunct/>
        <w:topLinePunct w:val="0"/>
        <w:autoSpaceDE/>
        <w:autoSpaceDN/>
        <w:bidi w:val="0"/>
        <w:adjustRightInd/>
        <w:snapToGrid/>
        <w:spacing w:before="0" w:beforeLines="0" w:beforeAutospacing="0" w:after="0" w:afterLines="0" w:afterAutospacing="0" w:line="560" w:lineRule="exact"/>
        <w:ind w:firstLine="640"/>
        <w:textAlignment w:val="auto"/>
        <w:rPr>
          <w:rFonts w:hint="eastAsia" w:ascii="黑体" w:hAnsi="黑体" w:eastAsia="黑体" w:cs="仿宋_GB2312"/>
          <w:color w:val="000000" w:themeColor="text1"/>
          <w:kern w:val="2"/>
          <w:sz w:val="32"/>
          <w:szCs w:val="32"/>
          <w:u w:val="none"/>
          <w14:textFill>
            <w14:solidFill>
              <w14:schemeClr w14:val="tx1"/>
            </w14:solidFill>
          </w14:textFill>
        </w:rPr>
      </w:pPr>
      <w:r>
        <w:rPr>
          <w:rFonts w:hint="eastAsia" w:ascii="黑体" w:hAnsi="黑体" w:eastAsia="黑体" w:cs="仿宋_GB2312"/>
          <w:color w:val="000000" w:themeColor="text1"/>
          <w:kern w:val="2"/>
          <w:sz w:val="32"/>
          <w:szCs w:val="32"/>
          <w:u w:val="none"/>
          <w:lang w:val="en-US" w:eastAsia="zh-CN"/>
          <w14:textFill>
            <w14:solidFill>
              <w14:schemeClr w14:val="tx1"/>
            </w14:solidFill>
          </w14:textFill>
        </w:rPr>
        <w:t>二、</w:t>
      </w:r>
      <w:r>
        <w:rPr>
          <w:rFonts w:hint="eastAsia" w:ascii="黑体" w:hAnsi="黑体" w:eastAsia="黑体" w:cs="仿宋_GB2312"/>
          <w:color w:val="000000" w:themeColor="text1"/>
          <w:kern w:val="2"/>
          <w:sz w:val="32"/>
          <w:szCs w:val="32"/>
          <w:u w:val="none"/>
          <w14:textFill>
            <w14:solidFill>
              <w14:schemeClr w14:val="tx1"/>
            </w14:solidFill>
          </w14:textFill>
        </w:rPr>
        <w:t>酒精度</w:t>
      </w:r>
    </w:p>
    <w:p>
      <w:pPr>
        <w:keepNext w:val="0"/>
        <w:keepLines w:val="0"/>
        <w:pageBreakBefore w:val="0"/>
        <w:kinsoku/>
        <w:overflowPunct/>
        <w:topLinePunct w:val="0"/>
        <w:autoSpaceDE/>
        <w:autoSpaceDN/>
        <w:bidi w:val="0"/>
        <w:adjustRightInd/>
        <w:snapToGrid/>
        <w:spacing w:line="560" w:lineRule="exact"/>
        <w:ind w:firstLine="640" w:firstLineChars="200"/>
        <w:contextualSpacing/>
        <w:textAlignment w:val="auto"/>
        <w:rPr>
          <w:rFonts w:hint="eastAsia" w:ascii="Times New Roman" w:hAnsi="Times New Roman" w:eastAsia="仿宋_GB2312" w:cs="Times New Roman"/>
          <w:color w:val="000000" w:themeColor="text1"/>
          <w:kern w:val="0"/>
          <w:sz w:val="32"/>
          <w:szCs w:val="32"/>
          <w:lang w:eastAsia="zh-CN"/>
          <w14:textFill>
            <w14:solidFill>
              <w14:schemeClr w14:val="tx1"/>
            </w14:solidFill>
          </w14:textFill>
        </w:rPr>
      </w:pPr>
      <w:r>
        <w:rPr>
          <w:rFonts w:ascii="Times New Roman" w:hAnsi="Times New Roman" w:eastAsia="仿宋_GB2312" w:cs="Times New Roman"/>
          <w:color w:val="000000" w:themeColor="text1"/>
          <w:kern w:val="0"/>
          <w:sz w:val="32"/>
          <w:szCs w:val="32"/>
          <w14:textFill>
            <w14:solidFill>
              <w14:schemeClr w14:val="tx1"/>
            </w14:solidFill>
          </w14:textFill>
        </w:rPr>
        <w:t>酒精度又叫酒度，是指在20℃时，100毫升酒中含有乙醇（酒精）的毫升数，即体积（容量）的百分数。酒精度是酒类产品的一个重要理化指标，含量不达标主要影响产品的品质。</w:t>
      </w:r>
      <w:r>
        <w:rPr>
          <w:rFonts w:hint="eastAsia" w:ascii="Times New Roman" w:hAnsi="Times New Roman" w:eastAsia="仿宋_GB2312" w:cs="Times New Roman"/>
          <w:color w:val="000000" w:themeColor="text1"/>
          <w:kern w:val="0"/>
          <w:sz w:val="32"/>
          <w:szCs w:val="32"/>
          <w14:textFill>
            <w14:solidFill>
              <w14:schemeClr w14:val="tx1"/>
            </w14:solidFill>
          </w14:textFill>
        </w:rPr>
        <w:t>酒类中</w:t>
      </w:r>
      <w:r>
        <w:rPr>
          <w:rFonts w:ascii="Times New Roman" w:hAnsi="Times New Roman" w:eastAsia="仿宋_GB2312" w:cs="Times New Roman"/>
          <w:color w:val="000000" w:themeColor="text1"/>
          <w:kern w:val="0"/>
          <w:sz w:val="32"/>
          <w:szCs w:val="32"/>
          <w14:textFill>
            <w14:solidFill>
              <w14:schemeClr w14:val="tx1"/>
            </w14:solidFill>
          </w14:textFill>
        </w:rPr>
        <w:t>酒精度未达到产品标签明示要求的原因，</w:t>
      </w:r>
      <w:r>
        <w:rPr>
          <w:rFonts w:ascii="Times New Roman" w:hAnsi="Times New Roman" w:eastAsia="仿宋_GB2312" w:cs="Times New Roman"/>
          <w:color w:val="000000" w:themeColor="text1"/>
          <w:sz w:val="32"/>
          <w:szCs w:val="32"/>
          <w14:textFill>
            <w14:solidFill>
              <w14:schemeClr w14:val="tx1"/>
            </w14:solidFill>
          </w14:textFill>
        </w:rPr>
        <w:t>可能是个别企业生产工艺控制不严格或生产工艺水平较低，无法准确控制酒精度；也</w:t>
      </w:r>
      <w:r>
        <w:rPr>
          <w:rFonts w:ascii="Times New Roman" w:hAnsi="Times New Roman" w:eastAsia="仿宋_GB2312" w:cs="Times New Roman"/>
          <w:color w:val="000000" w:themeColor="text1"/>
          <w:kern w:val="0"/>
          <w:sz w:val="32"/>
          <w:szCs w:val="32"/>
          <w14:textFill>
            <w14:solidFill>
              <w14:schemeClr w14:val="tx1"/>
            </w14:solidFill>
          </w14:textFill>
        </w:rPr>
        <w:t>可能是生产企业检验器具未检定或检验过程不规范，造成检验结果有偏差；还可能是包装不严密造成酒精挥发</w:t>
      </w:r>
      <w:r>
        <w:rPr>
          <w:rFonts w:hint="eastAsia" w:ascii="Times New Roman" w:hAnsi="Times New Roman" w:eastAsia="仿宋_GB2312" w:cs="Times New Roman"/>
          <w:color w:val="000000" w:themeColor="text1"/>
          <w:kern w:val="0"/>
          <w:sz w:val="32"/>
          <w:szCs w:val="32"/>
          <w:lang w:eastAsia="zh-CN"/>
          <w14:textFill>
            <w14:solidFill>
              <w14:schemeClr w14:val="tx1"/>
            </w14:solidFill>
          </w14:textFill>
        </w:rPr>
        <w:t>。</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ascii="黑体" w:hAnsi="黑体" w:eastAsia="黑体" w:cs="Times New Roman"/>
          <w:sz w:val="32"/>
          <w:szCs w:val="32"/>
        </w:rPr>
      </w:pPr>
      <w:r>
        <w:rPr>
          <w:rFonts w:hint="eastAsia" w:ascii="黑体" w:hAnsi="黑体" w:eastAsia="黑体" w:cs="Times New Roman"/>
          <w:sz w:val="32"/>
          <w:szCs w:val="32"/>
          <w:lang w:val="en-US" w:eastAsia="zh-CN"/>
        </w:rPr>
        <w:t>三、</w:t>
      </w:r>
      <w:r>
        <w:rPr>
          <w:rFonts w:hint="eastAsia" w:ascii="黑体" w:hAnsi="黑体" w:eastAsia="黑体" w:cs="Times New Roman"/>
          <w:sz w:val="32"/>
          <w:szCs w:val="32"/>
        </w:rPr>
        <w:t>二氧化硫残留量</w:t>
      </w:r>
    </w:p>
    <w:p>
      <w:pPr>
        <w:pStyle w:val="7"/>
        <w:keepNext w:val="0"/>
        <w:keepLines w:val="0"/>
        <w:pageBreakBefore w:val="0"/>
        <w:widowControl/>
        <w:kinsoku/>
        <w:wordWrap w:val="0"/>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Times New Roman" w:hAnsi="Times New Roman" w:eastAsia="仿宋_GB2312" w:cs="Times New Roman"/>
          <w:color w:val="auto"/>
          <w:kern w:val="2"/>
          <w:sz w:val="32"/>
          <w:szCs w:val="32"/>
          <w:u w:val="none"/>
          <w:lang w:val="en-US" w:eastAsia="zh-CN" w:bidi="ar-SA"/>
        </w:rPr>
      </w:pPr>
      <w:r>
        <w:rPr>
          <w:rFonts w:hint="eastAsia" w:ascii="Times New Roman" w:hAnsi="Times New Roman" w:eastAsia="仿宋_GB2312" w:cs="Times New Roman"/>
          <w:color w:val="auto"/>
          <w:kern w:val="2"/>
          <w:sz w:val="32"/>
          <w:szCs w:val="32"/>
          <w:u w:val="none"/>
          <w:lang w:val="en-US" w:eastAsia="zh-CN" w:bidi="ar-SA"/>
        </w:rPr>
        <w:t>二氧化硫是食品加工中常用的漂白剂和防腐剂，遇水以后形成亚硫酸，二氧化硫被氧化时可使食品的着色物质还原褪色，亚硫酸对食品的褐变有抑制作用，对细菌、真菌、酵母菌也有抑制作用，因此既是漂白剂又是防腐剂。二氧化硫不合格的原因是生产企业未按照《食品安全国家标准食品添加剂使用标准》（GB 2760—2014）规定，超范围或超限量使用二氧化硫。</w:t>
      </w:r>
    </w:p>
    <w:p>
      <w:pPr>
        <w:pStyle w:val="7"/>
        <w:keepNext w:val="0"/>
        <w:keepLines w:val="0"/>
        <w:pageBreakBefore w:val="0"/>
        <w:widowControl/>
        <w:kinsoku/>
        <w:wordWrap w:val="0"/>
        <w:overflowPunct/>
        <w:topLinePunct w:val="0"/>
        <w:autoSpaceDE/>
        <w:autoSpaceDN/>
        <w:bidi w:val="0"/>
        <w:adjustRightInd/>
        <w:snapToGrid/>
        <w:spacing w:before="0" w:beforeLines="0" w:beforeAutospacing="0" w:after="0" w:afterLines="0" w:afterAutospacing="0" w:line="560" w:lineRule="exact"/>
        <w:ind w:firstLine="640" w:firstLineChars="200"/>
        <w:textAlignment w:val="auto"/>
        <w:rPr>
          <w:rFonts w:hint="eastAsia" w:ascii="黑体" w:hAnsi="黑体" w:eastAsia="黑体" w:cs="仿宋_GB2312"/>
          <w:color w:val="auto"/>
          <w:kern w:val="2"/>
          <w:sz w:val="32"/>
          <w:szCs w:val="32"/>
          <w:u w:val="none"/>
        </w:rPr>
      </w:pPr>
      <w:r>
        <w:rPr>
          <w:rFonts w:hint="eastAsia" w:ascii="黑体" w:hAnsi="黑体" w:eastAsia="黑体" w:cs="仿宋_GB2312"/>
          <w:color w:val="auto"/>
          <w:kern w:val="2"/>
          <w:sz w:val="32"/>
          <w:szCs w:val="32"/>
          <w:u w:val="none"/>
          <w:lang w:val="en-US" w:eastAsia="zh-CN"/>
        </w:rPr>
        <w:t>四、</w:t>
      </w:r>
      <w:r>
        <w:rPr>
          <w:rFonts w:hint="eastAsia" w:ascii="黑体" w:hAnsi="黑体" w:eastAsia="黑体" w:cs="仿宋_GB2312"/>
          <w:color w:val="auto"/>
          <w:kern w:val="2"/>
          <w:sz w:val="32"/>
          <w:szCs w:val="32"/>
          <w:u w:val="none"/>
        </w:rPr>
        <w:t>菌落总数</w:t>
      </w:r>
    </w:p>
    <w:p>
      <w:pPr>
        <w:keepNext w:val="0"/>
        <w:keepLines w:val="0"/>
        <w:pageBreakBefore w:val="0"/>
        <w:widowControl/>
        <w:suppressLineNumbers w:val="0"/>
        <w:kinsoku/>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2"/>
          <w:sz w:val="32"/>
          <w:szCs w:val="32"/>
          <w:u w:val="none"/>
          <w:lang w:val="en-US" w:eastAsia="zh-CN" w:bidi="ar-SA"/>
        </w:rPr>
      </w:pPr>
      <w:r>
        <w:rPr>
          <w:rFonts w:hint="eastAsia" w:ascii="仿宋_GB2312" w:hAnsi="仿宋_GB2312" w:eastAsia="仿宋_GB2312" w:cs="仿宋_GB2312"/>
          <w:color w:val="000000"/>
          <w:kern w:val="2"/>
          <w:sz w:val="32"/>
          <w:szCs w:val="32"/>
          <w:u w:val="none"/>
          <w:lang w:val="en-US" w:eastAsia="zh-CN" w:bidi="ar-SA"/>
        </w:rPr>
        <w:t>菌落总数是指示性微生物指标，用以反映食品的卫生状况。超标原因可能是生产企业所使用的原辅料初始菌落数较高；也可能是生产加工过程中卫生条件控制不严格；还可能与产品包装密封不严、储运条件控制不当等有关。</w:t>
      </w:r>
    </w:p>
    <w:p>
      <w:pPr>
        <w:pStyle w:val="7"/>
        <w:keepNext w:val="0"/>
        <w:keepLines w:val="0"/>
        <w:pageBreakBefore w:val="0"/>
        <w:widowControl/>
        <w:kinsoku/>
        <w:wordWrap w:val="0"/>
        <w:overflowPunct/>
        <w:topLinePunct w:val="0"/>
        <w:autoSpaceDE/>
        <w:autoSpaceDN/>
        <w:bidi w:val="0"/>
        <w:adjustRightInd/>
        <w:snapToGrid/>
        <w:spacing w:before="0" w:beforeLines="0" w:beforeAutospacing="0" w:after="0" w:afterLines="0" w:afterAutospacing="0" w:line="560" w:lineRule="exact"/>
        <w:ind w:firstLine="640" w:firstLineChars="200"/>
        <w:textAlignment w:val="auto"/>
        <w:rPr>
          <w:rFonts w:hint="eastAsia" w:ascii="黑体" w:hAnsi="黑体" w:eastAsia="黑体" w:cs="仿宋_GB2312"/>
          <w:color w:val="000000" w:themeColor="text1"/>
          <w:kern w:val="2"/>
          <w:sz w:val="32"/>
          <w:szCs w:val="32"/>
          <w:u w:val="none"/>
          <w:lang w:val="en-US" w:eastAsia="zh-CN" w:bidi="ar-SA"/>
          <w14:textFill>
            <w14:solidFill>
              <w14:schemeClr w14:val="tx1"/>
            </w14:solidFill>
          </w14:textFill>
        </w:rPr>
      </w:pPr>
      <w:r>
        <w:rPr>
          <w:rFonts w:hint="eastAsia" w:ascii="黑体" w:hAnsi="黑体" w:eastAsia="黑体" w:cs="仿宋_GB2312"/>
          <w:color w:val="000000" w:themeColor="text1"/>
          <w:kern w:val="2"/>
          <w:sz w:val="32"/>
          <w:szCs w:val="32"/>
          <w:u w:val="none"/>
          <w:lang w:val="en-US" w:eastAsia="zh-CN" w:bidi="ar-SA"/>
          <w14:textFill>
            <w14:solidFill>
              <w14:schemeClr w14:val="tx1"/>
            </w14:solidFill>
          </w14:textFill>
        </w:rPr>
        <w:t>五、恩诺沙星</w:t>
      </w:r>
    </w:p>
    <w:p>
      <w:pPr>
        <w:pStyle w:val="7"/>
        <w:keepNext w:val="0"/>
        <w:keepLines w:val="0"/>
        <w:pageBreakBefore w:val="0"/>
        <w:widowControl/>
        <w:kinsoku/>
        <w:wordWrap w:val="0"/>
        <w:overflowPunct/>
        <w:topLinePunct w:val="0"/>
        <w:autoSpaceDE/>
        <w:autoSpaceDN/>
        <w:bidi w:val="0"/>
        <w:adjustRightInd/>
        <w:snapToGrid/>
        <w:spacing w:before="0" w:beforeAutospacing="0" w:after="0" w:afterAutospacing="0" w:line="560" w:lineRule="exact"/>
        <w:ind w:firstLine="640" w:firstLineChars="200"/>
        <w:textAlignment w:val="auto"/>
        <w:rPr>
          <w:rFonts w:hint="default" w:ascii="仿宋_GB2312" w:hAnsi="仿宋_GB2312" w:eastAsia="仿宋_GB2312" w:cs="仿宋_GB2312"/>
          <w:color w:val="000000"/>
          <w:kern w:val="2"/>
          <w:sz w:val="32"/>
          <w:szCs w:val="32"/>
          <w:u w:val="none"/>
          <w:lang w:val="en-US" w:eastAsia="zh-CN" w:bidi="ar-SA"/>
        </w:rPr>
      </w:pPr>
      <w:r>
        <w:rPr>
          <w:rFonts w:hint="default" w:ascii="仿宋_GB2312" w:hAnsi="仿宋_GB2312" w:eastAsia="仿宋_GB2312" w:cs="仿宋_GB2312"/>
          <w:color w:val="000000"/>
          <w:kern w:val="2"/>
          <w:sz w:val="32"/>
          <w:szCs w:val="32"/>
          <w:u w:val="none"/>
          <w:lang w:val="en-US" w:eastAsia="zh-CN" w:bidi="ar-SA"/>
        </w:rPr>
        <w:t>恩诺沙星属第三代喹诺酮类药物，是一类人工合成的广谱抗菌药，用于治疗动物的皮肤感染、呼吸道感染等，是动物专属用药。动物源性食品中恩诺沙星超标的原因，可能是在养殖过程中为快速控制疫病，养殖户违规加大用药量或不遵守休药期规定，致使产品上市销售时药物残留超标。</w:t>
      </w:r>
    </w:p>
    <w:p>
      <w:pPr>
        <w:pStyle w:val="7"/>
        <w:keepNext w:val="0"/>
        <w:keepLines w:val="0"/>
        <w:pageBreakBefore w:val="0"/>
        <w:widowControl/>
        <w:kinsoku/>
        <w:wordWrap w:val="0"/>
        <w:overflowPunct/>
        <w:topLinePunct w:val="0"/>
        <w:autoSpaceDE/>
        <w:autoSpaceDN/>
        <w:bidi w:val="0"/>
        <w:adjustRightInd/>
        <w:snapToGrid/>
        <w:spacing w:before="0" w:beforeLines="0" w:beforeAutospacing="0" w:after="0" w:afterLines="0" w:afterAutospacing="0" w:line="560" w:lineRule="exact"/>
        <w:ind w:firstLine="640" w:firstLineChars="200"/>
        <w:textAlignment w:val="auto"/>
        <w:rPr>
          <w:rFonts w:hint="eastAsia" w:ascii="黑体" w:hAnsi="黑体" w:eastAsia="黑体" w:cs="仿宋_GB2312"/>
          <w:color w:val="000000" w:themeColor="text1"/>
          <w:kern w:val="2"/>
          <w:sz w:val="32"/>
          <w:szCs w:val="32"/>
          <w:u w:val="none"/>
          <w:lang w:val="en-US" w:eastAsia="zh-CN" w:bidi="ar-SA"/>
          <w14:textFill>
            <w14:solidFill>
              <w14:schemeClr w14:val="tx1"/>
            </w14:solidFill>
          </w14:textFill>
        </w:rPr>
      </w:pPr>
      <w:r>
        <w:rPr>
          <w:rFonts w:hint="eastAsia" w:ascii="黑体" w:hAnsi="黑体" w:eastAsia="黑体" w:cs="仿宋_GB2312"/>
          <w:color w:val="000000" w:themeColor="text1"/>
          <w:kern w:val="2"/>
          <w:sz w:val="32"/>
          <w:szCs w:val="32"/>
          <w:u w:val="none"/>
          <w:lang w:val="en-US" w:eastAsia="zh-CN" w:bidi="ar-SA"/>
          <w14:textFill>
            <w14:solidFill>
              <w14:schemeClr w14:val="tx1"/>
            </w14:solidFill>
          </w14:textFill>
        </w:rPr>
        <w:t>六、咪鲜胺和咪鲜胺锰盐</w:t>
      </w:r>
    </w:p>
    <w:p>
      <w:pPr>
        <w:keepNext w:val="0"/>
        <w:keepLines w:val="0"/>
        <w:pageBreakBefore w:val="0"/>
        <w:widowControl/>
        <w:suppressLineNumbers w:val="0"/>
        <w:kinsoku/>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color w:val="auto"/>
          <w:kern w:val="2"/>
          <w:sz w:val="32"/>
          <w:szCs w:val="32"/>
          <w:u w:val="none"/>
          <w:lang w:val="en-US" w:eastAsia="zh-CN" w:bidi="ar-SA"/>
        </w:rPr>
      </w:pPr>
      <w:r>
        <w:rPr>
          <w:rFonts w:hint="eastAsia" w:ascii="仿宋_GB2312" w:hAnsi="仿宋_GB2312" w:eastAsia="仿宋_GB2312" w:cs="仿宋_GB2312"/>
          <w:color w:val="000000"/>
          <w:kern w:val="2"/>
          <w:sz w:val="32"/>
          <w:szCs w:val="32"/>
          <w:u w:val="none"/>
          <w:lang w:val="en-US" w:eastAsia="zh-CN" w:bidi="ar-SA"/>
        </w:rPr>
        <w:t>咪鲜胺属于咪唑类杀菌剂。对多种作物由子囊菌和半知菌引起的病害具有明显的防效，也可以与大多数杀菌剂、杀虫剂、除草剂混用，均有较好的防治效果。对大田作物、水果蔬菜及观赏植物上的多种病害具有治疗作用。《食品安全国家标准 食品中农药最大残留限量》（GB2763—2021）中规定，山药中咪鲜胺和咪鲜胺锰盐的最大残留限量为0.3mg/kg。山药中咪鲜胺和咪鲜胺锰盐残留超标，可能是生产者未严格按照标准规定施药或施药后未严格落实农药安全间隔期造成。</w:t>
      </w:r>
    </w:p>
    <w:p>
      <w:pPr>
        <w:pStyle w:val="7"/>
        <w:keepNext w:val="0"/>
        <w:keepLines w:val="0"/>
        <w:pageBreakBefore w:val="0"/>
        <w:widowControl/>
        <w:numPr>
          <w:ilvl w:val="0"/>
          <w:numId w:val="0"/>
        </w:numPr>
        <w:kinsoku/>
        <w:wordWrap w:val="0"/>
        <w:overflowPunct/>
        <w:topLinePunct w:val="0"/>
        <w:autoSpaceDE/>
        <w:autoSpaceDN/>
        <w:bidi w:val="0"/>
        <w:adjustRightInd/>
        <w:snapToGrid/>
        <w:spacing w:before="0" w:beforeLines="0" w:beforeAutospacing="0" w:after="0" w:afterLines="0" w:afterAutospacing="0" w:line="560" w:lineRule="exact"/>
        <w:ind w:right="0" w:rightChars="0" w:firstLine="640" w:firstLineChars="200"/>
        <w:textAlignment w:val="auto"/>
        <w:rPr>
          <w:rFonts w:hint="default" w:ascii="黑体" w:hAnsi="黑体" w:eastAsia="黑体" w:cs="Times New Roman"/>
          <w:sz w:val="32"/>
          <w:szCs w:val="32"/>
          <w:lang w:val="en-US"/>
        </w:rPr>
      </w:pPr>
      <w:r>
        <w:rPr>
          <w:rFonts w:hint="eastAsia" w:ascii="黑体" w:hAnsi="黑体" w:eastAsia="黑体" w:cs="仿宋_GB2312"/>
          <w:color w:val="auto"/>
          <w:kern w:val="2"/>
          <w:sz w:val="32"/>
          <w:szCs w:val="32"/>
          <w:u w:val="none"/>
          <w:lang w:val="en-US" w:eastAsia="zh-CN"/>
        </w:rPr>
        <w:t>七</w:t>
      </w:r>
      <w:bookmarkStart w:id="0" w:name="_GoBack"/>
      <w:bookmarkEnd w:id="0"/>
      <w:r>
        <w:rPr>
          <w:rFonts w:hint="eastAsia" w:ascii="黑体" w:hAnsi="黑体" w:eastAsia="黑体" w:cs="仿宋_GB2312"/>
          <w:color w:val="auto"/>
          <w:kern w:val="2"/>
          <w:sz w:val="32"/>
          <w:szCs w:val="32"/>
          <w:u w:val="none"/>
          <w:lang w:val="en-US" w:eastAsia="zh-CN"/>
        </w:rPr>
        <w:t>、</w:t>
      </w:r>
      <w:r>
        <w:rPr>
          <w:rFonts w:hint="eastAsia" w:ascii="黑体" w:hAnsi="黑体" w:eastAsia="黑体" w:cs="仿宋_GB2312"/>
          <w:color w:val="000000" w:themeColor="text1"/>
          <w:kern w:val="2"/>
          <w:sz w:val="32"/>
          <w:szCs w:val="32"/>
          <w:u w:val="none"/>
          <w:lang w:val="en-US" w:eastAsia="zh-CN"/>
          <w14:textFill>
            <w14:solidFill>
              <w14:schemeClr w14:val="tx1"/>
            </w14:solidFill>
          </w14:textFill>
        </w:rPr>
        <w:t>镉</w:t>
      </w:r>
    </w:p>
    <w:p>
      <w:pPr>
        <w:keepNext w:val="0"/>
        <w:keepLines w:val="0"/>
        <w:pageBreakBefore w:val="0"/>
        <w:widowControl/>
        <w:suppressLineNumbers w:val="0"/>
        <w:kinsoku/>
        <w:overflowPunct/>
        <w:topLinePunct w:val="0"/>
        <w:autoSpaceDE/>
        <w:autoSpaceDN/>
        <w:bidi w:val="0"/>
        <w:adjustRightInd/>
        <w:snapToGrid/>
        <w:spacing w:line="560" w:lineRule="exact"/>
        <w:ind w:firstLine="640" w:firstLineChars="200"/>
        <w:jc w:val="both"/>
        <w:textAlignment w:val="auto"/>
        <w:rPr>
          <w:rFonts w:hint="eastAsia" w:eastAsia="黑体" w:cs="黑体"/>
          <w:color w:val="000000" w:themeColor="text1"/>
          <w:kern w:val="2"/>
          <w:sz w:val="32"/>
          <w:szCs w:val="32"/>
          <w:u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镉，是常见的重金属元素污染物之一。镉是人体非必需元素，在自然界中常以化合物状态存在，一般含量很低，正常环境状态下，不会影响人体健康。当环境受到镉污染后，镉可通过食物链进入人体引起慢性蓄积性危害。食品中镉超标的原因，可能是其生长过程中富集环境中的镉元素造成。</w:t>
      </w:r>
    </w:p>
    <w:p>
      <w:pPr>
        <w:pStyle w:val="7"/>
        <w:keepNext w:val="0"/>
        <w:keepLines w:val="0"/>
        <w:pageBreakBefore w:val="0"/>
        <w:widowControl/>
        <w:kinsoku/>
        <w:wordWrap w:val="0"/>
        <w:overflowPunct/>
        <w:topLinePunct w:val="0"/>
        <w:autoSpaceDE/>
        <w:autoSpaceDN/>
        <w:bidi w:val="0"/>
        <w:adjustRightInd/>
        <w:snapToGrid/>
        <w:spacing w:before="0" w:beforeAutospacing="0" w:after="0" w:afterAutospacing="0" w:line="560" w:lineRule="exact"/>
        <w:ind w:firstLine="640" w:firstLineChars="200"/>
        <w:textAlignment w:val="auto"/>
        <w:rPr>
          <w:rFonts w:hint="default" w:ascii="Times New Roman" w:hAnsi="Times New Roman" w:eastAsia="仿宋_GB2312" w:cs="Times New Roman"/>
          <w:color w:val="auto"/>
          <w:kern w:val="2"/>
          <w:sz w:val="32"/>
          <w:szCs w:val="32"/>
          <w:u w:val="none"/>
          <w:lang w:val="en-US" w:eastAsia="zh-CN" w:bidi="ar-SA"/>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仿宋_GB2312"/>
    <w:panose1 w:val="02000000000000000000"/>
    <w:charset w:val="86"/>
    <w:family w:val="roman"/>
    <w:pitch w:val="default"/>
    <w:sig w:usb0="00000000" w:usb1="00000000" w:usb2="00000012"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RkMzExMGFjNGI3MGU0NmMxMTA3NmIzOWNmMWZkMzgifQ=="/>
  </w:docVars>
  <w:rsids>
    <w:rsidRoot w:val="0C8C4767"/>
    <w:rsid w:val="02D4355F"/>
    <w:rsid w:val="051C7148"/>
    <w:rsid w:val="05745268"/>
    <w:rsid w:val="06D74455"/>
    <w:rsid w:val="08123F6F"/>
    <w:rsid w:val="0B45380D"/>
    <w:rsid w:val="0BA40294"/>
    <w:rsid w:val="0C8C4767"/>
    <w:rsid w:val="107533AF"/>
    <w:rsid w:val="15584A2B"/>
    <w:rsid w:val="15EC594F"/>
    <w:rsid w:val="167B6CBC"/>
    <w:rsid w:val="168C6AE4"/>
    <w:rsid w:val="17677D3A"/>
    <w:rsid w:val="18484AED"/>
    <w:rsid w:val="1924456A"/>
    <w:rsid w:val="193E766E"/>
    <w:rsid w:val="1A1F09D3"/>
    <w:rsid w:val="1D4213BE"/>
    <w:rsid w:val="2462067D"/>
    <w:rsid w:val="26631425"/>
    <w:rsid w:val="26DF4641"/>
    <w:rsid w:val="272354B2"/>
    <w:rsid w:val="279C4F22"/>
    <w:rsid w:val="27A95480"/>
    <w:rsid w:val="28B22DF6"/>
    <w:rsid w:val="29572E48"/>
    <w:rsid w:val="2A2D3458"/>
    <w:rsid w:val="2A8B307E"/>
    <w:rsid w:val="2BAF5CCC"/>
    <w:rsid w:val="2BCE09B8"/>
    <w:rsid w:val="2D851703"/>
    <w:rsid w:val="2DB63420"/>
    <w:rsid w:val="2FC7227B"/>
    <w:rsid w:val="324E00CB"/>
    <w:rsid w:val="32882B90"/>
    <w:rsid w:val="32AE6FC5"/>
    <w:rsid w:val="332F602F"/>
    <w:rsid w:val="33775400"/>
    <w:rsid w:val="33883CFF"/>
    <w:rsid w:val="33CFF2BB"/>
    <w:rsid w:val="34594806"/>
    <w:rsid w:val="360936EC"/>
    <w:rsid w:val="36225F84"/>
    <w:rsid w:val="39B72E0C"/>
    <w:rsid w:val="3C0E1DC6"/>
    <w:rsid w:val="3C350180"/>
    <w:rsid w:val="3CB27B7F"/>
    <w:rsid w:val="3EAE1333"/>
    <w:rsid w:val="4039711A"/>
    <w:rsid w:val="428848CF"/>
    <w:rsid w:val="42C5372B"/>
    <w:rsid w:val="435033F0"/>
    <w:rsid w:val="451200B3"/>
    <w:rsid w:val="460D6897"/>
    <w:rsid w:val="48C2669E"/>
    <w:rsid w:val="49810C65"/>
    <w:rsid w:val="4C615739"/>
    <w:rsid w:val="4E2C5712"/>
    <w:rsid w:val="4FBE9E45"/>
    <w:rsid w:val="508E0988"/>
    <w:rsid w:val="50BD5E1A"/>
    <w:rsid w:val="50CD6CD5"/>
    <w:rsid w:val="51DA41BF"/>
    <w:rsid w:val="51DB6199"/>
    <w:rsid w:val="561D00D3"/>
    <w:rsid w:val="567A47C5"/>
    <w:rsid w:val="59224657"/>
    <w:rsid w:val="593659D6"/>
    <w:rsid w:val="5B380402"/>
    <w:rsid w:val="5C454A26"/>
    <w:rsid w:val="5D6D3F12"/>
    <w:rsid w:val="5D817942"/>
    <w:rsid w:val="5DC475F0"/>
    <w:rsid w:val="5E1E6906"/>
    <w:rsid w:val="5ED95286"/>
    <w:rsid w:val="5FC26101"/>
    <w:rsid w:val="60A46527"/>
    <w:rsid w:val="62393C54"/>
    <w:rsid w:val="63217256"/>
    <w:rsid w:val="645D636E"/>
    <w:rsid w:val="648D0CE1"/>
    <w:rsid w:val="65BE4C71"/>
    <w:rsid w:val="68DA55BD"/>
    <w:rsid w:val="6B3B0481"/>
    <w:rsid w:val="6CE62940"/>
    <w:rsid w:val="6DFF29E8"/>
    <w:rsid w:val="71D631AF"/>
    <w:rsid w:val="72B73991"/>
    <w:rsid w:val="76CB3F79"/>
    <w:rsid w:val="772D16F5"/>
    <w:rsid w:val="77704BDB"/>
    <w:rsid w:val="77745CF2"/>
    <w:rsid w:val="785415C7"/>
    <w:rsid w:val="7A935AC6"/>
    <w:rsid w:val="7CCF0986"/>
    <w:rsid w:val="F7DED237"/>
    <w:rsid w:val="FF7C6264"/>
    <w:rsid w:val="FFE3F6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unhideWhenUsed/>
    <w:qFormat/>
    <w:uiPriority w:val="99"/>
    <w:pPr>
      <w:spacing w:after="120"/>
      <w:ind w:left="420" w:leftChars="200"/>
    </w:pPr>
    <w:rPr>
      <w:rFonts w:hAnsi="Calibri"/>
      <w:kern w:val="0"/>
      <w:szCs w:val="20"/>
    </w:rPr>
  </w:style>
  <w:style w:type="paragraph" w:styleId="4">
    <w:name w:val="Normal Indent"/>
    <w:basedOn w:val="1"/>
    <w:qFormat/>
    <w:uiPriority w:val="0"/>
    <w:pPr>
      <w:ind w:firstLine="420"/>
    </w:pPr>
    <w:rPr>
      <w:rFonts w:ascii="Times New Roman" w:hAnsi="Times New Roman" w:cs="Times New Roman"/>
      <w:szCs w:val="20"/>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100" w:beforeLines="0" w:beforeAutospacing="1" w:after="100" w:afterLines="0" w:afterAutospacing="1"/>
      <w:ind w:left="0" w:right="0"/>
      <w:jc w:val="left"/>
    </w:pPr>
    <w:rPr>
      <w:color w:val="CC0000"/>
      <w:kern w:val="0"/>
      <w:sz w:val="24"/>
      <w:u w:val="single"/>
      <w:lang w:val="en-US" w:eastAsia="zh-CN" w:bidi="ar-SA"/>
    </w:rPr>
  </w:style>
  <w:style w:type="character" w:styleId="10">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1124</Words>
  <Characters>1148</Characters>
  <Lines>0</Lines>
  <Paragraphs>0</Paragraphs>
  <TotalTime>2</TotalTime>
  <ScaleCrop>false</ScaleCrop>
  <LinksUpToDate>false</LinksUpToDate>
  <CharactersWithSpaces>1152</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2021-11-10T06:11:00Z</dcterms:created>
  <dc:creator>anshenghui</dc:creator>
  <cp:lastModifiedBy>miu</cp:lastModifiedBy>
  <cp:lastPrinted>2021-11-10T09:23:00Z</cp:lastPrinted>
  <dcterms:modified xsi:type="dcterms:W3CDTF">2023-09-06T00:23:11Z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59C52D3E5ED14B2AAC34DFF374B5170D</vt:lpwstr>
  </property>
</Properties>
</file>