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bCs/>
          <w:color w:val="000000"/>
          <w:sz w:val="44"/>
          <w:szCs w:val="44"/>
          <w:lang w:eastAsia="zh-CN"/>
        </w:rPr>
        <w:t>福建省药品</w:t>
      </w:r>
      <w:r>
        <w:rPr>
          <w:rFonts w:hint="eastAsia" w:ascii="Times New Roman" w:hAnsi="Times New Roman" w:eastAsia="方正小标宋简体" w:cs="方正小标宋简体"/>
          <w:bCs/>
          <w:color w:val="000000"/>
          <w:sz w:val="44"/>
          <w:szCs w:val="44"/>
        </w:rPr>
        <w:t>监督管理局</w:t>
      </w:r>
      <w:r>
        <w:rPr>
          <w:rFonts w:hint="eastAsia" w:ascii="Times New Roman" w:hAnsi="Times New Roman" w:eastAsia="方正小标宋简体" w:cs="方正小标宋简体"/>
          <w:bCs/>
          <w:color w:val="000000"/>
          <w:sz w:val="44"/>
          <w:szCs w:val="44"/>
          <w:lang w:eastAsia="zh-CN"/>
        </w:rPr>
        <w:t>厦门药品稽查办公室</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楷体" w:hAnsi="楷体" w:eastAsia="楷体" w:cs="楷体"/>
          <w:b w:val="0"/>
          <w:bCs w:val="0"/>
          <w:sz w:val="32"/>
          <w:szCs w:val="32"/>
          <w:u w:val="none"/>
          <w:lang w:val="en-US" w:eastAsia="zh-CN"/>
        </w:rPr>
      </w:pPr>
      <w:r>
        <w:rPr>
          <w:rFonts w:hint="eastAsia" w:ascii="Times New Roman" w:hAnsi="Times New Roman" w:eastAsia="方正小标宋简体" w:cs="方正小标宋简体"/>
          <w:bCs/>
          <w:color w:val="000000"/>
          <w:sz w:val="44"/>
          <w:szCs w:val="44"/>
        </w:rPr>
        <w:t>行政处罚决定书</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仿宋" w:hAnsi="仿宋" w:eastAsia="仿宋" w:cs="仿宋"/>
          <w:b w:val="0"/>
          <w:bCs w:val="0"/>
          <w:sz w:val="32"/>
          <w:szCs w:val="32"/>
          <w:u w:val="none"/>
          <w:lang w:val="en-US" w:eastAsia="zh-CN"/>
        </w:rPr>
      </w:pPr>
      <w:r>
        <w:rPr>
          <w:rFonts w:hint="eastAsia" w:ascii="仿宋" w:hAnsi="仿宋" w:eastAsia="仿宋" w:cs="仿宋"/>
          <w:b w:val="0"/>
          <w:bCs w:val="0"/>
          <w:sz w:val="32"/>
          <w:szCs w:val="32"/>
          <w:u w:val="single"/>
          <w:lang w:val="en-US" w:eastAsia="zh-CN"/>
        </w:rPr>
        <w:t>闽药</w:t>
      </w:r>
      <w:r>
        <w:rPr>
          <w:rFonts w:hint="eastAsia" w:ascii="仿宋" w:hAnsi="仿宋" w:eastAsia="仿宋" w:cs="仿宋"/>
          <w:b w:val="0"/>
          <w:bCs w:val="0"/>
          <w:sz w:val="32"/>
          <w:szCs w:val="32"/>
          <w:u w:val="none"/>
          <w:lang w:val="en-US" w:eastAsia="zh-CN"/>
        </w:rPr>
        <w:t>监厦稽办〔</w:t>
      </w:r>
      <w:r>
        <w:rPr>
          <w:rFonts w:hint="eastAsia" w:ascii="仿宋" w:hAnsi="仿宋" w:eastAsia="仿宋" w:cs="仿宋"/>
          <w:b w:val="0"/>
          <w:bCs w:val="0"/>
          <w:sz w:val="32"/>
          <w:szCs w:val="32"/>
          <w:u w:val="single"/>
          <w:lang w:val="en-US" w:eastAsia="zh-CN"/>
        </w:rPr>
        <w:t>2022</w:t>
      </w:r>
      <w:r>
        <w:rPr>
          <w:rFonts w:hint="eastAsia" w:ascii="仿宋" w:hAnsi="仿宋" w:eastAsia="仿宋" w:cs="仿宋"/>
          <w:b w:val="0"/>
          <w:bCs w:val="0"/>
          <w:sz w:val="32"/>
          <w:szCs w:val="32"/>
          <w:u w:val="none"/>
          <w:lang w:val="en-US" w:eastAsia="zh-CN"/>
        </w:rPr>
        <w:t>〕</w:t>
      </w:r>
      <w:r>
        <w:rPr>
          <w:rFonts w:hint="eastAsia" w:ascii="仿宋" w:hAnsi="仿宋" w:eastAsia="仿宋" w:cs="仿宋"/>
          <w:b w:val="0"/>
          <w:bCs w:val="0"/>
          <w:sz w:val="32"/>
          <w:szCs w:val="32"/>
          <w:u w:val="single"/>
          <w:lang w:val="en-US" w:eastAsia="zh-CN"/>
        </w:rPr>
        <w:t>2-006</w:t>
      </w:r>
      <w:r>
        <w:rPr>
          <w:rFonts w:hint="eastAsia" w:ascii="仿宋" w:hAnsi="仿宋" w:eastAsia="仿宋" w:cs="仿宋"/>
          <w:b w:val="0"/>
          <w:bCs w:val="0"/>
          <w:sz w:val="32"/>
          <w:szCs w:val="32"/>
          <w:u w:val="none"/>
          <w:lang w:val="en-US" w:eastAsia="zh-CN"/>
        </w:rPr>
        <w:t>号</w:t>
      </w:r>
    </w:p>
    <w:p>
      <w:pPr>
        <w:keepNext w:val="0"/>
        <w:keepLines w:val="0"/>
        <w:pageBreakBefore w:val="0"/>
        <w:widowControl w:val="0"/>
        <w:kinsoku/>
        <w:overflowPunct/>
        <w:topLinePunct w:val="0"/>
        <w:autoSpaceDE/>
        <w:autoSpaceDN/>
        <w:bidi w:val="0"/>
        <w:adjustRightInd/>
        <w:snapToGrid/>
        <w:spacing w:line="520" w:lineRule="exact"/>
        <w:textAlignment w:val="auto"/>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 w:hAnsi="仿宋" w:eastAsia="仿宋" w:cs="仿宋"/>
          <w:sz w:val="24"/>
          <w:szCs w:val="24"/>
          <w:u w:val="single"/>
          <w:lang w:val="en-US" w:eastAsia="zh-CN"/>
        </w:rPr>
      </w:pPr>
      <w:r>
        <w:rPr>
          <w:rFonts w:hint="eastAsia" w:ascii="仿宋" w:hAnsi="仿宋" w:eastAsia="仿宋" w:cs="仿宋"/>
          <w:sz w:val="32"/>
          <w:szCs w:val="32"/>
          <w:lang w:eastAsia="zh-CN"/>
        </w:rPr>
        <w:t>当事人</w:t>
      </w:r>
      <w:r>
        <w:rPr>
          <w:rFonts w:hint="eastAsia" w:ascii="仿宋" w:hAnsi="仿宋" w:eastAsia="仿宋" w:cs="仿宋"/>
          <w:sz w:val="24"/>
          <w:szCs w:val="24"/>
          <w:lang w:eastAsia="zh-CN"/>
        </w:rPr>
        <w:t>：</w:t>
      </w:r>
      <w:r>
        <w:rPr>
          <w:rFonts w:hint="eastAsia" w:ascii="仿宋" w:hAnsi="仿宋" w:eastAsia="仿宋" w:cs="仿宋"/>
          <w:sz w:val="32"/>
          <w:szCs w:val="32"/>
          <w:u w:val="none" w:color="auto"/>
          <w:lang w:val="en-US" w:eastAsia="zh-CN"/>
        </w:rPr>
        <w:t>华润东大（福建）医药有限公司</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主体资格证照名称：营业执照</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统一社会信用代码：</w:t>
      </w:r>
      <w:r>
        <w:rPr>
          <w:rFonts w:hint="eastAsia" w:ascii="仿宋" w:hAnsi="仿宋" w:eastAsia="仿宋" w:cs="仿宋"/>
          <w:kern w:val="1"/>
          <w:sz w:val="32"/>
          <w:szCs w:val="32"/>
          <w:u w:val="none" w:color="auto"/>
          <w:lang w:val="en-US" w:eastAsia="zh-CN"/>
        </w:rPr>
        <w:t>913505027173538745</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 w:hAnsi="仿宋" w:eastAsia="仿宋" w:cs="仿宋"/>
          <w:sz w:val="32"/>
          <w:szCs w:val="32"/>
          <w:u w:val="single"/>
          <w:lang w:val="en-US" w:eastAsia="zh-CN"/>
        </w:rPr>
      </w:pPr>
      <w:r>
        <w:rPr>
          <w:rFonts w:hint="eastAsia" w:ascii="仿宋" w:hAnsi="仿宋" w:eastAsia="仿宋" w:cs="仿宋"/>
          <w:sz w:val="32"/>
          <w:szCs w:val="32"/>
          <w:u w:val="none"/>
          <w:lang w:val="en-US" w:eastAsia="zh-CN"/>
        </w:rPr>
        <w:t>住所（住址）：</w:t>
      </w:r>
      <w:r>
        <w:rPr>
          <w:rFonts w:hint="eastAsia" w:ascii="仿宋" w:hAnsi="仿宋" w:eastAsia="仿宋" w:cs="仿宋"/>
          <w:kern w:val="1"/>
          <w:sz w:val="32"/>
          <w:szCs w:val="32"/>
          <w:u w:val="none" w:color="auto"/>
          <w:lang w:eastAsia="zh-CN"/>
        </w:rPr>
        <w:t>泉州市鲤城区常泰街道新塘社区常泰路598号西侧营运大楼</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仿宋" w:hAnsi="仿宋" w:eastAsia="仿宋" w:cs="仿宋"/>
          <w:sz w:val="32"/>
          <w:szCs w:val="32"/>
          <w:highlight w:val="none"/>
          <w:u w:val="single"/>
          <w:lang w:val="en-US" w:eastAsia="zh-CN"/>
        </w:rPr>
      </w:pPr>
      <w:r>
        <w:rPr>
          <w:rFonts w:hint="eastAsia" w:ascii="仿宋" w:hAnsi="仿宋" w:eastAsia="仿宋" w:cs="仿宋"/>
          <w:sz w:val="32"/>
          <w:szCs w:val="32"/>
          <w:u w:val="none"/>
          <w:lang w:val="en-US" w:eastAsia="zh-CN"/>
        </w:rPr>
        <w:t>法定代表人（负责人、经营者）：</w:t>
      </w:r>
      <w:r>
        <w:rPr>
          <w:rFonts w:hint="eastAsia" w:ascii="仿宋" w:hAnsi="仿宋" w:eastAsia="仿宋" w:cs="仿宋"/>
          <w:color w:val="231F20"/>
          <w:sz w:val="32"/>
          <w:szCs w:val="32"/>
          <w:u w:val="none" w:color="auto"/>
          <w:lang w:eastAsia="zh-CN"/>
        </w:rPr>
        <w:t>陈威</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default"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身份证号码：***</w:t>
      </w:r>
    </w:p>
    <w:p>
      <w:pPr>
        <w:keepNext w:val="0"/>
        <w:keepLines w:val="0"/>
        <w:pageBreakBefore w:val="0"/>
        <w:widowControl w:val="0"/>
        <w:kinsoku/>
        <w:wordWrap/>
        <w:overflowPunct/>
        <w:topLinePunct w:val="0"/>
        <w:autoSpaceDE/>
        <w:autoSpaceDN/>
        <w:bidi w:val="0"/>
        <w:adjustRightInd/>
        <w:snapToGrid/>
        <w:spacing w:after="0" w:afterLines="0" w:line="520" w:lineRule="exact"/>
        <w:ind w:right="0" w:rightChars="0" w:firstLine="662" w:firstLineChars="200"/>
        <w:textAlignment w:val="auto"/>
        <w:outlineLvl w:val="9"/>
        <w:rPr>
          <w:rFonts w:hint="eastAsia" w:ascii="仿宋" w:hAnsi="仿宋" w:eastAsia="仿宋" w:cs="仿宋"/>
          <w:color w:val="231F20"/>
          <w:sz w:val="32"/>
          <w:szCs w:val="32"/>
          <w:u w:val="none" w:color="auto"/>
          <w:lang w:val="en-US" w:eastAsia="zh-CN"/>
        </w:rPr>
      </w:pPr>
      <w:r>
        <w:rPr>
          <w:rFonts w:hint="eastAsia" w:ascii="仿宋" w:hAnsi="仿宋" w:eastAsia="仿宋" w:cs="仿宋"/>
          <w:color w:val="auto"/>
          <w:sz w:val="32"/>
          <w:szCs w:val="32"/>
          <w:u w:val="none" w:color="auto"/>
          <w:lang w:val="en-US" w:eastAsia="zh-CN"/>
        </w:rPr>
        <w:t>根据案源线索，本办于2022年11月15日对当事人注册地址和仓库进行执法检查</w:t>
      </w:r>
      <w:r>
        <w:rPr>
          <w:rFonts w:hint="eastAsia" w:ascii="仿宋" w:hAnsi="仿宋" w:eastAsia="仿宋" w:cs="仿宋"/>
          <w:color w:val="000000"/>
          <w:sz w:val="32"/>
          <w:szCs w:val="32"/>
          <w:u w:val="none" w:color="auto"/>
          <w:lang w:val="en-US" w:eastAsia="zh-CN"/>
        </w:rPr>
        <w:t>，提取了当事人药品经营许可证、营业执照、涉案批次药品的购销存记录及相关票据、供购货单位档案等材料。执法人员现场未发现涉案批次药品库存，未采取行政强制措施。</w:t>
      </w:r>
    </w:p>
    <w:p>
      <w:pPr>
        <w:keepNext w:val="0"/>
        <w:keepLines w:val="0"/>
        <w:pageBreakBefore w:val="0"/>
        <w:widowControl w:val="0"/>
        <w:kinsoku/>
        <w:wordWrap/>
        <w:overflowPunct/>
        <w:topLinePunct w:val="0"/>
        <w:autoSpaceDE/>
        <w:autoSpaceDN/>
        <w:bidi w:val="0"/>
        <w:adjustRightInd/>
        <w:snapToGrid/>
        <w:spacing w:after="0" w:afterLines="0" w:line="520" w:lineRule="exact"/>
        <w:ind w:right="0" w:rightChars="0" w:firstLine="662" w:firstLineChars="200"/>
        <w:textAlignment w:val="auto"/>
        <w:outlineLvl w:val="9"/>
        <w:rPr>
          <w:rFonts w:hint="eastAsia" w:ascii="仿宋" w:hAnsi="仿宋" w:eastAsia="仿宋" w:cs="仿宋"/>
          <w:color w:val="231F20"/>
          <w:sz w:val="32"/>
          <w:szCs w:val="32"/>
          <w:u w:val="none" w:color="auto"/>
          <w:lang w:val="en-US" w:eastAsia="zh-CN"/>
        </w:rPr>
      </w:pPr>
      <w:r>
        <w:rPr>
          <w:rFonts w:hint="eastAsia" w:ascii="仿宋" w:hAnsi="仿宋" w:eastAsia="仿宋" w:cs="仿宋"/>
          <w:color w:val="231F20"/>
          <w:sz w:val="32"/>
          <w:szCs w:val="32"/>
          <w:u w:val="none" w:color="auto"/>
          <w:lang w:val="en-US" w:eastAsia="zh-CN"/>
        </w:rPr>
        <w:t>本办于2022年11月15日对当事人涉嫌违反《中华人民共和国药品管理法》第九十八条第一款的行为进行</w:t>
      </w:r>
      <w:r>
        <w:rPr>
          <w:rFonts w:hint="eastAsia" w:ascii="仿宋" w:hAnsi="仿宋" w:eastAsia="仿宋" w:cs="仿宋"/>
          <w:sz w:val="32"/>
          <w:szCs w:val="32"/>
          <w:u w:val="none" w:color="auto"/>
          <w:lang w:val="en-US" w:eastAsia="zh-CN"/>
        </w:rPr>
        <w:t>立案</w:t>
      </w:r>
      <w:r>
        <w:rPr>
          <w:rFonts w:hint="eastAsia" w:ascii="仿宋" w:hAnsi="仿宋" w:eastAsia="仿宋" w:cs="仿宋"/>
          <w:color w:val="231F20"/>
          <w:sz w:val="32"/>
          <w:szCs w:val="32"/>
          <w:u w:val="none" w:color="auto"/>
          <w:lang w:val="en-US" w:eastAsia="zh-CN"/>
        </w:rPr>
        <w:t>调查。</w:t>
      </w:r>
    </w:p>
    <w:p>
      <w:pPr>
        <w:keepNext w:val="0"/>
        <w:keepLines w:val="0"/>
        <w:pageBreakBefore w:val="0"/>
        <w:widowControl w:val="0"/>
        <w:kinsoku/>
        <w:wordWrap/>
        <w:overflowPunct/>
        <w:topLinePunct w:val="0"/>
        <w:autoSpaceDE/>
        <w:autoSpaceDN/>
        <w:bidi w:val="0"/>
        <w:adjustRightInd/>
        <w:snapToGrid/>
        <w:spacing w:after="0" w:afterLines="0" w:line="520" w:lineRule="exact"/>
        <w:ind w:right="0" w:rightChars="0" w:firstLine="662" w:firstLineChars="200"/>
        <w:textAlignment w:val="auto"/>
        <w:outlineLvl w:val="9"/>
        <w:rPr>
          <w:rFonts w:hint="default" w:ascii="仿宋" w:hAnsi="仿宋" w:eastAsia="仿宋" w:cs="仿宋"/>
          <w:color w:val="231F20"/>
          <w:sz w:val="32"/>
          <w:szCs w:val="32"/>
          <w:u w:val="none" w:color="auto"/>
          <w:lang w:val="en-US" w:eastAsia="zh-CN"/>
        </w:rPr>
      </w:pPr>
      <w:r>
        <w:rPr>
          <w:rFonts w:hint="eastAsia" w:ascii="仿宋" w:hAnsi="仿宋" w:eastAsia="仿宋" w:cs="仿宋"/>
          <w:color w:val="231F20"/>
          <w:sz w:val="32"/>
          <w:szCs w:val="32"/>
          <w:u w:val="none" w:color="auto"/>
          <w:lang w:val="en-US" w:eastAsia="zh-CN"/>
        </w:rPr>
        <w:t>本办于2023年1月10日对当事人及相关人员进行询问调查。</w:t>
      </w:r>
    </w:p>
    <w:p>
      <w:pPr>
        <w:pStyle w:val="2"/>
        <w:keepNext w:val="0"/>
        <w:keepLines w:val="0"/>
        <w:pageBreakBefore w:val="0"/>
        <w:widowControl w:val="0"/>
        <w:numPr>
          <w:ilvl w:val="0"/>
          <w:numId w:val="0"/>
        </w:numPr>
        <w:tabs>
          <w:tab w:val="left" w:pos="8964"/>
        </w:tabs>
        <w:kinsoku/>
        <w:wordWrap/>
        <w:overflowPunct/>
        <w:topLinePunct w:val="0"/>
        <w:autoSpaceDE/>
        <w:autoSpaceDN/>
        <w:bidi w:val="0"/>
        <w:adjustRightInd/>
        <w:snapToGrid/>
        <w:spacing w:before="31" w:beforeLines="0" w:line="520" w:lineRule="exact"/>
        <w:ind w:firstLine="662" w:firstLineChars="200"/>
        <w:textAlignment w:val="auto"/>
        <w:rPr>
          <w:rFonts w:hint="eastAsia" w:ascii="仿宋" w:hAnsi="仿宋" w:eastAsia="仿宋" w:cs="仿宋"/>
          <w:color w:val="000000"/>
          <w:sz w:val="32"/>
          <w:szCs w:val="32"/>
          <w:u w:val="none" w:color="auto"/>
          <w:lang w:val="en-US" w:eastAsia="zh-CN"/>
        </w:rPr>
      </w:pPr>
      <w:bookmarkStart w:id="0" w:name="_Hlk18881741"/>
      <w:r>
        <w:rPr>
          <w:rFonts w:hint="eastAsia" w:ascii="仿宋" w:hAnsi="仿宋" w:eastAsia="仿宋" w:cs="仿宋"/>
          <w:color w:val="000000"/>
          <w:sz w:val="32"/>
          <w:szCs w:val="32"/>
          <w:u w:val="none" w:color="auto"/>
          <w:lang w:val="en-US" w:eastAsia="zh-CN"/>
        </w:rPr>
        <w:t>经查，一是涉案批次药品为劣药。涉案批次药品为氯化钠注射液（生产企业：扬州中宝药业股份有限公司，规格：10ml：90mg，包装规格：5支/盒，批号：322031401）。该药品于2022年7月19日经监督抽验“可见异物”项目的检验结果为“1支检出明显可见异物，不符合规定”，供样单位为鲤城区临江街道社区卫生服务中心（泉州市中医外科医院）。根据《中华人民共和国药品管理法》第九十八条第三款第七项的规定，该药品为劣药。</w:t>
      </w:r>
    </w:p>
    <w:p>
      <w:pPr>
        <w:pStyle w:val="2"/>
        <w:keepNext w:val="0"/>
        <w:keepLines w:val="0"/>
        <w:pageBreakBefore w:val="0"/>
        <w:widowControl w:val="0"/>
        <w:numPr>
          <w:ilvl w:val="0"/>
          <w:numId w:val="0"/>
        </w:numPr>
        <w:tabs>
          <w:tab w:val="left" w:pos="8964"/>
        </w:tabs>
        <w:kinsoku/>
        <w:wordWrap/>
        <w:overflowPunct/>
        <w:topLinePunct w:val="0"/>
        <w:autoSpaceDE/>
        <w:autoSpaceDN/>
        <w:bidi w:val="0"/>
        <w:adjustRightInd/>
        <w:snapToGrid/>
        <w:spacing w:before="31" w:beforeLines="0" w:line="520" w:lineRule="exact"/>
        <w:ind w:firstLine="662" w:firstLineChars="200"/>
        <w:textAlignment w:val="auto"/>
        <w:rPr>
          <w:rFonts w:hint="eastAsia" w:ascii="仿宋" w:hAnsi="仿宋" w:eastAsia="仿宋" w:cs="仿宋"/>
          <w:color w:val="000000"/>
          <w:sz w:val="32"/>
          <w:szCs w:val="32"/>
          <w:u w:val="none" w:color="auto"/>
          <w:lang w:val="en-US" w:eastAsia="zh-CN"/>
        </w:rPr>
      </w:pPr>
      <w:r>
        <w:rPr>
          <w:rFonts w:hint="eastAsia" w:ascii="仿宋" w:hAnsi="仿宋" w:eastAsia="仿宋" w:cs="仿宋"/>
          <w:color w:val="000000"/>
          <w:sz w:val="32"/>
          <w:szCs w:val="32"/>
          <w:u w:val="none" w:color="auto"/>
          <w:lang w:val="en-US" w:eastAsia="zh-CN"/>
        </w:rPr>
        <w:t>二是当事人销售劣药。当事人于2022年5月20日向扬州中宝药业股份有限公司采购该药品9000盒，采购单价为1.1元/盒，采购金额为9900元。当事人于2022年5月25日收货，并于2022年6月8日验收入库。从入库至2022年8月1日期间，共分73笔销售给鲤城区临江街道社区卫生服务中心（泉州市中医外科医院）等49家购货单位，销售单价为1.15-1.4元不等，销售金额合计10797元。</w:t>
      </w:r>
    </w:p>
    <w:p>
      <w:pPr>
        <w:pStyle w:val="2"/>
        <w:keepNext w:val="0"/>
        <w:keepLines w:val="0"/>
        <w:pageBreakBefore w:val="0"/>
        <w:widowControl w:val="0"/>
        <w:numPr>
          <w:ilvl w:val="0"/>
          <w:numId w:val="0"/>
        </w:numPr>
        <w:tabs>
          <w:tab w:val="left" w:pos="8964"/>
        </w:tabs>
        <w:kinsoku/>
        <w:wordWrap/>
        <w:overflowPunct/>
        <w:topLinePunct w:val="0"/>
        <w:autoSpaceDE/>
        <w:autoSpaceDN/>
        <w:bidi w:val="0"/>
        <w:adjustRightInd/>
        <w:snapToGrid/>
        <w:spacing w:before="31" w:beforeLines="0" w:line="520" w:lineRule="exact"/>
        <w:ind w:firstLine="662" w:firstLineChars="200"/>
        <w:textAlignment w:val="auto"/>
        <w:rPr>
          <w:rFonts w:hint="default" w:ascii="仿宋" w:hAnsi="仿宋" w:eastAsia="仿宋" w:cs="仿宋"/>
          <w:color w:val="auto"/>
          <w:sz w:val="32"/>
          <w:szCs w:val="32"/>
          <w:u w:val="none" w:color="auto"/>
          <w:lang w:val="en-US" w:eastAsia="zh-CN"/>
        </w:rPr>
      </w:pPr>
      <w:r>
        <w:rPr>
          <w:rFonts w:hint="eastAsia" w:ascii="仿宋" w:hAnsi="仿宋" w:eastAsia="仿宋" w:cs="仿宋"/>
          <w:color w:val="000000"/>
          <w:sz w:val="32"/>
          <w:szCs w:val="32"/>
          <w:u w:val="none" w:color="auto"/>
          <w:lang w:val="en-US" w:eastAsia="zh-CN"/>
        </w:rPr>
        <w:t>三是未发现当事人经营涉案批次药品期间，违反《中华人民共和国药品管理法》《中华人民共和国药品管理法实施条例》的有关规定。当事人于2022年8月10日接到鲤城区临江街道社区卫生服务中心（泉州市中医外科医院）电话通知，得知该批次药品经泉州市食品药品检验所检验，可见异物项不符合规定。当事人立即于2022年8月10日通知购货单位停售、追回。当事人于2022年8月25日收到扬州中宝药业股份有限公司的召回通知。截止2022年8月26日配合生产企业完成召回，共计召回4730盒，货值金额5679.76元。当事人于2022年8月26日将上述召回药品退给扬州中宝药业股份有限公司。因此违法所得为实际销售金额减去实际采购金额，等于5117.24-（9000-4730）*1.1=420.24元。鉴于1.当事人提供的供货单位药品生产许可证、营业执照、供货单位销售人员授权委托书及审核证明、药品合格证明、销售票据等证明真实合法；2.药品采购与收货记录、入库检查验收记录真实完整；3.药品的储存、养护、销售、出库复核、运输未违反有关规定且有真实完整的记录；4.当事人发现已售出药品有质量问题时，及时通知购货单位停售、追回。根据《福建省药品监管行政处罚裁量权适用实施细则（试行）》第八条的规定，视为当事人“有充分证据证明其不知道所销售的药品是劣药”。</w:t>
      </w:r>
    </w:p>
    <w:bookmarkEnd w:id="0"/>
    <w:p>
      <w:pPr>
        <w:pStyle w:val="2"/>
        <w:keepNext w:val="0"/>
        <w:keepLines w:val="0"/>
        <w:pageBreakBefore w:val="0"/>
        <w:widowControl w:val="0"/>
        <w:kinsoku/>
        <w:wordWrap/>
        <w:overflowPunct/>
        <w:topLinePunct w:val="0"/>
        <w:autoSpaceDE/>
        <w:autoSpaceDN/>
        <w:bidi w:val="0"/>
        <w:adjustRightInd/>
        <w:snapToGrid/>
        <w:spacing w:after="0" w:afterLines="0" w:line="520" w:lineRule="exact"/>
        <w:ind w:left="0" w:leftChars="0" w:right="0" w:rightChars="0" w:firstLine="618" w:firstLineChars="200"/>
        <w:jc w:val="left"/>
        <w:textAlignment w:val="auto"/>
        <w:outlineLvl w:val="9"/>
        <w:rPr>
          <w:rFonts w:hint="eastAsia" w:ascii="仿宋" w:hAnsi="仿宋" w:eastAsia="仿宋" w:cs="仿宋"/>
          <w:b w:val="0"/>
          <w:bCs w:val="0"/>
          <w:color w:val="231F20"/>
          <w:spacing w:val="-11"/>
          <w:u w:val="none" w:color="auto"/>
          <w:lang w:eastAsia="zh-CN"/>
        </w:rPr>
      </w:pPr>
      <w:r>
        <w:rPr>
          <w:rFonts w:hint="eastAsia" w:ascii="仿宋" w:hAnsi="仿宋" w:eastAsia="仿宋" w:cs="仿宋"/>
          <w:b w:val="0"/>
          <w:bCs w:val="0"/>
          <w:color w:val="231F20"/>
          <w:spacing w:val="-11"/>
          <w:u w:val="none" w:color="auto"/>
          <w:lang w:eastAsia="zh-CN"/>
        </w:rPr>
        <w:t>上述事实，主要有以下证据证明：</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right="0" w:rightChars="0" w:firstLine="662" w:firstLineChars="200"/>
        <w:jc w:val="both"/>
        <w:textAlignment w:val="auto"/>
        <w:outlineLvl w:val="9"/>
        <w:rPr>
          <w:rFonts w:hint="eastAsia" w:ascii="仿宋" w:hAnsi="仿宋" w:eastAsia="仿宋" w:cs="仿宋"/>
          <w:iCs/>
          <w:color w:val="231F20"/>
          <w:spacing w:val="-11"/>
          <w:sz w:val="32"/>
          <w:szCs w:val="32"/>
          <w:u w:val="none"/>
          <w:lang w:eastAsia="zh-CN"/>
        </w:rPr>
      </w:pPr>
      <w:bookmarkStart w:id="1" w:name="_Hlk18879128"/>
      <w:r>
        <w:rPr>
          <w:rFonts w:hint="eastAsia" w:ascii="仿宋" w:hAnsi="仿宋" w:eastAsia="仿宋" w:cs="仿宋"/>
          <w:color w:val="000000"/>
          <w:sz w:val="32"/>
          <w:szCs w:val="32"/>
          <w:u w:val="none" w:color="auto"/>
          <w:lang w:val="en-US" w:eastAsia="zh-CN"/>
        </w:rPr>
        <w:t>泉州市市场监督管理局《案件移送函》（泉市监二案移〔2022〕72号）及泉州市食品药品检验所《检验报告》（2022CDH0346）等附件。</w:t>
      </w:r>
      <w:r>
        <w:rPr>
          <w:rFonts w:hint="eastAsia" w:ascii="仿宋" w:hAnsi="仿宋" w:eastAsia="仿宋" w:cs="仿宋"/>
          <w:kern w:val="0"/>
          <w:sz w:val="32"/>
          <w:szCs w:val="32"/>
          <w:u w:val="none"/>
        </w:rPr>
        <w:t>证明</w:t>
      </w:r>
      <w:r>
        <w:rPr>
          <w:rFonts w:hint="eastAsia" w:ascii="仿宋" w:hAnsi="仿宋" w:eastAsia="仿宋" w:cs="仿宋"/>
          <w:kern w:val="0"/>
          <w:sz w:val="32"/>
          <w:szCs w:val="32"/>
          <w:u w:val="none"/>
          <w:lang w:eastAsia="zh-CN"/>
        </w:rPr>
        <w:t>：</w:t>
      </w:r>
      <w:r>
        <w:rPr>
          <w:rFonts w:hint="eastAsia" w:ascii="仿宋" w:hAnsi="仿宋" w:eastAsia="仿宋" w:cs="仿宋"/>
          <w:kern w:val="0"/>
          <w:sz w:val="32"/>
          <w:szCs w:val="32"/>
          <w:u w:val="none"/>
          <w:lang w:val="en-US" w:eastAsia="zh-CN"/>
        </w:rPr>
        <w:t>当事人销售劣药的案源和</w:t>
      </w:r>
      <w:r>
        <w:rPr>
          <w:rFonts w:hint="eastAsia" w:ascii="仿宋" w:hAnsi="仿宋" w:eastAsia="仿宋" w:cs="仿宋"/>
          <w:kern w:val="0"/>
          <w:sz w:val="32"/>
          <w:szCs w:val="32"/>
          <w:u w:val="none"/>
        </w:rPr>
        <w:t>涉案批次药品</w:t>
      </w:r>
      <w:r>
        <w:rPr>
          <w:rFonts w:hint="eastAsia" w:ascii="仿宋" w:hAnsi="仿宋" w:eastAsia="仿宋" w:cs="仿宋"/>
          <w:kern w:val="0"/>
          <w:sz w:val="32"/>
          <w:szCs w:val="32"/>
          <w:u w:val="none"/>
          <w:lang w:val="en-US" w:eastAsia="zh-CN"/>
        </w:rPr>
        <w:t>为劣药</w:t>
      </w:r>
      <w:r>
        <w:rPr>
          <w:rFonts w:hint="eastAsia" w:ascii="仿宋" w:hAnsi="仿宋" w:eastAsia="仿宋" w:cs="仿宋"/>
          <w:color w:val="auto"/>
          <w:sz w:val="32"/>
          <w:szCs w:val="32"/>
          <w:u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right="0" w:rightChars="0" w:firstLine="662"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当事人</w:t>
      </w:r>
      <w:r>
        <w:rPr>
          <w:rFonts w:hint="eastAsia" w:ascii="仿宋" w:hAnsi="仿宋" w:eastAsia="仿宋" w:cs="仿宋"/>
          <w:color w:val="auto"/>
          <w:sz w:val="32"/>
          <w:szCs w:val="32"/>
          <w:u w:val="none"/>
        </w:rPr>
        <w:t>营业执照</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药品经营许可证</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法人授权委托书、代理人</w:t>
      </w:r>
      <w:r>
        <w:rPr>
          <w:rFonts w:hint="eastAsia" w:ascii="仿宋" w:hAnsi="仿宋" w:eastAsia="仿宋" w:cs="仿宋"/>
          <w:color w:val="auto"/>
          <w:sz w:val="32"/>
          <w:szCs w:val="32"/>
          <w:u w:val="none"/>
        </w:rPr>
        <w:t>身份证复印件</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证明</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当事人主体资格</w:t>
      </w:r>
      <w:r>
        <w:rPr>
          <w:rFonts w:hint="eastAsia" w:ascii="仿宋" w:hAnsi="仿宋" w:eastAsia="仿宋" w:cs="仿宋"/>
          <w:color w:val="auto"/>
          <w:sz w:val="32"/>
          <w:szCs w:val="32"/>
          <w:u w:val="none"/>
          <w:lang w:val="en-US" w:eastAsia="zh-CN"/>
        </w:rPr>
        <w:t>及委托代理人身份</w:t>
      </w:r>
      <w:r>
        <w:rPr>
          <w:rFonts w:hint="eastAsia" w:ascii="仿宋" w:hAnsi="仿宋" w:eastAsia="仿宋" w:cs="仿宋"/>
          <w:iCs/>
          <w:color w:val="231F20"/>
          <w:spacing w:val="-11"/>
          <w:sz w:val="32"/>
          <w:szCs w:val="32"/>
          <w:u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right="0" w:rightChars="0" w:firstLine="662"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验收员询问笔录、涉案批次药品的采购订单、收货记录、验收记录、随货同行单、购进发票、成品检验报告单等记录和凭证。证明：当事人采购涉案批次药品的数量、金额。</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right="0" w:rightChars="0" w:firstLine="662" w:firstLineChars="200"/>
        <w:jc w:val="both"/>
        <w:textAlignment w:val="auto"/>
        <w:outlineLvl w:val="9"/>
        <w:rPr>
          <w:rFonts w:hint="eastAsia" w:ascii="仿宋" w:hAnsi="仿宋" w:eastAsia="仿宋" w:cs="仿宋"/>
          <w:iCs/>
          <w:color w:val="231F20"/>
          <w:spacing w:val="-11"/>
          <w:sz w:val="32"/>
          <w:szCs w:val="32"/>
          <w:u w:val="none"/>
          <w:lang w:eastAsia="zh-CN"/>
        </w:rPr>
      </w:pPr>
      <w:r>
        <w:rPr>
          <w:rFonts w:hint="eastAsia" w:ascii="仿宋" w:hAnsi="仿宋" w:eastAsia="仿宋" w:cs="仿宋"/>
          <w:color w:val="auto"/>
          <w:sz w:val="32"/>
          <w:szCs w:val="32"/>
          <w:u w:val="none"/>
          <w:lang w:val="en-US" w:eastAsia="zh-CN"/>
        </w:rPr>
        <w:t>当事人</w:t>
      </w:r>
      <w:r>
        <w:rPr>
          <w:rFonts w:hint="eastAsia" w:ascii="仿宋" w:hAnsi="仿宋" w:eastAsia="仿宋" w:cs="仿宋"/>
          <w:color w:val="auto"/>
          <w:kern w:val="1"/>
          <w:sz w:val="32"/>
          <w:szCs w:val="32"/>
          <w:u w:val="none"/>
          <w:lang w:val="en-US" w:eastAsia="zh-CN"/>
        </w:rPr>
        <w:t>询问笔录、《关于销售不合格药品氯化钠注射液（批号：322031401）》、</w:t>
      </w:r>
      <w:r>
        <w:rPr>
          <w:rFonts w:hint="eastAsia" w:ascii="仿宋" w:hAnsi="仿宋" w:eastAsia="仿宋" w:cs="仿宋"/>
          <w:color w:val="auto"/>
          <w:sz w:val="32"/>
          <w:szCs w:val="32"/>
          <w:u w:val="none"/>
          <w:lang w:val="en-US" w:eastAsia="zh-CN"/>
        </w:rPr>
        <w:t>涉案批次药品的销售记录、随货同行单、销售发票、送货单等记录和凭证</w:t>
      </w:r>
      <w:r>
        <w:rPr>
          <w:rFonts w:hint="eastAsia" w:ascii="仿宋" w:hAnsi="仿宋" w:eastAsia="仿宋" w:cs="仿宋"/>
          <w:color w:val="auto"/>
          <w:kern w:val="1"/>
          <w:sz w:val="32"/>
          <w:szCs w:val="32"/>
          <w:u w:val="none"/>
          <w:lang w:val="en-US" w:eastAsia="zh-CN"/>
        </w:rPr>
        <w:t>。证明：当事人销售劣药</w:t>
      </w:r>
      <w:r>
        <w:rPr>
          <w:rFonts w:hint="eastAsia" w:ascii="仿宋" w:hAnsi="仿宋" w:eastAsia="仿宋" w:cs="仿宋"/>
          <w:color w:val="000000"/>
          <w:sz w:val="32"/>
          <w:szCs w:val="32"/>
          <w:u w:val="none" w:color="auto"/>
          <w:lang w:val="en-US" w:eastAsia="zh-CN"/>
        </w:rPr>
        <w:t>的违法事实。</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right="0" w:rightChars="0" w:firstLine="662" w:firstLineChars="200"/>
        <w:jc w:val="both"/>
        <w:textAlignment w:val="auto"/>
        <w:outlineLvl w:val="9"/>
        <w:rPr>
          <w:rFonts w:hint="eastAsia" w:ascii="仿宋" w:hAnsi="仿宋" w:eastAsia="仿宋" w:cs="仿宋"/>
          <w:color w:val="auto"/>
          <w:sz w:val="32"/>
          <w:szCs w:val="32"/>
          <w:u w:val="none"/>
          <w:lang w:val="en-US" w:eastAsia="zh-CN"/>
        </w:rPr>
      </w:pPr>
      <w:r>
        <w:rPr>
          <w:rFonts w:hint="eastAsia" w:ascii="仿宋" w:hAnsi="仿宋" w:eastAsia="仿宋" w:cs="仿宋"/>
          <w:color w:val="auto"/>
          <w:kern w:val="1"/>
          <w:sz w:val="32"/>
          <w:szCs w:val="32"/>
          <w:u w:val="none"/>
          <w:lang w:val="en-US" w:eastAsia="zh-CN"/>
        </w:rPr>
        <w:t>当事人询问笔录、召回通知及回执、召回涉案批次药品的结果反馈及附件、销退验收记录、采退验收记录、退货发票等</w:t>
      </w:r>
      <w:r>
        <w:rPr>
          <w:rFonts w:hint="eastAsia" w:ascii="仿宋" w:hAnsi="仿宋" w:eastAsia="仿宋" w:cs="仿宋"/>
          <w:color w:val="auto"/>
          <w:sz w:val="32"/>
          <w:szCs w:val="32"/>
          <w:u w:val="none"/>
          <w:lang w:val="en-US" w:eastAsia="zh-CN"/>
        </w:rPr>
        <w:t>记录和凭证。证明：当事人发现已售出药品有质量问题时，立即通知购货单位停售、追回的事实</w:t>
      </w:r>
      <w:r>
        <w:rPr>
          <w:rFonts w:hint="eastAsia" w:ascii="仿宋" w:hAnsi="仿宋" w:eastAsia="仿宋" w:cs="仿宋"/>
          <w:color w:val="000000"/>
          <w:sz w:val="32"/>
          <w:szCs w:val="32"/>
          <w:u w:val="none" w:color="auto"/>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right="0" w:rightChars="0" w:firstLine="662" w:firstLineChars="200"/>
        <w:jc w:val="both"/>
        <w:textAlignment w:val="auto"/>
        <w:outlineLvl w:val="9"/>
        <w:rPr>
          <w:rFonts w:hint="default" w:ascii="仿宋" w:hAnsi="仿宋" w:eastAsia="仿宋" w:cs="仿宋"/>
          <w:color w:val="auto"/>
          <w:kern w:val="1"/>
          <w:sz w:val="32"/>
          <w:szCs w:val="32"/>
          <w:u w:val="none"/>
          <w:lang w:val="en-US" w:eastAsia="zh-CN"/>
        </w:rPr>
      </w:pPr>
      <w:r>
        <w:rPr>
          <w:rFonts w:hint="eastAsia" w:ascii="仿宋" w:hAnsi="仿宋" w:eastAsia="仿宋" w:cs="仿宋"/>
          <w:color w:val="auto"/>
          <w:sz w:val="32"/>
          <w:szCs w:val="32"/>
          <w:u w:val="none"/>
          <w:lang w:val="en-US" w:eastAsia="zh-CN"/>
        </w:rPr>
        <w:t>供货单位档案、体系调查表、药品质量保证协议书、涉案批次药品的品种资料、储存温湿度记录、购货单位的医疗机构执业许可证、采购人员及收货人员的授权委托书等记录和凭证。证明：当事人经营涉案批次药品购销程序合法，票据、供购货单位档案齐全，履行了资质审核、进货查验和储存养护的义务。</w:t>
      </w:r>
    </w:p>
    <w:bookmarkEnd w:id="1"/>
    <w:p>
      <w:pPr>
        <w:pStyle w:val="2"/>
        <w:keepNext w:val="0"/>
        <w:keepLines w:val="0"/>
        <w:pageBreakBefore w:val="0"/>
        <w:widowControl w:val="0"/>
        <w:tabs>
          <w:tab w:val="left" w:pos="8920"/>
        </w:tabs>
        <w:kinsoku/>
        <w:wordWrap/>
        <w:overflowPunct/>
        <w:topLinePunct w:val="0"/>
        <w:autoSpaceDE/>
        <w:autoSpaceDN/>
        <w:bidi w:val="0"/>
        <w:adjustRightInd/>
        <w:snapToGrid/>
        <w:spacing w:line="520" w:lineRule="exact"/>
        <w:ind w:left="0" w:leftChars="0" w:right="0" w:rightChars="0" w:firstLine="618" w:firstLineChars="200"/>
        <w:jc w:val="left"/>
        <w:textAlignment w:val="auto"/>
        <w:outlineLvl w:val="9"/>
        <w:rPr>
          <w:rFonts w:hint="default" w:ascii="仿宋" w:hAnsi="仿宋" w:eastAsia="仿宋" w:cs="仿宋"/>
          <w:b w:val="0"/>
          <w:bCs w:val="0"/>
          <w:color w:val="231F20"/>
          <w:spacing w:val="-11"/>
          <w:u w:val="none" w:color="auto"/>
          <w:lang w:val="en-US" w:eastAsia="zh-CN"/>
        </w:rPr>
      </w:pPr>
      <w:r>
        <w:rPr>
          <w:rFonts w:hint="eastAsia" w:ascii="仿宋" w:hAnsi="仿宋" w:eastAsia="仿宋" w:cs="仿宋"/>
          <w:b w:val="0"/>
          <w:bCs w:val="0"/>
          <w:color w:val="231F20"/>
          <w:spacing w:val="-11"/>
          <w:u w:val="none" w:color="auto"/>
          <w:lang w:val="en-US" w:eastAsia="zh-CN"/>
        </w:rPr>
        <w:t>本办于2023年3月2日向当事人宣告《行政处罚告知书》（闽药监厦稽办〔2022〕2-006号）并当场交付当事人，告知当事人有权进行陈述、申辩的权利。当事人在限期内未提出陈述、申辩。</w:t>
      </w:r>
    </w:p>
    <w:p>
      <w:pPr>
        <w:pStyle w:val="2"/>
        <w:keepNext w:val="0"/>
        <w:keepLines w:val="0"/>
        <w:pageBreakBefore w:val="0"/>
        <w:widowControl w:val="0"/>
        <w:tabs>
          <w:tab w:val="left" w:pos="8920"/>
        </w:tabs>
        <w:kinsoku/>
        <w:wordWrap/>
        <w:overflowPunct/>
        <w:topLinePunct w:val="0"/>
        <w:autoSpaceDE/>
        <w:autoSpaceDN/>
        <w:bidi w:val="0"/>
        <w:adjustRightInd/>
        <w:snapToGrid/>
        <w:spacing w:line="520" w:lineRule="exact"/>
        <w:ind w:left="0" w:leftChars="0" w:right="0" w:rightChars="0" w:firstLine="662" w:firstLineChars="200"/>
        <w:jc w:val="left"/>
        <w:textAlignment w:val="auto"/>
        <w:outlineLvl w:val="9"/>
        <w:rPr>
          <w:rFonts w:hint="eastAsia" w:ascii="仿宋" w:hAnsi="仿宋" w:eastAsia="仿宋" w:cs="仿宋"/>
          <w:lang w:val="en-US" w:eastAsia="zh-CN"/>
        </w:rPr>
      </w:pPr>
      <w:r>
        <w:rPr>
          <w:rFonts w:hint="eastAsia" w:ascii="仿宋" w:hAnsi="仿宋" w:eastAsia="仿宋" w:cs="仿宋"/>
          <w:color w:val="231F20"/>
          <w:u w:val="none" w:color="auto"/>
          <w:lang w:val="en-US" w:eastAsia="zh-CN"/>
        </w:rPr>
        <w:t>本办认为，</w:t>
      </w:r>
      <w:r>
        <w:rPr>
          <w:rFonts w:hint="eastAsia" w:ascii="仿宋" w:hAnsi="仿宋" w:eastAsia="仿宋" w:cs="仿宋"/>
          <w:color w:val="231F20"/>
          <w:u w:val="none" w:color="auto"/>
          <w:lang w:eastAsia="zh-CN"/>
        </w:rPr>
        <w:t>“可见异物”项目不符合药品标准的氯化钠注射液，属于《中华人民共和国药品管理法》第九十八条第三款第七项规定的情形，为劣药。当事人销售劣药氯化钠注射液（生产企业：扬州中宝药业股份有限公司，规格：10ml：90mg，包装规格：5支/盒，批号：322031401）的行为，违反《中华人民共和国药品管理法》第九十八条第一款的规定，</w:t>
      </w:r>
      <w:r>
        <w:rPr>
          <w:rFonts w:hint="eastAsia" w:ascii="仿宋" w:hAnsi="仿宋" w:eastAsia="仿宋" w:cs="仿宋"/>
          <w:kern w:val="0"/>
          <w:sz w:val="32"/>
          <w:szCs w:val="32"/>
          <w:u w:val="none" w:color="auto"/>
          <w:lang w:val="en-US" w:eastAsia="zh-CN" w:bidi="ar"/>
        </w:rPr>
        <w:t>依据《中华人民共和国行政处罚法》第二十八条第一款、《中华人民共和国药品管理法》第一百一十七条第一款</w:t>
      </w:r>
      <w:r>
        <w:rPr>
          <w:rFonts w:hint="eastAsia" w:ascii="仿宋" w:hAnsi="仿宋" w:eastAsia="仿宋" w:cs="仿宋"/>
          <w:color w:val="231F20"/>
          <w:sz w:val="32"/>
          <w:szCs w:val="32"/>
          <w:u w:val="none" w:color="auto"/>
          <w:lang w:eastAsia="zh-CN"/>
        </w:rPr>
        <w:t>的</w:t>
      </w:r>
      <w:r>
        <w:rPr>
          <w:rFonts w:hint="eastAsia" w:ascii="仿宋" w:hAnsi="仿宋" w:eastAsia="仿宋" w:cs="仿宋"/>
          <w:color w:val="231F20"/>
          <w:sz w:val="32"/>
          <w:szCs w:val="32"/>
          <w:u w:val="none" w:color="auto"/>
          <w:lang w:val="en-US" w:eastAsia="zh-CN"/>
        </w:rPr>
        <w:t>规定进行处罚。</w:t>
      </w:r>
    </w:p>
    <w:p>
      <w:pPr>
        <w:keepNext w:val="0"/>
        <w:keepLines w:val="0"/>
        <w:pageBreakBefore w:val="0"/>
        <w:widowControl w:val="0"/>
        <w:numPr>
          <w:ilvl w:val="0"/>
          <w:numId w:val="0"/>
        </w:numPr>
        <w:kinsoku/>
        <w:wordWrap/>
        <w:overflowPunct/>
        <w:topLinePunct w:val="0"/>
        <w:autoSpaceDE/>
        <w:autoSpaceDN w:val="0"/>
        <w:bidi w:val="0"/>
        <w:adjustRightInd/>
        <w:snapToGrid/>
        <w:spacing w:beforeLines="0" w:afterLines="0" w:line="520" w:lineRule="exact"/>
        <w:ind w:firstLine="662" w:firstLineChars="200"/>
        <w:textAlignment w:val="auto"/>
        <w:rPr>
          <w:rFonts w:hint="eastAsia" w:ascii="仿宋" w:hAnsi="仿宋" w:eastAsia="仿宋" w:cs="仿宋"/>
          <w:sz w:val="30"/>
          <w:szCs w:val="30"/>
          <w:u w:val="none" w:color="auto"/>
          <w:lang w:val="en-US" w:eastAsia="zh-CN"/>
        </w:rPr>
      </w:pPr>
      <w:bookmarkStart w:id="2" w:name="_Hlk18882991"/>
      <w:r>
        <w:rPr>
          <w:rFonts w:hint="eastAsia" w:ascii="仿宋" w:hAnsi="仿宋" w:eastAsia="仿宋" w:cs="仿宋"/>
          <w:sz w:val="32"/>
          <w:szCs w:val="32"/>
          <w:u w:val="none" w:color="auto"/>
          <w:lang w:val="en-US" w:eastAsia="zh-CN"/>
        </w:rPr>
        <w:t>鉴于当事人发现已售出药品有质量问题时，及时通知购货单位停售、追回；当事人经营涉案批次药品购销程序合法，票据、供购货单位档案齐全，履行了资质审核、进货查验和储存养护的义务。未发现当事人经营涉案批次药品违反《中华人民共和国药品管理法》《中华人民共和国药品管理法实施条例》的有关规定，有充分证据证明其不知道所销售的药品是劣药，符合《中华人民共和国药品管理法实施条例》第七十五条的规定，本办决定依法</w:t>
      </w:r>
      <w:r>
        <w:rPr>
          <w:rFonts w:hint="eastAsia" w:ascii="Times New Roman" w:hAnsi="Times New Roman" w:eastAsia="仿宋" w:cs="仿宋"/>
          <w:color w:val="auto"/>
          <w:sz w:val="32"/>
          <w:szCs w:val="32"/>
          <w:highlight w:val="none"/>
          <w:lang w:val="en-US" w:eastAsia="zh-CN"/>
        </w:rPr>
        <w:t>没收其违法所得</w:t>
      </w:r>
      <w:r>
        <w:rPr>
          <w:rFonts w:hint="eastAsia" w:ascii="仿宋" w:hAnsi="仿宋" w:eastAsia="仿宋" w:cs="仿宋"/>
          <w:sz w:val="32"/>
          <w:szCs w:val="32"/>
          <w:u w:val="none" w:color="auto"/>
          <w:lang w:val="en-US" w:eastAsia="zh-CN"/>
        </w:rPr>
        <w:t>。</w:t>
      </w:r>
    </w:p>
    <w:p>
      <w:pPr>
        <w:keepNext w:val="0"/>
        <w:keepLines w:val="0"/>
        <w:pageBreakBefore w:val="0"/>
        <w:widowControl w:val="0"/>
        <w:tabs>
          <w:tab w:val="left" w:pos="2440"/>
          <w:tab w:val="left" w:pos="8964"/>
        </w:tabs>
        <w:kinsoku/>
        <w:wordWrap/>
        <w:overflowPunct/>
        <w:topLinePunct w:val="0"/>
        <w:autoSpaceDE/>
        <w:autoSpaceDN/>
        <w:bidi w:val="0"/>
        <w:adjustRightInd/>
        <w:snapToGrid/>
        <w:spacing w:line="520" w:lineRule="exact"/>
        <w:ind w:left="0" w:leftChars="0" w:right="0" w:rightChars="0" w:firstLine="662" w:firstLineChars="200"/>
        <w:jc w:val="left"/>
        <w:textAlignment w:val="auto"/>
        <w:outlineLvl w:val="9"/>
        <w:rPr>
          <w:rFonts w:hint="eastAsia" w:ascii="仿宋" w:hAnsi="仿宋" w:eastAsia="仿宋" w:cs="仿宋"/>
          <w:color w:val="auto"/>
          <w:kern w:val="0"/>
          <w:sz w:val="32"/>
          <w:szCs w:val="32"/>
          <w:u w:val="none"/>
        </w:rPr>
      </w:pPr>
      <w:r>
        <w:rPr>
          <w:rFonts w:hint="eastAsia" w:ascii="仿宋" w:hAnsi="仿宋" w:eastAsia="仿宋" w:cs="仿宋"/>
          <w:sz w:val="32"/>
          <w:szCs w:val="32"/>
          <w:u w:val="none" w:color="auto"/>
          <w:lang w:val="en-US" w:eastAsia="zh-CN"/>
        </w:rPr>
        <w:t>综上，当事人上述违法行为违反了</w:t>
      </w:r>
      <w:r>
        <w:rPr>
          <w:rFonts w:hint="eastAsia" w:ascii="仿宋" w:hAnsi="仿宋" w:eastAsia="仿宋" w:cs="仿宋"/>
          <w:sz w:val="32"/>
          <w:szCs w:val="32"/>
          <w:u w:val="single" w:color="auto"/>
          <w:lang w:val="en-US" w:eastAsia="zh-CN"/>
        </w:rPr>
        <w:t xml:space="preserve"> 《中华人民共和国药品管理法》第九十八条第一款的规定 </w:t>
      </w:r>
      <w:r>
        <w:rPr>
          <w:rFonts w:hint="eastAsia" w:ascii="仿宋" w:hAnsi="仿宋" w:eastAsia="仿宋" w:cs="仿宋"/>
          <w:sz w:val="32"/>
          <w:szCs w:val="32"/>
          <w:u w:val="none" w:color="auto"/>
          <w:lang w:val="en-US" w:eastAsia="zh-CN"/>
        </w:rPr>
        <w:t>，依据</w:t>
      </w:r>
      <w:bookmarkStart w:id="3" w:name="_Hlk18885433"/>
      <w:bookmarkStart w:id="4" w:name="_Hlk18008700"/>
      <w:r>
        <w:rPr>
          <w:rFonts w:hint="eastAsia" w:ascii="仿宋" w:hAnsi="仿宋" w:eastAsia="仿宋" w:cs="仿宋"/>
          <w:sz w:val="32"/>
          <w:szCs w:val="32"/>
          <w:u w:val="single" w:color="auto"/>
          <w:lang w:val="en-US" w:eastAsia="zh-CN"/>
        </w:rPr>
        <w:t xml:space="preserve"> </w:t>
      </w:r>
      <w:r>
        <w:rPr>
          <w:rFonts w:hint="eastAsia" w:ascii="仿宋" w:hAnsi="仿宋" w:eastAsia="仿宋" w:cs="仿宋"/>
          <w:color w:val="231F20"/>
          <w:sz w:val="32"/>
          <w:szCs w:val="32"/>
          <w:u w:val="single" w:color="auto"/>
          <w:lang w:eastAsia="zh-CN"/>
        </w:rPr>
        <w:t>《中华人民共和国行政处罚法》第二十八条第一款、《中华人民共和国药品管理法》第一百一十七条第一款和《中华人民共和国药品管理法实施条例》第七十五条</w:t>
      </w:r>
      <w:r>
        <w:rPr>
          <w:rFonts w:hint="eastAsia" w:ascii="仿宋" w:hAnsi="仿宋" w:eastAsia="仿宋" w:cs="仿宋"/>
          <w:kern w:val="0"/>
          <w:sz w:val="32"/>
          <w:szCs w:val="32"/>
          <w:u w:val="single" w:color="auto"/>
          <w:lang w:eastAsia="zh-CN"/>
        </w:rPr>
        <w:t>的</w:t>
      </w:r>
      <w:r>
        <w:rPr>
          <w:rFonts w:hint="eastAsia" w:ascii="仿宋" w:hAnsi="仿宋" w:eastAsia="仿宋" w:cs="仿宋"/>
          <w:kern w:val="0"/>
          <w:sz w:val="32"/>
          <w:szCs w:val="32"/>
          <w:u w:val="single" w:color="auto"/>
        </w:rPr>
        <w:t>规定</w:t>
      </w:r>
      <w:bookmarkEnd w:id="3"/>
      <w:bookmarkEnd w:id="4"/>
      <w:r>
        <w:rPr>
          <w:rFonts w:hint="eastAsia" w:ascii="仿宋" w:hAnsi="仿宋" w:eastAsia="仿宋" w:cs="仿宋"/>
          <w:kern w:val="0"/>
          <w:sz w:val="32"/>
          <w:szCs w:val="32"/>
          <w:u w:val="single" w:color="auto"/>
          <w:lang w:val="en-US" w:eastAsia="zh-CN"/>
        </w:rPr>
        <w:t xml:space="preserve"> </w:t>
      </w:r>
      <w:r>
        <w:rPr>
          <w:rFonts w:hint="eastAsia" w:ascii="仿宋" w:hAnsi="仿宋" w:eastAsia="仿宋" w:cs="仿宋"/>
          <w:kern w:val="0"/>
          <w:sz w:val="32"/>
          <w:szCs w:val="32"/>
          <w:u w:val="none"/>
        </w:rPr>
        <w:t>，</w:t>
      </w:r>
      <w:r>
        <w:rPr>
          <w:rFonts w:hint="eastAsia" w:ascii="仿宋" w:hAnsi="仿宋" w:eastAsia="仿宋" w:cs="仿宋"/>
          <w:b/>
          <w:bCs/>
          <w:kern w:val="0"/>
          <w:sz w:val="32"/>
          <w:szCs w:val="32"/>
          <w:u w:val="none"/>
          <w:lang w:val="en-US" w:eastAsia="zh-CN"/>
        </w:rPr>
        <w:t>[</w:t>
      </w:r>
      <w:r>
        <w:rPr>
          <w:rFonts w:hint="eastAsia" w:ascii="仿宋" w:hAnsi="仿宋" w:eastAsia="仿宋" w:cs="仿宋"/>
          <w:kern w:val="0"/>
          <w:sz w:val="32"/>
          <w:szCs w:val="32"/>
          <w:u w:val="none"/>
          <w:lang w:val="en-US" w:eastAsia="zh-CN"/>
        </w:rPr>
        <w:t>现责令当事人改正上述违法行为，并</w:t>
      </w:r>
      <w:r>
        <w:rPr>
          <w:rFonts w:hint="eastAsia" w:ascii="仿宋" w:hAnsi="仿宋" w:eastAsia="仿宋" w:cs="仿宋"/>
          <w:b/>
          <w:bCs/>
          <w:kern w:val="0"/>
          <w:sz w:val="32"/>
          <w:szCs w:val="32"/>
          <w:u w:val="none"/>
          <w:lang w:val="en-US" w:eastAsia="zh-CN"/>
        </w:rPr>
        <w:t>]</w:t>
      </w:r>
      <w:r>
        <w:rPr>
          <w:rFonts w:hint="eastAsia" w:ascii="仿宋" w:hAnsi="仿宋" w:eastAsia="仿宋" w:cs="仿宋"/>
          <w:kern w:val="0"/>
          <w:sz w:val="32"/>
          <w:szCs w:val="32"/>
          <w:u w:val="none"/>
          <w:lang w:val="en-US" w:eastAsia="zh-CN"/>
        </w:rPr>
        <w:t>决定处罚如下</w:t>
      </w:r>
      <w:r>
        <w:rPr>
          <w:rFonts w:hint="eastAsia" w:ascii="仿宋" w:hAnsi="仿宋" w:eastAsia="仿宋" w:cs="仿宋"/>
          <w:kern w:val="0"/>
          <w:sz w:val="32"/>
          <w:szCs w:val="32"/>
          <w:u w:val="none"/>
        </w:rPr>
        <w:t>：</w:t>
      </w:r>
    </w:p>
    <w:bookmarkEnd w:id="2"/>
    <w:p>
      <w:pPr>
        <w:pStyle w:val="2"/>
        <w:keepNext w:val="0"/>
        <w:keepLines w:val="0"/>
        <w:pageBreakBefore w:val="0"/>
        <w:widowControl w:val="0"/>
        <w:numPr>
          <w:ilvl w:val="0"/>
          <w:numId w:val="0"/>
        </w:numPr>
        <w:tabs>
          <w:tab w:val="left" w:pos="6724"/>
          <w:tab w:val="left" w:pos="7684"/>
          <w:tab w:val="left" w:pos="8644"/>
        </w:tabs>
        <w:kinsoku/>
        <w:wordWrap/>
        <w:overflowPunct/>
        <w:topLinePunct w:val="0"/>
        <w:autoSpaceDE/>
        <w:autoSpaceDN/>
        <w:bidi w:val="0"/>
        <w:adjustRightInd/>
        <w:snapToGrid/>
        <w:spacing w:line="520" w:lineRule="exact"/>
        <w:ind w:firstLine="662" w:firstLineChars="200"/>
        <w:jc w:val="left"/>
        <w:textAlignment w:val="auto"/>
        <w:rPr>
          <w:rFonts w:hint="eastAsia" w:ascii="仿宋" w:hAnsi="仿宋" w:eastAsia="仿宋" w:cs="仿宋"/>
          <w:color w:val="231F20"/>
          <w:sz w:val="32"/>
          <w:szCs w:val="32"/>
          <w:u w:val="none" w:color="auto"/>
          <w:lang w:eastAsia="zh-CN"/>
        </w:rPr>
      </w:pPr>
      <w:r>
        <w:rPr>
          <w:rFonts w:hint="eastAsia" w:ascii="仿宋" w:hAnsi="仿宋" w:eastAsia="仿宋" w:cs="仿宋"/>
          <w:sz w:val="32"/>
          <w:szCs w:val="32"/>
          <w:u w:val="none" w:color="auto"/>
          <w:lang w:val="en-US" w:eastAsia="zh-CN"/>
        </w:rPr>
        <w:t>没收当事人违法所得420.24元（肆佰贰拾元贰角肆分）</w:t>
      </w:r>
      <w:r>
        <w:rPr>
          <w:rFonts w:hint="eastAsia" w:ascii="仿宋" w:hAnsi="仿宋" w:eastAsia="仿宋" w:cs="仿宋"/>
          <w:color w:val="231F20"/>
          <w:sz w:val="32"/>
          <w:szCs w:val="32"/>
          <w:u w:val="none" w:color="auto"/>
          <w:lang w:eastAsia="zh-CN"/>
        </w:rPr>
        <w:t>。</w:t>
      </w:r>
    </w:p>
    <w:p>
      <w:pPr>
        <w:pStyle w:val="2"/>
        <w:keepNext w:val="0"/>
        <w:keepLines w:val="0"/>
        <w:pageBreakBefore w:val="0"/>
        <w:widowControl w:val="0"/>
        <w:numPr>
          <w:ilvl w:val="0"/>
          <w:numId w:val="0"/>
        </w:numPr>
        <w:tabs>
          <w:tab w:val="left" w:pos="6724"/>
          <w:tab w:val="left" w:pos="7684"/>
          <w:tab w:val="left" w:pos="8644"/>
        </w:tabs>
        <w:kinsoku/>
        <w:wordWrap/>
        <w:overflowPunct/>
        <w:topLinePunct w:val="0"/>
        <w:autoSpaceDE/>
        <w:autoSpaceDN/>
        <w:bidi w:val="0"/>
        <w:adjustRightInd/>
        <w:snapToGrid/>
        <w:spacing w:line="520" w:lineRule="exact"/>
        <w:ind w:firstLine="662" w:firstLineChars="200"/>
        <w:jc w:val="left"/>
        <w:textAlignment w:val="auto"/>
        <w:rPr>
          <w:rFonts w:hint="default" w:ascii="仿宋" w:hAnsi="仿宋" w:eastAsia="仿宋" w:cs="仿宋"/>
          <w:color w:val="231F20"/>
          <w:sz w:val="32"/>
          <w:szCs w:val="32"/>
          <w:u w:val="none" w:color="auto"/>
          <w:lang w:val="en-US" w:eastAsia="zh-CN"/>
        </w:rPr>
      </w:pPr>
      <w:r>
        <w:rPr>
          <w:rFonts w:hint="eastAsia" w:ascii="仿宋" w:hAnsi="仿宋" w:eastAsia="仿宋" w:cs="仿宋"/>
          <w:color w:val="231F20"/>
          <w:sz w:val="32"/>
          <w:szCs w:val="32"/>
          <w:u w:val="none" w:color="auto"/>
          <w:lang w:val="en-US" w:eastAsia="zh-CN"/>
        </w:rPr>
        <w:t>当事人应自接到本行政处罚决定之日起15日内缴纳上述罚没款。当事人根据本办开具的行政处罚缴款通知书，自行选择缴款方式。逾期不缴纳</w:t>
      </w:r>
      <w:r>
        <w:rPr>
          <w:rFonts w:hint="default" w:ascii="仿宋" w:hAnsi="仿宋" w:eastAsia="仿宋" w:cs="仿宋"/>
          <w:color w:val="231F20"/>
          <w:sz w:val="32"/>
          <w:szCs w:val="32"/>
          <w:u w:val="none" w:color="auto"/>
          <w:lang w:val="en-US" w:eastAsia="zh-CN"/>
        </w:rPr>
        <w:t xml:space="preserve">罚款的，依据《中华人民共和国行政处罚法》第七十二条第一款的规定，我办将每日按罚款数额的百分之三加处罚款，并依法申请人民法院强制执行。 </w:t>
      </w:r>
    </w:p>
    <w:p>
      <w:pPr>
        <w:pStyle w:val="2"/>
        <w:keepNext w:val="0"/>
        <w:keepLines w:val="0"/>
        <w:pageBreakBefore w:val="0"/>
        <w:widowControl w:val="0"/>
        <w:numPr>
          <w:ilvl w:val="0"/>
          <w:numId w:val="0"/>
        </w:numPr>
        <w:tabs>
          <w:tab w:val="left" w:pos="6724"/>
          <w:tab w:val="left" w:pos="7684"/>
          <w:tab w:val="left" w:pos="8644"/>
        </w:tabs>
        <w:kinsoku/>
        <w:wordWrap/>
        <w:overflowPunct/>
        <w:topLinePunct w:val="0"/>
        <w:autoSpaceDE/>
        <w:autoSpaceDN/>
        <w:bidi w:val="0"/>
        <w:adjustRightInd/>
        <w:snapToGrid/>
        <w:spacing w:line="520" w:lineRule="exact"/>
        <w:ind w:firstLine="662" w:firstLineChars="200"/>
        <w:jc w:val="left"/>
        <w:textAlignment w:val="auto"/>
        <w:rPr>
          <w:rFonts w:hint="default" w:ascii="仿宋" w:hAnsi="仿宋" w:eastAsia="仿宋" w:cs="仿宋"/>
          <w:color w:val="231F20"/>
          <w:sz w:val="32"/>
          <w:szCs w:val="32"/>
          <w:u w:val="none" w:color="auto"/>
          <w:lang w:val="en-US" w:eastAsia="zh-CN"/>
        </w:rPr>
      </w:pPr>
      <w:r>
        <w:rPr>
          <w:rFonts w:hint="default" w:ascii="仿宋" w:hAnsi="仿宋" w:eastAsia="仿宋" w:cs="仿宋"/>
          <w:color w:val="231F20"/>
          <w:sz w:val="32"/>
          <w:szCs w:val="32"/>
          <w:u w:val="none" w:color="auto"/>
          <w:lang w:val="en-US" w:eastAsia="zh-CN"/>
        </w:rPr>
        <w:t>当事人如不服本行政处罚决定，可以在收到本行政处罚决定书之日起六十日内福建省人民政府申请行政复议；也可以在六个月内依法向厦门市思明区人民法院提起行政诉讼。申请行政复议或者提起行政诉讼期间，行政处罚不停止执行。</w:t>
      </w:r>
    </w:p>
    <w:p>
      <w:pPr>
        <w:pStyle w:val="2"/>
        <w:keepNext w:val="0"/>
        <w:keepLines w:val="0"/>
        <w:pageBreakBefore w:val="0"/>
        <w:widowControl w:val="0"/>
        <w:tabs>
          <w:tab w:val="left" w:pos="6724"/>
          <w:tab w:val="left" w:pos="7684"/>
          <w:tab w:val="left" w:pos="8644"/>
        </w:tabs>
        <w:kinsoku/>
        <w:wordWrap/>
        <w:overflowPunct/>
        <w:topLinePunct w:val="0"/>
        <w:autoSpaceDE/>
        <w:autoSpaceDN/>
        <w:bidi w:val="0"/>
        <w:adjustRightInd/>
        <w:snapToGrid/>
        <w:spacing w:line="520" w:lineRule="exact"/>
        <w:ind w:left="0" w:leftChars="0" w:firstLine="0" w:firstLineChars="0"/>
        <w:jc w:val="right"/>
        <w:textAlignment w:val="auto"/>
        <w:rPr>
          <w:rFonts w:hint="eastAsia" w:ascii="仿宋" w:hAnsi="仿宋" w:eastAsia="仿宋" w:cs="仿宋"/>
          <w:color w:val="231F20"/>
          <w:sz w:val="32"/>
          <w:szCs w:val="32"/>
          <w:u w:val="none" w:color="auto"/>
          <w:lang w:val="en-US" w:eastAsia="zh-CN"/>
        </w:rPr>
      </w:pPr>
      <w:bookmarkStart w:id="5" w:name="_GoBack"/>
      <w:bookmarkEnd w:id="5"/>
      <w:r>
        <w:rPr>
          <w:rFonts w:hint="eastAsia" w:ascii="仿宋" w:hAnsi="仿宋" w:eastAsia="仿宋" w:cs="仿宋"/>
          <w:color w:val="231F20"/>
          <w:sz w:val="32"/>
          <w:szCs w:val="32"/>
          <w:u w:val="none" w:color="auto"/>
          <w:lang w:val="en-US" w:eastAsia="zh-CN"/>
        </w:rPr>
        <w:t>福建省药品监督管理局厦门药品稽查办公室</w:t>
      </w:r>
    </w:p>
    <w:p>
      <w:pPr>
        <w:pStyle w:val="2"/>
        <w:keepNext w:val="0"/>
        <w:keepLines w:val="0"/>
        <w:pageBreakBefore w:val="0"/>
        <w:widowControl w:val="0"/>
        <w:tabs>
          <w:tab w:val="left" w:pos="6724"/>
          <w:tab w:val="left" w:pos="7684"/>
          <w:tab w:val="left" w:pos="8644"/>
        </w:tabs>
        <w:kinsoku/>
        <w:wordWrap w:val="0"/>
        <w:overflowPunct/>
        <w:topLinePunct w:val="0"/>
        <w:autoSpaceDE/>
        <w:autoSpaceDN/>
        <w:bidi w:val="0"/>
        <w:adjustRightInd/>
        <w:snapToGrid/>
        <w:spacing w:line="520" w:lineRule="exact"/>
        <w:ind w:left="0" w:leftChars="0" w:firstLine="0" w:firstLineChars="0"/>
        <w:jc w:val="right"/>
        <w:textAlignment w:val="auto"/>
        <w:rPr>
          <w:rFonts w:hint="default" w:ascii="仿宋" w:hAnsi="仿宋" w:eastAsia="仿宋" w:cs="仿宋"/>
          <w:color w:val="231F20"/>
          <w:sz w:val="32"/>
          <w:szCs w:val="32"/>
          <w:u w:val="none" w:color="auto"/>
          <w:lang w:val="en-US" w:eastAsia="zh-CN"/>
        </w:rPr>
      </w:pPr>
      <w:r>
        <w:rPr>
          <w:rFonts w:hint="eastAsia" w:ascii="仿宋" w:hAnsi="仿宋" w:eastAsia="仿宋" w:cs="仿宋"/>
          <w:color w:val="231F20"/>
          <w:sz w:val="32"/>
          <w:szCs w:val="32"/>
          <w:u w:val="none" w:color="auto"/>
          <w:lang w:val="en-US" w:eastAsia="zh-CN"/>
        </w:rPr>
        <w:t xml:space="preserve">（印章）    </w:t>
      </w:r>
    </w:p>
    <w:p>
      <w:pPr>
        <w:pStyle w:val="2"/>
        <w:keepNext w:val="0"/>
        <w:keepLines w:val="0"/>
        <w:pageBreakBefore w:val="0"/>
        <w:widowControl w:val="0"/>
        <w:tabs>
          <w:tab w:val="left" w:pos="6724"/>
          <w:tab w:val="left" w:pos="7684"/>
          <w:tab w:val="left" w:pos="8644"/>
        </w:tabs>
        <w:kinsoku/>
        <w:wordWrap w:val="0"/>
        <w:overflowPunct/>
        <w:topLinePunct w:val="0"/>
        <w:autoSpaceDE/>
        <w:autoSpaceDN/>
        <w:bidi w:val="0"/>
        <w:adjustRightInd/>
        <w:snapToGrid/>
        <w:spacing w:line="520" w:lineRule="exact"/>
        <w:ind w:left="0" w:leftChars="0" w:firstLine="0" w:firstLineChars="0"/>
        <w:jc w:val="right"/>
        <w:textAlignment w:val="auto"/>
        <w:rPr>
          <w:rFonts w:hint="eastAsia" w:ascii="仿宋" w:hAnsi="仿宋" w:eastAsia="仿宋" w:cs="仿宋"/>
          <w:color w:val="231F20"/>
          <w:sz w:val="32"/>
          <w:szCs w:val="32"/>
          <w:u w:val="none" w:color="auto"/>
          <w:lang w:val="en-US" w:eastAsia="zh-CN"/>
        </w:rPr>
      </w:pPr>
      <w:r>
        <w:rPr>
          <w:rFonts w:hint="eastAsia" w:ascii="仿宋" w:hAnsi="仿宋" w:eastAsia="仿宋" w:cs="仿宋"/>
          <w:color w:val="231F20"/>
          <w:sz w:val="32"/>
          <w:szCs w:val="32"/>
          <w:u w:val="none" w:color="auto"/>
          <w:lang w:val="en-US" w:eastAsia="zh-CN"/>
        </w:rPr>
        <w:t>2023年3月10日</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center"/>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（市场监督管理部门将依法向社会公开行政处罚决定信息）</w:t>
      </w: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 w:hAnsi="仿宋" w:eastAsia="仿宋" w:cs="仿宋"/>
          <w:b w:val="0"/>
          <w:bCs w:val="0"/>
          <w:sz w:val="24"/>
          <w:szCs w:val="24"/>
          <w:u w:val="none"/>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-53975</wp:posOffset>
                </wp:positionH>
                <wp:positionV relativeFrom="paragraph">
                  <wp:posOffset>29210</wp:posOffset>
                </wp:positionV>
                <wp:extent cx="5681345" cy="8890"/>
                <wp:effectExtent l="0" t="0" r="0" b="0"/>
                <wp:wrapNone/>
                <wp:docPr id="1" name="直接连接符 1"/>
                <wp:cNvGraphicFramePr/>
                <a:graphic xmlns:a="http://schemas.openxmlformats.org/drawingml/2006/main">
                  <a:graphicData uri="http://schemas.microsoft.com/office/word/2010/wordprocessingShape">
                    <wps:wsp>
                      <wps:cNvCnPr/>
                      <wps:spPr>
                        <a:xfrm flipV="1">
                          <a:off x="1097280" y="7673340"/>
                          <a:ext cx="5681345" cy="889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4.25pt;margin-top:2.3pt;height:0.7pt;width:447.35pt;z-index:251660288;mso-width-relative:page;mso-height-relative:page;" filled="f" stroked="t" coordsize="21600,21600" o:gfxdata="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P11OG1QAAAAYBAAAPAAAAAAAAAAEAIAAAACIAAABkcnMvZG93bnJldi54bWxQ&#10;SwECFAAUAAAACACHTuJAl9BRzPoBAADLAwAADgAAAAAAAAABACAAAAAkAQAAZHJzL2Uyb0RvYy54&#10;bWxQSwUGAAAAAAYABgBZAQAAkAUAAAAA&#10;">
                <v:fill on="f" focussize="0,0"/>
                <v:stroke weight="1.5pt" color="#000000 [3213]" miterlimit="8" joinstyle="miter"/>
                <v:imagedata o:title=""/>
                <o:lock v:ext="edit" aspectratio="f"/>
              </v:line>
            </w:pict>
          </mc:Fallback>
        </mc:AlternateContent>
      </w:r>
      <w:r>
        <w:rPr>
          <w:rFonts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zkdcAAAAKAQAADwAAAAAAAAABACAAAAAiAAAAZHJzL2Rvd25yZXYueG1sUEsB&#10;AhQAFAAAAAgAh07iQMgh1g72AQAA6QMAAA4AAAAAAAAAAQAgAAAAJgEAAGRycy9lMm9Eb2MueG1s&#10;UEsFBgAAAAAGAAYAWQEAAI4FA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u w:val="single"/>
          <w:lang w:eastAsia="zh-CN"/>
        </w:rPr>
        <w:t>三</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eastAsia="zh-CN"/>
        </w:rPr>
        <w:t>一</w:t>
      </w:r>
      <w:r>
        <w:rPr>
          <w:rFonts w:hint="eastAsia" w:ascii="Times New Roman" w:hAnsi="Times New Roman" w:eastAsia="仿宋_GB2312" w:cs="仿宋"/>
          <w:color w:val="000000"/>
          <w:sz w:val="32"/>
          <w:szCs w:val="32"/>
        </w:rPr>
        <w:t>份送达，</w:t>
      </w:r>
      <w:r>
        <w:rPr>
          <w:rFonts w:hint="eastAsia" w:ascii="Times New Roman" w:hAnsi="Times New Roman" w:eastAsia="仿宋_GB2312" w:cs="仿宋"/>
          <w:color w:val="000000"/>
          <w:sz w:val="32"/>
          <w:szCs w:val="32"/>
          <w:u w:val="single"/>
        </w:rPr>
        <w:t>一</w:t>
      </w:r>
      <w:r>
        <w:rPr>
          <w:rFonts w:hint="eastAsia" w:ascii="Times New Roman" w:hAnsi="Times New Roman" w:eastAsia="仿宋_GB2312" w:cs="仿宋"/>
          <w:color w:val="000000"/>
          <w:sz w:val="32"/>
          <w:szCs w:val="32"/>
        </w:rPr>
        <w:t>份归档，</w:t>
      </w:r>
      <w:r>
        <w:rPr>
          <w:rFonts w:hint="eastAsia" w:ascii="Times New Roman" w:hAnsi="Times New Roman" w:eastAsia="仿宋_GB2312" w:cs="仿宋"/>
          <w:color w:val="000000"/>
          <w:sz w:val="32"/>
          <w:szCs w:val="32"/>
          <w:u w:val="none"/>
        </w:rPr>
        <w:t xml:space="preserve"> </w:t>
      </w:r>
      <w:r>
        <w:rPr>
          <w:rFonts w:hint="eastAsia" w:ascii="Times New Roman" w:hAnsi="Times New Roman" w:eastAsia="仿宋_GB2312" w:cs="仿宋"/>
          <w:color w:val="000000"/>
          <w:sz w:val="32"/>
          <w:szCs w:val="32"/>
          <w:u w:val="single"/>
          <w:lang w:eastAsia="zh-CN"/>
        </w:rPr>
        <w:t>一</w:t>
      </w:r>
      <w:r>
        <w:rPr>
          <w:rFonts w:hint="eastAsia" w:ascii="Times New Roman" w:hAnsi="Times New Roman" w:eastAsia="仿宋_GB2312" w:cs="仿宋"/>
          <w:color w:val="000000"/>
          <w:sz w:val="32"/>
          <w:szCs w:val="32"/>
          <w:u w:val="none"/>
          <w:lang w:eastAsia="zh-CN"/>
        </w:rPr>
        <w:t>份留底</w:t>
      </w:r>
      <w:r>
        <w:rPr>
          <w:rFonts w:hint="eastAsia" w:ascii="Times New Roman" w:hAnsi="Times New Roman" w:eastAsia="仿宋_GB2312" w:cs="仿宋"/>
          <w:color w:val="000000"/>
          <w:sz w:val="32"/>
          <w:szCs w:val="32"/>
        </w:rPr>
        <w:t>。</w:t>
      </w:r>
    </w:p>
    <w:sectPr>
      <w:footerReference r:id="rId3" w:type="default"/>
      <w:pgSz w:w="11906" w:h="16838"/>
      <w:pgMar w:top="2098" w:right="1474" w:bottom="1984" w:left="1587" w:header="851" w:footer="992" w:gutter="0"/>
      <w:pgNumType w:fmt="decimal"/>
      <w:cols w:space="0" w:num="1"/>
      <w:rtlGutter w:val="0"/>
      <w:docGrid w:type="linesAndChars" w:linePitch="289" w:charSpace="22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6</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6</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36B899"/>
    <w:multiLevelType w:val="singleLevel"/>
    <w:tmpl w:val="F636B899"/>
    <w:lvl w:ilvl="0" w:tentative="0">
      <w:start w:val="1"/>
      <w:numFmt w:val="decimal"/>
      <w:suff w:val="nothing"/>
      <w:lvlText w:val="%1."/>
      <w:lvlJc w:val="left"/>
      <w:pPr>
        <w:ind w:left="0" w:firstLine="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11"/>
  <w:drawingGridVerticalSpacing w:val="144"/>
  <w:displayHorizontalDrawingGridEvery w:val="2"/>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kMjY4MDM3YTQ3NzZkYTAxNTc1ZDU4MTU5YTM5MmUifQ=="/>
  </w:docVars>
  <w:rsids>
    <w:rsidRoot w:val="2EE02BD7"/>
    <w:rsid w:val="00FC2A8F"/>
    <w:rsid w:val="01283A8A"/>
    <w:rsid w:val="02060518"/>
    <w:rsid w:val="02AE7880"/>
    <w:rsid w:val="036E6380"/>
    <w:rsid w:val="03846CF5"/>
    <w:rsid w:val="05EA4720"/>
    <w:rsid w:val="06861136"/>
    <w:rsid w:val="074C6CE7"/>
    <w:rsid w:val="0A03729A"/>
    <w:rsid w:val="0CC7487E"/>
    <w:rsid w:val="0D071397"/>
    <w:rsid w:val="122C2C51"/>
    <w:rsid w:val="153A2B84"/>
    <w:rsid w:val="15D11A48"/>
    <w:rsid w:val="16280ADA"/>
    <w:rsid w:val="17790F19"/>
    <w:rsid w:val="18050520"/>
    <w:rsid w:val="1A614BFE"/>
    <w:rsid w:val="1B622626"/>
    <w:rsid w:val="1B9D1EB9"/>
    <w:rsid w:val="1C7756CA"/>
    <w:rsid w:val="1CBF0E0C"/>
    <w:rsid w:val="1D312A67"/>
    <w:rsid w:val="1DE14389"/>
    <w:rsid w:val="1ECD193E"/>
    <w:rsid w:val="1ED95962"/>
    <w:rsid w:val="1F8C0992"/>
    <w:rsid w:val="22025331"/>
    <w:rsid w:val="230F2E3F"/>
    <w:rsid w:val="23B11F26"/>
    <w:rsid w:val="24567FA5"/>
    <w:rsid w:val="249C731A"/>
    <w:rsid w:val="25C25ABF"/>
    <w:rsid w:val="274F51B1"/>
    <w:rsid w:val="2814305F"/>
    <w:rsid w:val="29F800DF"/>
    <w:rsid w:val="2A0B329F"/>
    <w:rsid w:val="2B302B92"/>
    <w:rsid w:val="2BBA451A"/>
    <w:rsid w:val="2BCA1BD8"/>
    <w:rsid w:val="2C367F81"/>
    <w:rsid w:val="2E2B11AE"/>
    <w:rsid w:val="2EE02BD7"/>
    <w:rsid w:val="33F71939"/>
    <w:rsid w:val="34067F37"/>
    <w:rsid w:val="3610509D"/>
    <w:rsid w:val="373F0FF4"/>
    <w:rsid w:val="3A956312"/>
    <w:rsid w:val="3DD12613"/>
    <w:rsid w:val="41991957"/>
    <w:rsid w:val="42C72F56"/>
    <w:rsid w:val="44171C9F"/>
    <w:rsid w:val="48141BD5"/>
    <w:rsid w:val="496356E9"/>
    <w:rsid w:val="4A5C117C"/>
    <w:rsid w:val="4BFE3402"/>
    <w:rsid w:val="4CA17D49"/>
    <w:rsid w:val="4CDF4ADC"/>
    <w:rsid w:val="4CEC65ED"/>
    <w:rsid w:val="50165435"/>
    <w:rsid w:val="50CF1E00"/>
    <w:rsid w:val="51CE096B"/>
    <w:rsid w:val="53A07F19"/>
    <w:rsid w:val="53B45D3D"/>
    <w:rsid w:val="53F339B6"/>
    <w:rsid w:val="56E144E8"/>
    <w:rsid w:val="57B224AA"/>
    <w:rsid w:val="5ABB5486"/>
    <w:rsid w:val="5ADA6F82"/>
    <w:rsid w:val="5BE046AA"/>
    <w:rsid w:val="5EAC5739"/>
    <w:rsid w:val="5F26651E"/>
    <w:rsid w:val="5F6403FB"/>
    <w:rsid w:val="5FEE528B"/>
    <w:rsid w:val="60615478"/>
    <w:rsid w:val="6197338C"/>
    <w:rsid w:val="635C1BED"/>
    <w:rsid w:val="63620474"/>
    <w:rsid w:val="63F418CB"/>
    <w:rsid w:val="641401EF"/>
    <w:rsid w:val="67147E51"/>
    <w:rsid w:val="69083A1A"/>
    <w:rsid w:val="6A5205CC"/>
    <w:rsid w:val="6B5C4B98"/>
    <w:rsid w:val="6B5D2C91"/>
    <w:rsid w:val="6D56105E"/>
    <w:rsid w:val="6E094B0F"/>
    <w:rsid w:val="706E396F"/>
    <w:rsid w:val="72C84B16"/>
    <w:rsid w:val="732314F2"/>
    <w:rsid w:val="736E1BF5"/>
    <w:rsid w:val="741E2630"/>
    <w:rsid w:val="74813D6C"/>
    <w:rsid w:val="77F47AA4"/>
    <w:rsid w:val="79095479"/>
    <w:rsid w:val="7C04329A"/>
    <w:rsid w:val="7C0947B1"/>
    <w:rsid w:val="7C3976A4"/>
    <w:rsid w:val="7D1568ED"/>
    <w:rsid w:val="7D6701E6"/>
    <w:rsid w:val="7D9B1FC1"/>
    <w:rsid w:val="7FBE4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link w:val="7"/>
    <w:qFormat/>
    <w:uiPriority w:val="0"/>
    <w:pPr>
      <w:ind w:left="220"/>
    </w:pPr>
    <w:rPr>
      <w:rFonts w:ascii="宋体" w:hAnsi="宋体" w:eastAsia="宋体"/>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正文文本 字符"/>
    <w:link w:val="2"/>
    <w:qFormat/>
    <w:uiPriority w:val="0"/>
    <w:rPr>
      <w:rFonts w:ascii="宋体" w:hAnsi="宋体" w:eastAsia="宋体"/>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2615</Words>
  <Characters>2824</Characters>
  <Lines>0</Lines>
  <Paragraphs>0</Paragraphs>
  <TotalTime>20</TotalTime>
  <ScaleCrop>false</ScaleCrop>
  <LinksUpToDate>false</LinksUpToDate>
  <CharactersWithSpaces>2838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2019-09-24T00:56:00Z</dcterms:created>
  <dc:creator>林振顺</dc:creator>
  <cp:lastModifiedBy>郭嘉斌</cp:lastModifiedBy>
  <cp:lastPrinted>2023-03-13T09:10:00Z</cp:lastPrinted>
  <dcterms:modified xsi:type="dcterms:W3CDTF">2023-03-14T03:21:37Z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1362D51A2DEA41739AF32DE51AB9BB4F</vt:lpwstr>
  </property>
</Properties>
</file>