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default" w:ascii="Times New Roman" w:hAnsi="Times New Roman"/>
          <w:color w:val="000000"/>
          <w:highlight w:val="none"/>
          <w:lang w:val="en-US"/>
        </w:rPr>
      </w:pPr>
      <w:bookmarkStart w:id="0" w:name="_GoBack"/>
      <w:bookmarkEnd w:id="0"/>
      <w:r>
        <w:rPr>
          <w:rFonts w:hint="eastAsia" w:ascii="Times New Roman" w:hAnsi="Times New Roman" w:eastAsia="黑体" w:cs="仿宋"/>
          <w:color w:val="000000"/>
          <w:highlight w:val="none"/>
        </w:rPr>
        <w:t>附件</w:t>
      </w:r>
      <w:r>
        <w:rPr>
          <w:rFonts w:hint="eastAsia" w:ascii="Times New Roman" w:hAnsi="Times New Roman" w:eastAsia="黑体" w:cs="仿宋"/>
          <w:color w:val="000000"/>
          <w:highlight w:val="none"/>
          <w:lang w:val="en-US" w:eastAsia="zh-CN"/>
        </w:rPr>
        <w:t>10</w:t>
      </w:r>
    </w:p>
    <w:p>
      <w:pPr>
        <w:widowControl/>
        <w:shd w:val="clear" w:color="auto" w:fill="FFFFFF"/>
        <w:snapToGrid w:val="0"/>
        <w:spacing w:line="590" w:lineRule="exact"/>
        <w:jc w:val="center"/>
        <w:rPr>
          <w:rFonts w:hint="eastAsia" w:ascii="Times New Roman" w:hAnsi="Times New Roman" w:eastAsia="方正小标宋简体" w:cs="仿宋"/>
          <w:color w:val="000000"/>
          <w:sz w:val="44"/>
          <w:szCs w:val="44"/>
          <w:highlight w:val="none"/>
        </w:rPr>
      </w:pPr>
      <w:r>
        <w:rPr>
          <w:rFonts w:hint="eastAsia" w:ascii="Times New Roman" w:hAnsi="Times New Roman" w:eastAsia="方正小标宋简体" w:cs="仿宋"/>
          <w:color w:val="000000"/>
          <w:sz w:val="44"/>
          <w:szCs w:val="44"/>
          <w:highlight w:val="none"/>
        </w:rPr>
        <w:t>关于部分</w:t>
      </w:r>
      <w:r>
        <w:rPr>
          <w:rFonts w:hint="eastAsia" w:ascii="Times New Roman" w:hAnsi="Times New Roman" w:eastAsia="方正小标宋简体" w:cs="仿宋"/>
          <w:color w:val="000000"/>
          <w:sz w:val="44"/>
          <w:szCs w:val="44"/>
          <w:highlight w:val="none"/>
          <w:lang w:eastAsia="zh-CN"/>
        </w:rPr>
        <w:t>抽检项目</w:t>
      </w:r>
      <w:r>
        <w:rPr>
          <w:rFonts w:hint="eastAsia" w:ascii="Times New Roman" w:hAnsi="Times New Roman" w:eastAsia="方正小标宋简体" w:cs="仿宋"/>
          <w:color w:val="000000"/>
          <w:sz w:val="44"/>
          <w:szCs w:val="44"/>
          <w:highlight w:val="none"/>
        </w:rPr>
        <w:t>的说明</w:t>
      </w:r>
    </w:p>
    <w:p>
      <w:pPr>
        <w:widowControl/>
        <w:shd w:val="clear" w:color="auto" w:fill="FFFFFF"/>
        <w:snapToGrid w:val="0"/>
        <w:spacing w:line="590" w:lineRule="exact"/>
        <w:rPr>
          <w:rFonts w:hint="eastAsia" w:ascii="Times New Roman" w:hAnsi="Times New Roman" w:eastAsia="仿宋_GB2312"/>
          <w:color w:val="000000"/>
          <w:highlight w:val="none"/>
        </w:rPr>
      </w:pPr>
    </w:p>
    <w:p>
      <w:pPr>
        <w:spacing w:line="600" w:lineRule="exact"/>
        <w:ind w:firstLine="640" w:firstLineChars="200"/>
        <w:rPr>
          <w:rFonts w:hint="eastAsia" w:ascii="Times New Roman" w:hAnsi="Times New Roman" w:eastAsia="黑体" w:cs="Times New Roman"/>
          <w:color w:val="000000"/>
          <w:highlight w:val="none"/>
          <w:lang w:eastAsia="zh-CN"/>
        </w:rPr>
      </w:pPr>
      <w:r>
        <w:rPr>
          <w:rFonts w:hint="eastAsia" w:ascii="Times New Roman" w:hAnsi="Times New Roman" w:eastAsia="黑体" w:cs="Times New Roman"/>
          <w:color w:val="000000"/>
          <w:highlight w:val="none"/>
          <w:lang w:eastAsia="zh-CN"/>
        </w:rPr>
        <w:t>一</w:t>
      </w:r>
      <w:r>
        <w:rPr>
          <w:rFonts w:hint="default" w:ascii="Times New Roman" w:hAnsi="Times New Roman" w:eastAsia="黑体" w:cs="Times New Roman"/>
          <w:color w:val="000000"/>
          <w:highlight w:val="none"/>
        </w:rPr>
        <w:t>、</w:t>
      </w:r>
      <w:r>
        <w:rPr>
          <w:rFonts w:hint="eastAsia" w:ascii="Times New Roman" w:hAnsi="Times New Roman" w:eastAsia="黑体"/>
          <w:color w:val="000000"/>
          <w:lang w:eastAsia="zh-CN"/>
        </w:rPr>
        <w:t>三唑磷</w:t>
      </w:r>
    </w:p>
    <w:p>
      <w:pPr>
        <w:widowControl/>
        <w:shd w:val="clear" w:color="auto" w:fill="FFFFFF"/>
        <w:snapToGrid w:val="0"/>
        <w:spacing w:line="590" w:lineRule="exact"/>
        <w:ind w:firstLine="640" w:firstLineChars="200"/>
        <w:rPr>
          <w:rFonts w:hint="eastAsia" w:ascii="Times New Roman" w:hAnsi="Times New Roman" w:eastAsia="仿宋_GB2312" w:cs="Times New Roman"/>
          <w:color w:val="000000"/>
          <w:highlight w:val="none"/>
        </w:rPr>
      </w:pPr>
      <w:r>
        <w:rPr>
          <w:rFonts w:hint="eastAsia" w:ascii="Times New Roman" w:hAnsi="Times New Roman" w:eastAsia="仿宋_GB2312" w:cs="Times New Roman"/>
          <w:color w:val="000000"/>
          <w:highlight w:val="none"/>
        </w:rPr>
        <w:t>三唑磷为有机磷杀虫剂，具有触杀和胃毒作用，对柑橘红蜘蛛等有较好防效。少量的残留不会引起人体急性中毒，但长期食用三唑磷超标的食品，对人体健康可能有一定影响。《食品安全国家标准 食品中农药最大残留限量》（GB 2763</w:t>
      </w:r>
      <w:r>
        <w:rPr>
          <w:rFonts w:hint="eastAsia" w:ascii="Times New Roman" w:hAnsi="Times New Roman" w:eastAsia="仿宋_GB2312" w:cs="Times New Roman"/>
          <w:color w:val="000000"/>
          <w:highlight w:val="none"/>
          <w:lang w:val="en-US" w:eastAsia="zh-CN"/>
        </w:rPr>
        <w:t>-</w:t>
      </w:r>
      <w:r>
        <w:rPr>
          <w:rFonts w:hint="eastAsia" w:ascii="Times New Roman" w:hAnsi="Times New Roman" w:eastAsia="仿宋_GB2312" w:cs="Times New Roman"/>
          <w:color w:val="000000"/>
          <w:highlight w:val="none"/>
        </w:rPr>
        <w:t>2021）中规定，三唑磷在豆类蔬菜中的最大残留限量值为0.05mg/kg。豇豆中三唑磷残留量超标的原因，可能是为快速控制虫害，加大用药量或未遵守采摘间隔期规定，致使上市销售的产品中残留量超标。</w:t>
      </w:r>
    </w:p>
    <w:p>
      <w:pPr>
        <w:spacing w:line="600" w:lineRule="exact"/>
        <w:ind w:firstLine="640" w:firstLineChars="200"/>
        <w:rPr>
          <w:rFonts w:hint="eastAsia" w:ascii="Times New Roman" w:hAnsi="Times New Roman" w:eastAsia="黑体" w:cs="Times New Roman"/>
          <w:color w:val="000000"/>
          <w:highlight w:val="none"/>
          <w:lang w:val="en-US" w:eastAsia="zh-CN"/>
        </w:rPr>
      </w:pPr>
      <w:r>
        <w:rPr>
          <w:rFonts w:hint="eastAsia" w:ascii="Times New Roman" w:hAnsi="Times New Roman" w:eastAsia="黑体" w:cs="Times New Roman"/>
          <w:color w:val="000000"/>
          <w:highlight w:val="none"/>
          <w:lang w:eastAsia="zh-CN"/>
        </w:rPr>
        <w:t>二</w:t>
      </w:r>
      <w:r>
        <w:rPr>
          <w:rFonts w:hint="default" w:ascii="Times New Roman" w:hAnsi="Times New Roman" w:eastAsia="黑体" w:cs="Times New Roman"/>
          <w:color w:val="000000"/>
          <w:highlight w:val="none"/>
        </w:rPr>
        <w:t>、</w:t>
      </w:r>
      <w:r>
        <w:rPr>
          <w:rFonts w:hint="eastAsia" w:ascii="Times New Roman" w:hAnsi="Times New Roman" w:eastAsia="黑体" w:cs="Times New Roman"/>
          <w:color w:val="000000"/>
          <w:highlight w:val="none"/>
          <w:lang w:eastAsia="zh-CN"/>
        </w:rPr>
        <w:t>呋喃唑酮代谢物</w:t>
      </w:r>
    </w:p>
    <w:p>
      <w:pPr>
        <w:widowControl/>
        <w:shd w:val="clear" w:color="auto" w:fill="FFFFFF"/>
        <w:snapToGrid w:val="0"/>
        <w:spacing w:line="590" w:lineRule="exact"/>
        <w:ind w:firstLine="640" w:firstLineChars="200"/>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呋喃唑酮是一种硝基呋喃类抗生素，可用于治疗细菌和原虫引起的痢疾、肠炎、胃溃疡等胃肠道疾患。呋喃唑酮为广谱抗菌药，对常见的革兰氏阴性菌和阳性菌有抑制作用。中华人民共和国农业部将呋喃唑酮列为禁止使用的药物，不得在动物性食品中检出。FDA也于2002年禁止了硝基呋喃类（包括呋喃唑酮）在动物性食品中的使用。</w:t>
      </w:r>
    </w:p>
    <w:p>
      <w:pPr>
        <w:widowControl/>
        <w:shd w:val="clear" w:color="auto" w:fill="FFFFFF"/>
        <w:snapToGrid w:val="0"/>
        <w:spacing w:line="590" w:lineRule="exact"/>
        <w:ind w:firstLine="640" w:firstLineChars="200"/>
        <w:rPr>
          <w:rFonts w:hint="eastAsia" w:ascii="Times New Roman" w:hAnsi="Times New Roman" w:eastAsia="仿宋_GB2312" w:cs="Times New Roman"/>
          <w:color w:val="000000"/>
          <w:highlight w:val="none"/>
        </w:rPr>
      </w:pPr>
      <w:r>
        <w:rPr>
          <w:rFonts w:hint="eastAsia" w:ascii="Times New Roman" w:hAnsi="Times New Roman" w:eastAsia="仿宋_GB2312" w:cs="Times New Roman"/>
          <w:color w:val="000000"/>
          <w:sz w:val="32"/>
          <w:szCs w:val="32"/>
        </w:rPr>
        <w:t>动物体内残留硝基呋喃类药物会产生耐药性</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人食用这些动物食品以后也会残留在人体内</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导致产生耐药性</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以后生病再服用此药将失去作用</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对人体的健康极为不利。农业农村部公告第250号《食品动物中禁止使用的药品及其他化合物清单》规定呋喃唑酮为禁止使用的兽物，在动物性食品中不得检出</w:t>
      </w:r>
      <w:r>
        <w:rPr>
          <w:rFonts w:hint="eastAsia" w:ascii="Times New Roman" w:hAnsi="Times New Roman" w:eastAsia="仿宋_GB2312" w:cs="Times New Roman"/>
          <w:color w:val="000000"/>
          <w:highlight w:val="none"/>
        </w:rPr>
        <w:t>。</w:t>
      </w:r>
    </w:p>
    <w:p>
      <w:pPr>
        <w:spacing w:line="600" w:lineRule="exact"/>
        <w:ind w:firstLine="640" w:firstLineChars="200"/>
        <w:rPr>
          <w:rFonts w:hint="eastAsia" w:ascii="Times New Roman" w:hAnsi="Times New Roman" w:eastAsia="黑体" w:cs="Times New Roman"/>
          <w:color w:val="000000"/>
          <w:highlight w:val="none"/>
          <w:lang w:eastAsia="zh-CN"/>
        </w:rPr>
      </w:pPr>
      <w:r>
        <w:rPr>
          <w:rFonts w:hint="eastAsia" w:ascii="Times New Roman" w:hAnsi="Times New Roman" w:eastAsia="黑体" w:cs="Times New Roman"/>
          <w:color w:val="000000"/>
          <w:highlight w:val="none"/>
          <w:lang w:eastAsia="zh-CN"/>
        </w:rPr>
        <w:t>三</w:t>
      </w:r>
      <w:r>
        <w:rPr>
          <w:rFonts w:hint="default" w:ascii="Times New Roman" w:hAnsi="Times New Roman" w:eastAsia="黑体" w:cs="Times New Roman"/>
          <w:color w:val="000000"/>
          <w:highlight w:val="none"/>
        </w:rPr>
        <w:t>、</w:t>
      </w:r>
      <w:r>
        <w:rPr>
          <w:rFonts w:hint="eastAsia" w:ascii="Times New Roman" w:hAnsi="Times New Roman" w:eastAsia="黑体"/>
          <w:color w:val="000000"/>
          <w:highlight w:val="none"/>
          <w:lang w:eastAsia="zh-CN"/>
        </w:rPr>
        <w:t>镉（以Cd计）</w:t>
      </w:r>
    </w:p>
    <w:p>
      <w:pPr>
        <w:widowControl/>
        <w:shd w:val="clear" w:color="auto" w:fill="FFFFFF"/>
        <w:snapToGrid w:val="0"/>
        <w:spacing w:line="590" w:lineRule="exact"/>
        <w:ind w:firstLine="640" w:firstLineChars="200"/>
        <w:rPr>
          <w:rFonts w:hint="eastAsia" w:ascii="Times New Roman" w:hAnsi="Times New Roman" w:eastAsia="仿宋_GB2312" w:cs="Times New Roman"/>
          <w:color w:val="000000"/>
          <w:highlight w:val="none"/>
        </w:rPr>
      </w:pPr>
      <w:r>
        <w:rPr>
          <w:rFonts w:hint="eastAsia" w:ascii="Times New Roman" w:hAnsi="Times New Roman" w:eastAsia="仿宋_GB2312" w:cs="Times New Roman"/>
          <w:color w:val="000000"/>
          <w:highlight w:val="none"/>
        </w:rPr>
        <w:t>镉是一种蓄积性的重金属元素，可通过食物链进入人体。长期食用镉超标的食品，可能会对人体肾脏和肝脏造成损害，还会影响免疫系统，甚至可能对儿童高级神经活动有损害。《食品安全国家标准 食品中污染物限量》（GB 2762</w:t>
      </w:r>
      <w:r>
        <w:rPr>
          <w:rFonts w:hint="eastAsia" w:ascii="Times New Roman" w:hAnsi="Times New Roman" w:eastAsia="仿宋_GB2312" w:cs="Times New Roman"/>
          <w:color w:val="000000"/>
          <w:highlight w:val="none"/>
          <w:lang w:val="en-US" w:eastAsia="zh-CN"/>
        </w:rPr>
        <w:t>-</w:t>
      </w:r>
      <w:r>
        <w:rPr>
          <w:rFonts w:hint="eastAsia" w:ascii="Times New Roman" w:hAnsi="Times New Roman" w:eastAsia="仿宋_GB2312" w:cs="Times New Roman"/>
          <w:color w:val="000000"/>
          <w:highlight w:val="none"/>
        </w:rPr>
        <w:t>2017）中规定，镉（以Cd计）在</w:t>
      </w:r>
      <w:r>
        <w:rPr>
          <w:rFonts w:hint="eastAsia" w:ascii="Times New Roman" w:hAnsi="Times New Roman" w:eastAsia="仿宋_GB2312" w:cs="Times New Roman"/>
          <w:color w:val="000000"/>
          <w:highlight w:val="none"/>
          <w:lang w:eastAsia="zh-CN"/>
        </w:rPr>
        <w:t>蟹类</w:t>
      </w:r>
      <w:r>
        <w:rPr>
          <w:rFonts w:hint="eastAsia" w:ascii="Times New Roman" w:hAnsi="Times New Roman" w:eastAsia="仿宋_GB2312" w:cs="Times New Roman"/>
          <w:color w:val="000000"/>
          <w:highlight w:val="none"/>
        </w:rPr>
        <w:t>中的限量值为0.</w:t>
      </w:r>
      <w:r>
        <w:rPr>
          <w:rFonts w:hint="eastAsia" w:ascii="Times New Roman" w:hAnsi="Times New Roman" w:eastAsia="仿宋_GB2312" w:cs="Times New Roman"/>
          <w:color w:val="000000"/>
          <w:highlight w:val="none"/>
          <w:lang w:val="en-US" w:eastAsia="zh-CN"/>
        </w:rPr>
        <w:t>5</w:t>
      </w:r>
      <w:r>
        <w:rPr>
          <w:rFonts w:hint="eastAsia" w:ascii="Times New Roman" w:hAnsi="Times New Roman" w:eastAsia="仿宋_GB2312" w:cs="Times New Roman"/>
          <w:color w:val="000000"/>
          <w:highlight w:val="none"/>
        </w:rPr>
        <w:t>mg/kg。镉（以Cd计）检测值超标的原因，可能是其</w:t>
      </w:r>
      <w:r>
        <w:rPr>
          <w:rFonts w:hint="eastAsia" w:ascii="Times New Roman" w:hAnsi="Times New Roman" w:eastAsia="仿宋_GB2312" w:cs="Times New Roman"/>
          <w:color w:val="000000"/>
          <w:highlight w:val="none"/>
          <w:lang w:eastAsia="zh-CN"/>
        </w:rPr>
        <w:t>养殖</w:t>
      </w:r>
      <w:r>
        <w:rPr>
          <w:rFonts w:hint="eastAsia" w:ascii="Times New Roman" w:hAnsi="Times New Roman" w:eastAsia="仿宋_GB2312" w:cs="Times New Roman"/>
          <w:color w:val="000000"/>
          <w:highlight w:val="none"/>
        </w:rPr>
        <w:t>过程中富集环境中的镉元素</w:t>
      </w:r>
      <w:r>
        <w:rPr>
          <w:rFonts w:hint="eastAsia" w:ascii="Times New Roman" w:hAnsi="Times New Roman" w:eastAsia="仿宋_GB2312" w:cs="Times New Roman"/>
          <w:color w:val="000000"/>
          <w:highlight w:val="none"/>
          <w:lang w:eastAsia="zh-CN"/>
        </w:rPr>
        <w:t>导致</w:t>
      </w:r>
      <w:r>
        <w:rPr>
          <w:rFonts w:hint="eastAsia" w:ascii="Times New Roman" w:hAnsi="Times New Roman" w:eastAsia="仿宋_GB2312" w:cs="Times New Roman"/>
          <w:color w:val="000000"/>
          <w:highlight w:val="none"/>
        </w:rPr>
        <w:t>。</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四、乙酰甲胺磷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Times New Roman"/>
          <w:bCs/>
          <w:color w:val="000000"/>
          <w:kern w:val="2"/>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乙酰甲胺磷是种缓效型杀虫剂，适用于适用于蔬菜、茶树、烟草、果树、棉花、水稻、小麦、油菜等作物，防治多种害虫。《食品安全国家标准 食品中农药最大残留限量》（GB 2763-2021）中规定，乙酰甲胺磷在豆类蔬菜中的最大残留限量值为0.02mg/kg，长期食用农药残留超标的食品，对人体健康有一定影响</w:t>
      </w:r>
      <w:r>
        <w:rPr>
          <w:rFonts w:hint="eastAsia" w:ascii="Times New Roman" w:hAnsi="Times New Roman" w:eastAsia="仿宋_GB2312" w:cs="Times New Roman"/>
          <w:bCs/>
          <w:color w:val="000000"/>
          <w:kern w:val="2"/>
          <w:sz w:val="32"/>
          <w:szCs w:val="32"/>
          <w:lang w:val="en-US" w:eastAsia="zh-CN" w:bidi="ar"/>
        </w:rPr>
        <w:t>。</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五、二氧化硫残留量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二氧化硫是食品加工中常用的漂白剂和防腐剂，具有漂白、防腐和抗氧化作用。少量二氧化硫进入人体不会对身体造成健康危害，但过量食用会引起如恶心、呕吐等胃肠道反应。二氧化硫残留量超标的原因，可能是生产者使用劣质原料以降低成本后为提高产品色泽而超量使用二氧化硫，也可能是使用时不计量或计量不准确，还可能是由于使用硫磺熏蒸漂白这种传统工艺或直接使用亚硫酸盐浸泡所致。</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六、孔雀石绿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孔雀石绿是一种工业染料，因具有杀菌和抗寄生虫作用，曾用于水产养殖。孔雀石绿在动物体内代谢为隐色孔雀石绿，长时间残留于生物体内。孔雀石绿及隐色孔雀石绿均对人体肝脏具有潜在致癌性。长期食用检出孔雀石绿的食品，将会危害人体健康。《食品动物中禁止使用的药品及其他化合物清单》（农业农村部公告第250号）中规定，孔雀石绿为食品动物中禁止使用的药品（在动物性食品中不得检出）。水产品中检出孔雀石绿的原因，可能是在养殖过程中违规使用。</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七、恩诺沙星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恩诺沙星属第三代喹诺酮类药物，是一类人工合成的广谱抗菌药，用于治疗动物的皮肤感染、呼吸道感染等，是动物专属用药。长期食用恩诺沙星残留超标的食品，可能在人体中蓄积，进而对人体机能产生危害，还可能使人体产生耐药性菌株。《食品安全国家标准 食品中兽药最大残留限量》（GB 31650-2019）中规定，恩诺沙星（以恩诺沙星和环丙沙星之和计）可用于牛、羊、猪、兔、禽等食用畜禽及其他动物，在牛、禽和其他动物的肌肉中的最大残留限量值为100μg/kg。长期食用恩诺沙星超标的食品，可能会对人体健康有一定影响。</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八、铅（以Pb计）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铅是一种常见的重金属元素污染物，会严重危害人体健康。长期食用铅超标的食品，可能会对人体的血液系统、神经系统产生损害，尤其对儿童生长和智力发育的影响较大。《食品安全国家标准 食品中污染物限量》（GB 2762-2017）中规定，铅（以Pb计）在水果制品中的限量值为1.0mg/kg。铅（以Pb计）检测值超标的原因，可能是企业在生产时未对原料进行严格验收或为降低产品成本而采用劣质原料，由生产原料或辅料带入到产品中，也可能是食品生产加工过程中加工设备、容器、包装材料中的铅迁移带入。</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九、氯霉素</w:t>
      </w:r>
    </w:p>
    <w:p>
      <w:pPr>
        <w:ind w:firstLine="640" w:firstLineChars="200"/>
      </w:pPr>
      <w:r>
        <w:rPr>
          <w:rFonts w:hint="eastAsia" w:ascii="Times New Roman" w:hAnsi="Times New Roman" w:eastAsia="仿宋_GB2312" w:cs="仿宋_GB2312"/>
          <w:bCs/>
          <w:color w:val="000000"/>
          <w:kern w:val="0"/>
          <w:sz w:val="32"/>
          <w:szCs w:val="32"/>
          <w:lang w:val="en-US" w:eastAsia="zh-CN" w:bidi="ar"/>
        </w:rPr>
        <w:t>氯霉素是酰胺醇类抗生素，对革兰氏阳性菌和革兰氏阴性菌均有较好的抑制作用。长期食用检出氯霉素的食品，可能引起恶心、呕吐、食欲缺乏、舌炎、口腔炎、过敏以及其他不良反应，还可能对造血系统、神经系统造成损害。我国发布的《食品中可能违法添加的非食用物质和易滥用的食品添加剂品种名单（第五批）》（整顿办函〔2011〕1号）中将氯霉素列为在肉制品中可能违法添加的非食用物质，在肉制品中不得检出。肉制品中检出氯霉素的原因，可能是养殖户在养殖中违法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0EFF" w:usb1="4000247B" w:usb2="00000001" w:usb3="00000000" w:csb0="200001B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ZTUxZTg5NzI1NjljMGU1OWJhNmY3MzY4ZjNiZWYifQ=="/>
  </w:docVars>
  <w:rsids>
    <w:rsidRoot w:val="7D547BF7"/>
    <w:rsid w:val="7D547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2023-06-01T08:06:00Z</dcterms:created>
  <dc:creator>罗钰珊</dc:creator>
  <cp:lastModifiedBy>罗钰珊</cp:lastModifiedBy>
  <dcterms:modified xsi:type="dcterms:W3CDTF">2023-06-01T08:06:53Z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A74A0E49918A4C8E95461E0E1B8D7083_11</vt:lpwstr>
  </property>
</Properties>
</file>