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spacing w:line="576" w:lineRule="exact"/>
        <w:jc w:val="left"/>
        <w:rPr>
          <w:rFonts w:hint="default" w:ascii="Times New Roman" w:hAnsi="Times New Roman" w:eastAsia="方正黑体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kern w:val="0"/>
          <w:sz w:val="32"/>
          <w:szCs w:val="32"/>
        </w:rPr>
        <w:t>市市场监管局发布</w:t>
      </w:r>
    </w:p>
    <w:p>
      <w:pPr>
        <w:spacing w:line="576" w:lineRule="exact"/>
        <w:jc w:val="center"/>
        <w:rPr>
          <w:rFonts w:hint="default" w:ascii="Times New Roman" w:hAnsi="Times New Roman" w:eastAsia="方正小标宋_GBK" w:cs="Times New Roman"/>
          <w:kern w:val="0"/>
          <w:sz w:val="44"/>
          <w:szCs w:val="44"/>
        </w:rPr>
      </w:pPr>
    </w:p>
    <w:p>
      <w:pPr>
        <w:jc w:val="center"/>
        <w:rPr>
          <w:rFonts w:hint="default" w:ascii="Times New Roman" w:hAnsi="Times New Roman" w:cs="Times New Roman"/>
          <w:b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kern w:val="0"/>
          <w:sz w:val="44"/>
          <w:szCs w:val="44"/>
          <w:lang w:val="en-US" w:eastAsia="zh-CN"/>
        </w:rPr>
        <w:t>化肥</w:t>
      </w:r>
      <w:r>
        <w:rPr>
          <w:rFonts w:hint="default" w:ascii="Times New Roman" w:hAnsi="Times New Roman" w:eastAsia="方正小标宋_GBK" w:cs="Times New Roman"/>
          <w:kern w:val="0"/>
          <w:sz w:val="44"/>
          <w:szCs w:val="44"/>
        </w:rPr>
        <w:t>产品质量监督抽查分析报告</w:t>
      </w:r>
    </w:p>
    <w:p>
      <w:pPr>
        <w:spacing w:line="300" w:lineRule="exact"/>
        <w:jc w:val="center"/>
        <w:rPr>
          <w:rFonts w:hint="default" w:ascii="Times New Roman" w:hAnsi="Times New Roman" w:cs="Times New Roman"/>
          <w:b/>
          <w:sz w:val="36"/>
          <w:szCs w:val="36"/>
        </w:rPr>
      </w:pPr>
    </w:p>
    <w:p>
      <w:pPr>
        <w:widowControl/>
        <w:shd w:val="clear" w:color="auto" w:fill="FFFFFF"/>
        <w:spacing w:line="576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202</w:t>
      </w:r>
      <w:r>
        <w:rPr>
          <w:rFonts w:hint="eastAsia" w:eastAsia="方正仿宋_GBK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年</w:t>
      </w:r>
      <w:r>
        <w:rPr>
          <w:rFonts w:hint="eastAsia" w:eastAsia="方正仿宋_GBK" w:cs="Times New Roman"/>
          <w:sz w:val="32"/>
          <w:szCs w:val="32"/>
          <w:lang w:val="en-US" w:eastAsia="zh-CN"/>
        </w:rPr>
        <w:t>度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盐城市市场监督管理局委托盐城市产品质量监督检验所</w:t>
      </w:r>
      <w:r>
        <w:rPr>
          <w:rFonts w:hint="eastAsia" w:eastAsia="方正仿宋_GBK" w:cs="Times New Roman"/>
          <w:sz w:val="32"/>
          <w:szCs w:val="32"/>
          <w:lang w:val="en-US" w:eastAsia="zh-CN"/>
        </w:rPr>
        <w:t>组织实施化肥产品市级监督抽查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。</w:t>
      </w:r>
      <w:r>
        <w:rPr>
          <w:rFonts w:hint="eastAsia" w:eastAsia="方正仿宋_GBK" w:cs="Times New Roman"/>
          <w:sz w:val="32"/>
          <w:szCs w:val="32"/>
          <w:lang w:val="en-US" w:eastAsia="zh-CN"/>
        </w:rPr>
        <w:t>本次抽查计划10批次，抽到10批次，经检验合格10批次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。</w:t>
      </w:r>
    </w:p>
    <w:p>
      <w:pPr>
        <w:pStyle w:val="8"/>
        <w:snapToGrid w:val="0"/>
        <w:spacing w:line="576" w:lineRule="exact"/>
        <w:ind w:firstLine="640" w:firstLineChars="200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kern w:val="2"/>
          <w:sz w:val="32"/>
          <w:szCs w:val="32"/>
          <w:lang w:val="en-US" w:eastAsia="zh-CN" w:bidi="ar-SA"/>
        </w:rPr>
        <w:t>一、产品和产业概况</w:t>
      </w:r>
    </w:p>
    <w:p>
      <w:pPr>
        <w:spacing w:line="576" w:lineRule="exact"/>
        <w:ind w:firstLine="560"/>
        <w:rPr>
          <w:rFonts w:hint="default" w:ascii="Times New Roman" w:hAnsi="Times New Roman" w:eastAsia="楷体" w:cs="Times New Roman"/>
          <w:color w:val="333333"/>
          <w:kern w:val="0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bCs/>
          <w:color w:val="000000"/>
          <w:kern w:val="0"/>
          <w:sz w:val="32"/>
          <w:szCs w:val="32"/>
          <w:lang w:val="en-US" w:eastAsia="zh-CN"/>
        </w:rPr>
        <w:t>（一）产品概况</w:t>
      </w:r>
    </w:p>
    <w:p>
      <w:pPr>
        <w:widowControl/>
        <w:shd w:val="clear" w:color="auto" w:fill="FFFFFF"/>
        <w:spacing w:line="576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fldChar w:fldCharType="begin"/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instrText xml:space="preserve"> HYPERLINK "http://www.ocn.com.cn/reports/2006074huafei.htm" \t "_blank" </w:instrTex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fldChar w:fldCharType="separate"/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化肥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fldChar w:fldCharType="end"/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工业是煤炭、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fldChar w:fldCharType="begin"/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instrText xml:space="preserve"> HYPERLINK "http://www.ocn.com.cn/reports/2006123tianranqi.htm" \t "_blank" </w:instrTex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fldChar w:fldCharType="separate"/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天然气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fldChar w:fldCharType="end"/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、磷矿石、卤水等能源和自然资源转化为植物营养的产业，主要包括</w:t>
      </w:r>
      <w:r>
        <w:rPr>
          <w:rFonts w:hint="eastAsia" w:eastAsia="方正仿宋_GBK" w:cs="Times New Roman"/>
          <w:sz w:val="32"/>
          <w:szCs w:val="32"/>
          <w:lang w:val="en-US" w:eastAsia="zh-CN"/>
        </w:rPr>
        <w:t>复合肥料、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fldChar w:fldCharType="begin"/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instrText xml:space="preserve"> HYPERLINK "http://www.ocn.com.cn/reports/2008503danfei.htm" \t "_blank" </w:instrTex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fldChar w:fldCharType="separate"/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氮肥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fldChar w:fldCharType="end"/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、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fldChar w:fldCharType="begin"/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instrText xml:space="preserve"> HYPERLINK "http://www.ocn.com.cn/reports/2008500linfei.htm" \t "_blank" </w:instrTex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fldChar w:fldCharType="separate"/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磷肥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fldChar w:fldCharType="end"/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、钾肥、硫酸和配套原料的磷硫矿山行业。复</w:t>
      </w:r>
      <w:r>
        <w:rPr>
          <w:rFonts w:hint="eastAsia" w:eastAsia="方正仿宋_GBK" w:cs="Times New Roman"/>
          <w:sz w:val="32"/>
          <w:szCs w:val="32"/>
          <w:lang w:val="en-US" w:eastAsia="zh-CN"/>
        </w:rPr>
        <w:t>合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肥料是指氮、磷、钾三种养分中，至少有两种养分标明量的由化学方法</w:t>
      </w:r>
      <w:r>
        <w:rPr>
          <w:rFonts w:hint="eastAsia" w:eastAsia="方正仿宋_GBK" w:cs="Times New Roman"/>
          <w:sz w:val="32"/>
          <w:szCs w:val="32"/>
          <w:lang w:val="en-US" w:eastAsia="zh-CN"/>
        </w:rPr>
        <w:t>或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掺混方法制成的肥料。由于能够提高肥效、简化施肥技术、减少施肥次数，提高作物产量和品质，避免单质肥料不合理施用造成的环境污染等问题，其生产和使用越来越受到人们的重视。</w:t>
      </w:r>
    </w:p>
    <w:p>
      <w:pPr>
        <w:widowControl/>
        <w:shd w:val="clear" w:color="auto" w:fill="FFFFFF"/>
        <w:spacing w:line="576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磷肥是指以磷为主要养分的肥料，全称磷素肥料。磷肥肥效的大小</w:t>
      </w:r>
      <w:r>
        <w:rPr>
          <w:rFonts w:hint="eastAsia" w:eastAsia="方正仿宋_GBK" w:cs="Times New Roman"/>
          <w:sz w:val="32"/>
          <w:szCs w:val="32"/>
          <w:lang w:val="en-US" w:eastAsia="zh-CN"/>
        </w:rPr>
        <w:t>（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显著程度</w:t>
      </w:r>
      <w:r>
        <w:rPr>
          <w:rFonts w:hint="eastAsia" w:eastAsia="方正仿宋_GBK" w:cs="Times New Roman"/>
          <w:sz w:val="32"/>
          <w:szCs w:val="32"/>
          <w:lang w:val="en-US" w:eastAsia="zh-CN"/>
        </w:rPr>
        <w:t>）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和快慢决定于磷肥中有效的五氧化二磷的含量、土壤性质、施肥方法、作物种类等。磷在植物体内是细胞原生质的组分，对细胞的生长和增殖起重要作用。磷还参与植物生命过程的光合作用、糖和淀粉的利用和能量的传递过程。磷肥还能促进植物苗期根系的生长，使植物提早成熟。植物在结果时，磷大量转移到籽粒中，使得籽粒饱满。</w:t>
      </w:r>
    </w:p>
    <w:p>
      <w:pPr>
        <w:snapToGrid w:val="0"/>
        <w:spacing w:line="576" w:lineRule="exact"/>
        <w:ind w:firstLine="640" w:firstLineChars="200"/>
        <w:rPr>
          <w:rFonts w:hint="default" w:ascii="Times New Roman" w:hAnsi="Times New Roman" w:eastAsia="楷体" w:cs="Times New Roman"/>
          <w:color w:val="333333"/>
          <w:kern w:val="0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bCs/>
          <w:color w:val="000000"/>
          <w:kern w:val="0"/>
          <w:sz w:val="32"/>
          <w:szCs w:val="32"/>
          <w:lang w:val="en-US" w:eastAsia="zh-CN"/>
        </w:rPr>
        <w:t>（二）产业概况</w:t>
      </w:r>
    </w:p>
    <w:p>
      <w:pPr>
        <w:spacing w:line="576" w:lineRule="exact"/>
        <w:ind w:firstLine="687" w:firstLineChars="214"/>
        <w:rPr>
          <w:rFonts w:hint="default" w:ascii="Times New Roman" w:hAnsi="Times New Roman" w:eastAsia="方正仿宋_GBK" w:cs="Times New Roman"/>
          <w:b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方正仿宋_GBK" w:cs="Times New Roman"/>
          <w:b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方正仿宋_GBK" w:cs="Times New Roman"/>
          <w:b/>
          <w:sz w:val="32"/>
          <w:szCs w:val="32"/>
          <w:lang w:val="en-US" w:eastAsia="zh-CN"/>
        </w:rPr>
        <w:t>产业分布</w:t>
      </w:r>
    </w:p>
    <w:p>
      <w:pPr>
        <w:widowControl/>
        <w:shd w:val="clear" w:color="auto" w:fill="FFFFFF"/>
        <w:spacing w:line="576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我省是化肥</w:t>
      </w:r>
      <w:r>
        <w:rPr>
          <w:rFonts w:hint="eastAsia" w:eastAsia="方正仿宋_GBK" w:cs="Times New Roman"/>
          <w:sz w:val="32"/>
          <w:szCs w:val="32"/>
          <w:lang w:val="en-US" w:eastAsia="zh-CN"/>
        </w:rPr>
        <w:t>产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品生产、消费大省，生产企业主要集中在南京、苏州、无锡、连云港等地区。盐城是农业大市，</w:t>
      </w:r>
      <w:r>
        <w:rPr>
          <w:rFonts w:hint="eastAsia" w:eastAsia="方正仿宋_GBK" w:cs="Times New Roman"/>
          <w:sz w:val="32"/>
          <w:szCs w:val="32"/>
          <w:lang w:val="en-US" w:eastAsia="zh-CN"/>
        </w:rPr>
        <w:t>据统计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目前盐城市共有化肥</w:t>
      </w:r>
      <w:r>
        <w:rPr>
          <w:rFonts w:hint="eastAsia" w:eastAsia="方正仿宋_GBK" w:cs="Times New Roman"/>
          <w:sz w:val="32"/>
          <w:szCs w:val="32"/>
          <w:lang w:val="en-US" w:eastAsia="zh-CN"/>
        </w:rPr>
        <w:t>产品生产许可证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获证企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业</w:t>
      </w:r>
      <w:r>
        <w:rPr>
          <w:rFonts w:hint="eastAsia" w:eastAsia="方正仿宋_GBK" w:cs="Times New Roman"/>
          <w:color w:val="auto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家。</w:t>
      </w:r>
    </w:p>
    <w:p>
      <w:pPr>
        <w:widowControl/>
        <w:shd w:val="clear" w:color="auto" w:fill="FFFFFF"/>
        <w:spacing w:line="576" w:lineRule="exact"/>
        <w:ind w:firstLine="643" w:firstLineChars="200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方正仿宋_GBK" w:cs="Times New Roman"/>
          <w:b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方正仿宋_GBK" w:cs="Times New Roman"/>
          <w:b/>
          <w:sz w:val="32"/>
          <w:szCs w:val="32"/>
          <w:lang w:val="en-US" w:eastAsia="zh-CN"/>
        </w:rPr>
        <w:t>销售渠道</w:t>
      </w:r>
    </w:p>
    <w:p>
      <w:pPr>
        <w:widowControl/>
        <w:shd w:val="clear" w:color="auto" w:fill="FFFFFF"/>
        <w:spacing w:line="576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eastAsia="方正仿宋_GBK" w:cs="Times New Roman"/>
          <w:sz w:val="32"/>
          <w:szCs w:val="32"/>
          <w:lang w:val="en-US" w:eastAsia="zh-CN"/>
        </w:rPr>
        <w:t>化肥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产品的终端用户主要为普通农户，因此大部分</w:t>
      </w:r>
      <w:r>
        <w:rPr>
          <w:rFonts w:hint="eastAsia" w:eastAsia="方正仿宋_GBK" w:cs="Times New Roman"/>
          <w:sz w:val="32"/>
          <w:szCs w:val="32"/>
          <w:lang w:val="en-US" w:eastAsia="zh-CN"/>
        </w:rPr>
        <w:t>化肥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生产企业主要采取传统的单渠道营销模式。</w:t>
      </w:r>
      <w:r>
        <w:rPr>
          <w:rFonts w:hint="eastAsia" w:eastAsia="方正仿宋_GBK" w:cs="Times New Roman"/>
          <w:sz w:val="32"/>
          <w:szCs w:val="32"/>
          <w:lang w:val="en-US" w:eastAsia="zh-CN"/>
        </w:rPr>
        <w:t>化肥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产品通常采用“制造商→一级批发商→中转商→零售商→用户”为链条的营销渠道，其中一级批发商、中转商和零售商统称中间商。</w:t>
      </w:r>
      <w:r>
        <w:rPr>
          <w:rFonts w:hint="eastAsia" w:eastAsia="方正仿宋_GBK" w:cs="Times New Roman"/>
          <w:sz w:val="32"/>
          <w:szCs w:val="32"/>
          <w:lang w:val="en-US" w:eastAsia="zh-CN"/>
        </w:rPr>
        <w:t>化肥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生产企业即“制造商”主要面向全国范围销售，一级批发商通常指经营规模较大，以一个或多个省份为经销区域的经销商；中转商指经营规模较小，以市、县、乡为经销区域的小型次级批发商；零售商指直接面对农户进行销售，以经营零售业务为主的销售门店及</w:t>
      </w:r>
      <w:r>
        <w:rPr>
          <w:rFonts w:hint="eastAsia" w:eastAsia="方正仿宋_GBK" w:cs="Times New Roman"/>
          <w:sz w:val="32"/>
          <w:szCs w:val="32"/>
          <w:lang w:val="en-US" w:eastAsia="zh-CN"/>
        </w:rPr>
        <w:t>化肥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代销点等。</w:t>
      </w:r>
    </w:p>
    <w:p>
      <w:pPr>
        <w:pStyle w:val="8"/>
        <w:snapToGrid w:val="0"/>
        <w:spacing w:line="576" w:lineRule="exact"/>
        <w:ind w:firstLine="640" w:firstLineChars="200"/>
        <w:rPr>
          <w:rFonts w:hint="default" w:ascii="Times New Roman" w:hAnsi="Times New Roman" w:eastAsia="方正黑体_GBK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黑体_GBK" w:cs="Times New Roman"/>
          <w:kern w:val="2"/>
          <w:sz w:val="32"/>
          <w:szCs w:val="32"/>
          <w:lang w:val="en-US" w:eastAsia="zh-CN" w:bidi="ar-SA"/>
        </w:rPr>
        <w:t>二、检验检测概况</w:t>
      </w:r>
    </w:p>
    <w:p>
      <w:pPr>
        <w:snapToGrid w:val="0"/>
        <w:spacing w:line="576" w:lineRule="exact"/>
        <w:ind w:firstLine="640" w:firstLineChars="200"/>
        <w:rPr>
          <w:rFonts w:hint="default" w:ascii="Times New Roman" w:hAnsi="Times New Roman" w:eastAsia="方正楷体_GBK" w:cs="Times New Roman"/>
          <w:bCs/>
          <w:color w:val="00000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楷体_GBK" w:cs="Times New Roman"/>
          <w:bCs/>
          <w:color w:val="000000"/>
          <w:kern w:val="0"/>
          <w:sz w:val="32"/>
          <w:szCs w:val="32"/>
          <w:lang w:val="en-US" w:eastAsia="zh-CN"/>
        </w:rPr>
        <w:t>（一）样品来源</w:t>
      </w:r>
    </w:p>
    <w:p>
      <w:pPr>
        <w:widowControl/>
        <w:shd w:val="clear" w:color="auto" w:fill="FFFFFF"/>
        <w:spacing w:line="576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本次监督抽查</w:t>
      </w:r>
      <w:r>
        <w:rPr>
          <w:rFonts w:hint="eastAsia" w:eastAsia="方正仿宋_GBK" w:cs="Times New Roman"/>
          <w:sz w:val="32"/>
          <w:szCs w:val="32"/>
          <w:lang w:val="en-US" w:eastAsia="zh-CN"/>
        </w:rPr>
        <w:t>化肥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10批次，其中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在实体店抽</w:t>
      </w:r>
      <w:r>
        <w:rPr>
          <w:rFonts w:hint="eastAsia" w:eastAsia="方正仿宋_GBK" w:cs="Times New Roman"/>
          <w:sz w:val="32"/>
          <w:szCs w:val="32"/>
          <w:lang w:val="en-US" w:eastAsia="zh-CN"/>
        </w:rPr>
        <w:t>查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批次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，生产企业抽</w:t>
      </w:r>
      <w:r>
        <w:rPr>
          <w:rFonts w:hint="eastAsia" w:eastAsia="方正仿宋_GBK" w:cs="Times New Roman"/>
          <w:sz w:val="32"/>
          <w:szCs w:val="32"/>
          <w:lang w:val="en-US" w:eastAsia="zh-CN"/>
        </w:rPr>
        <w:t>查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3批次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，具体情况见表1。</w:t>
      </w:r>
    </w:p>
    <w:p>
      <w:pPr>
        <w:pStyle w:val="2"/>
        <w:rPr>
          <w:rFonts w:hint="default"/>
          <w:lang w:val="en-US" w:eastAsia="zh-CN"/>
        </w:rPr>
      </w:pPr>
    </w:p>
    <w:p>
      <w:pPr>
        <w:widowControl/>
        <w:shd w:val="clear" w:color="auto" w:fill="FFFFFF"/>
        <w:spacing w:line="576" w:lineRule="exact"/>
        <w:ind w:firstLine="560" w:firstLineChars="200"/>
        <w:jc w:val="center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表1 样品来源表</w:t>
      </w:r>
    </w:p>
    <w:tbl>
      <w:tblPr>
        <w:tblStyle w:val="5"/>
        <w:tblW w:w="933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07"/>
        <w:gridCol w:w="2865"/>
        <w:gridCol w:w="2400"/>
        <w:gridCol w:w="20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2007" w:type="dxa"/>
            <w:noWrap w:val="0"/>
            <w:vAlign w:val="center"/>
          </w:tcPr>
          <w:p>
            <w:pPr>
              <w:widowControl/>
              <w:spacing w:line="405" w:lineRule="atLeast"/>
              <w:jc w:val="center"/>
              <w:rPr>
                <w:rFonts w:hint="default" w:ascii="Times New Roman" w:hAnsi="Times New Roman" w:eastAsia="仿宋" w:cs="Times New Roman"/>
                <w:b/>
                <w:bCs w:val="0"/>
                <w:color w:val="333333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bCs w:val="0"/>
                <w:color w:val="333333"/>
                <w:kern w:val="0"/>
                <w:sz w:val="24"/>
              </w:rPr>
              <w:t>产品类别</w:t>
            </w:r>
          </w:p>
        </w:tc>
        <w:tc>
          <w:tcPr>
            <w:tcW w:w="2865" w:type="dxa"/>
            <w:noWrap w:val="0"/>
            <w:vAlign w:val="center"/>
          </w:tcPr>
          <w:p>
            <w:pPr>
              <w:widowControl/>
              <w:spacing w:line="405" w:lineRule="atLeast"/>
              <w:jc w:val="center"/>
              <w:rPr>
                <w:rFonts w:hint="default" w:ascii="Times New Roman" w:hAnsi="Times New Roman" w:eastAsia="仿宋" w:cs="Times New Roman"/>
                <w:b/>
                <w:bCs w:val="0"/>
                <w:color w:val="333333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bCs w:val="0"/>
                <w:color w:val="333333"/>
                <w:kern w:val="0"/>
                <w:sz w:val="24"/>
              </w:rPr>
              <w:t>样品来源</w:t>
            </w:r>
          </w:p>
        </w:tc>
        <w:tc>
          <w:tcPr>
            <w:tcW w:w="2400" w:type="dxa"/>
            <w:noWrap w:val="0"/>
            <w:vAlign w:val="center"/>
          </w:tcPr>
          <w:p>
            <w:pPr>
              <w:widowControl/>
              <w:spacing w:line="405" w:lineRule="atLeast"/>
              <w:jc w:val="center"/>
              <w:rPr>
                <w:rFonts w:hint="default" w:ascii="Times New Roman" w:hAnsi="Times New Roman" w:eastAsia="仿宋" w:cs="Times New Roman"/>
                <w:b/>
                <w:bCs w:val="0"/>
                <w:color w:val="333333"/>
                <w:kern w:val="0"/>
                <w:sz w:val="24"/>
              </w:rPr>
            </w:pPr>
            <w:r>
              <w:rPr>
                <w:rFonts w:hint="eastAsia" w:ascii="Times New Roman" w:hAnsi="Times New Roman" w:eastAsia="仿宋" w:cs="Times New Roman"/>
                <w:b/>
                <w:bCs w:val="0"/>
                <w:color w:val="333333"/>
                <w:kern w:val="0"/>
                <w:sz w:val="24"/>
                <w:lang w:eastAsia="zh-CN"/>
              </w:rPr>
              <w:t>样品来源</w:t>
            </w:r>
            <w:r>
              <w:rPr>
                <w:rFonts w:hint="default" w:ascii="Times New Roman" w:hAnsi="Times New Roman" w:eastAsia="仿宋" w:cs="Times New Roman"/>
                <w:b/>
                <w:bCs w:val="0"/>
                <w:color w:val="333333"/>
                <w:kern w:val="0"/>
                <w:sz w:val="24"/>
              </w:rPr>
              <w:t>方式</w:t>
            </w:r>
          </w:p>
        </w:tc>
        <w:tc>
          <w:tcPr>
            <w:tcW w:w="2059" w:type="dxa"/>
            <w:noWrap w:val="0"/>
            <w:vAlign w:val="center"/>
          </w:tcPr>
          <w:p>
            <w:pPr>
              <w:widowControl/>
              <w:spacing w:line="405" w:lineRule="atLeast"/>
              <w:jc w:val="center"/>
              <w:rPr>
                <w:rFonts w:hint="default" w:ascii="Times New Roman" w:hAnsi="Times New Roman" w:eastAsia="仿宋" w:cs="Times New Roman"/>
                <w:b/>
                <w:bCs w:val="0"/>
                <w:color w:val="333333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bCs w:val="0"/>
                <w:color w:val="333333"/>
                <w:kern w:val="0"/>
                <w:sz w:val="24"/>
              </w:rPr>
              <w:t>抽</w:t>
            </w:r>
            <w:r>
              <w:rPr>
                <w:rFonts w:hint="eastAsia" w:ascii="Times New Roman" w:hAnsi="Times New Roman" w:eastAsia="仿宋" w:cs="Times New Roman"/>
                <w:b/>
                <w:bCs w:val="0"/>
                <w:color w:val="333333"/>
                <w:kern w:val="0"/>
                <w:sz w:val="24"/>
                <w:lang w:val="en-US" w:eastAsia="zh-CN"/>
              </w:rPr>
              <w:t>查</w:t>
            </w:r>
            <w:r>
              <w:rPr>
                <w:rFonts w:hint="default" w:ascii="Times New Roman" w:hAnsi="Times New Roman" w:eastAsia="仿宋" w:cs="Times New Roman"/>
                <w:b/>
                <w:bCs w:val="0"/>
                <w:color w:val="333333"/>
                <w:kern w:val="0"/>
                <w:sz w:val="24"/>
              </w:rPr>
              <w:t>批次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2007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</w:rPr>
              <w:t>化肥</w:t>
            </w:r>
          </w:p>
        </w:tc>
        <w:tc>
          <w:tcPr>
            <w:tcW w:w="2865" w:type="dxa"/>
            <w:noWrap w:val="0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</w:rPr>
              <w:t>实体店</w:t>
            </w:r>
          </w:p>
        </w:tc>
        <w:tc>
          <w:tcPr>
            <w:tcW w:w="2400" w:type="dxa"/>
            <w:noWrap w:val="0"/>
            <w:vAlign w:val="center"/>
          </w:tcPr>
          <w:p>
            <w:pPr>
              <w:adjustRightInd w:val="0"/>
              <w:snapToGrid w:val="0"/>
              <w:spacing w:line="400" w:lineRule="atLeast"/>
              <w:ind w:left="-67" w:leftChars="-32" w:firstLine="40" w:firstLineChars="17"/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</w:rPr>
              <w:t>抽样</w:t>
            </w:r>
          </w:p>
        </w:tc>
        <w:tc>
          <w:tcPr>
            <w:tcW w:w="2059" w:type="dxa"/>
            <w:noWrap w:val="0"/>
            <w:vAlign w:val="center"/>
          </w:tcPr>
          <w:p>
            <w:pPr>
              <w:adjustRightInd w:val="0"/>
              <w:snapToGrid w:val="0"/>
              <w:spacing w:line="400" w:lineRule="atLeast"/>
              <w:ind w:left="-67" w:leftChars="-32" w:firstLine="40" w:firstLineChars="17"/>
              <w:jc w:val="center"/>
              <w:rPr>
                <w:rFonts w:hint="eastAsia" w:ascii="Times New Roman" w:hAnsi="Times New Roman" w:eastAsia="仿宋" w:cs="Times New Roman"/>
                <w:sz w:val="24"/>
                <w:lang w:eastAsia="zh-CN"/>
              </w:rPr>
            </w:pPr>
            <w:r>
              <w:rPr>
                <w:rFonts w:hint="eastAsia" w:eastAsia="仿宋" w:cs="Times New Roman"/>
                <w:sz w:val="24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2007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  <w:tc>
          <w:tcPr>
            <w:tcW w:w="2865" w:type="dxa"/>
            <w:noWrap w:val="0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hint="default" w:ascii="Times New Roman" w:hAnsi="Times New Roman" w:eastAsia="仿宋" w:cs="Times New Roman"/>
                <w:sz w:val="24"/>
                <w:lang w:val="en-US" w:eastAsia="zh-CN"/>
              </w:rPr>
            </w:pPr>
            <w:r>
              <w:rPr>
                <w:rFonts w:hint="eastAsia" w:eastAsia="仿宋" w:cs="Times New Roman"/>
                <w:sz w:val="24"/>
                <w:lang w:val="en-US" w:eastAsia="zh-CN"/>
              </w:rPr>
              <w:t>生产企业</w:t>
            </w:r>
          </w:p>
        </w:tc>
        <w:tc>
          <w:tcPr>
            <w:tcW w:w="2400" w:type="dxa"/>
            <w:noWrap w:val="0"/>
            <w:vAlign w:val="center"/>
          </w:tcPr>
          <w:p>
            <w:pPr>
              <w:adjustRightInd w:val="0"/>
              <w:snapToGrid w:val="0"/>
              <w:spacing w:line="400" w:lineRule="atLeast"/>
              <w:ind w:left="-67" w:leftChars="-32" w:firstLine="40" w:firstLineChars="17"/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</w:rPr>
              <w:t>抽样</w:t>
            </w:r>
          </w:p>
        </w:tc>
        <w:tc>
          <w:tcPr>
            <w:tcW w:w="2059" w:type="dxa"/>
            <w:noWrap w:val="0"/>
            <w:vAlign w:val="center"/>
          </w:tcPr>
          <w:p>
            <w:pPr>
              <w:adjustRightInd w:val="0"/>
              <w:snapToGrid w:val="0"/>
              <w:spacing w:line="400" w:lineRule="atLeast"/>
              <w:ind w:left="-67" w:leftChars="-32" w:firstLine="40" w:firstLineChars="17"/>
              <w:jc w:val="center"/>
              <w:rPr>
                <w:rFonts w:hint="eastAsia" w:ascii="Times New Roman" w:hAnsi="Times New Roman" w:eastAsia="仿宋" w:cs="Times New Roman"/>
                <w:sz w:val="24"/>
                <w:lang w:val="en-US" w:eastAsia="zh-CN"/>
              </w:rPr>
            </w:pPr>
            <w:r>
              <w:rPr>
                <w:rFonts w:hint="eastAsia" w:eastAsia="仿宋" w:cs="Times New Roman"/>
                <w:sz w:val="24"/>
                <w:lang w:val="en-US" w:eastAsia="zh-CN"/>
              </w:rPr>
              <w:t>3</w:t>
            </w:r>
          </w:p>
        </w:tc>
      </w:tr>
    </w:tbl>
    <w:p>
      <w:pPr>
        <w:snapToGrid w:val="0"/>
        <w:spacing w:line="576" w:lineRule="exact"/>
        <w:ind w:firstLine="640" w:firstLineChars="200"/>
        <w:rPr>
          <w:rFonts w:hint="default" w:ascii="Times New Roman" w:hAnsi="Times New Roman" w:eastAsia="楷体" w:cs="Times New Roman"/>
          <w:color w:val="333333"/>
          <w:kern w:val="0"/>
          <w:sz w:val="32"/>
          <w:szCs w:val="32"/>
        </w:rPr>
      </w:pPr>
      <w:r>
        <w:rPr>
          <w:rFonts w:hint="eastAsia" w:eastAsia="方正楷体_GBK" w:cs="Times New Roman"/>
          <w:bCs/>
          <w:color w:val="000000"/>
          <w:kern w:val="0"/>
          <w:sz w:val="32"/>
          <w:szCs w:val="32"/>
          <w:lang w:val="en-US" w:eastAsia="zh-CN"/>
        </w:rPr>
        <w:t>（</w:t>
      </w:r>
      <w:r>
        <w:rPr>
          <w:rFonts w:hint="default" w:ascii="Times New Roman" w:hAnsi="Times New Roman" w:eastAsia="方正楷体_GBK" w:cs="Times New Roman"/>
          <w:bCs/>
          <w:color w:val="000000"/>
          <w:kern w:val="0"/>
          <w:sz w:val="32"/>
          <w:szCs w:val="32"/>
          <w:lang w:val="en-US" w:eastAsia="zh-CN"/>
        </w:rPr>
        <w:t>二</w:t>
      </w:r>
      <w:r>
        <w:rPr>
          <w:rFonts w:hint="eastAsia" w:eastAsia="方正楷体_GBK" w:cs="Times New Roman"/>
          <w:bCs/>
          <w:color w:val="000000"/>
          <w:kern w:val="0"/>
          <w:sz w:val="32"/>
          <w:szCs w:val="32"/>
          <w:lang w:val="en-US" w:eastAsia="zh-CN"/>
        </w:rPr>
        <w:t>）</w:t>
      </w:r>
      <w:r>
        <w:rPr>
          <w:rFonts w:hint="default" w:ascii="Times New Roman" w:hAnsi="Times New Roman" w:eastAsia="方正楷体_GBK" w:cs="Times New Roman"/>
          <w:bCs/>
          <w:color w:val="000000"/>
          <w:kern w:val="0"/>
          <w:sz w:val="32"/>
          <w:szCs w:val="32"/>
          <w:lang w:val="en-US" w:eastAsia="zh-CN"/>
        </w:rPr>
        <w:t>检验检测项目概况</w:t>
      </w:r>
    </w:p>
    <w:p>
      <w:pPr>
        <w:widowControl/>
        <w:shd w:val="clear" w:color="auto" w:fill="FFFFFF"/>
        <w:spacing w:line="576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本次抽查涉及的检验检测项目、方法和判定依据分别详见表2、表3。</w:t>
      </w:r>
    </w:p>
    <w:p>
      <w:pPr>
        <w:widowControl/>
        <w:shd w:val="clear" w:color="auto" w:fill="FFFFFF"/>
        <w:spacing w:line="576" w:lineRule="exact"/>
        <w:ind w:firstLine="560" w:firstLineChars="200"/>
        <w:jc w:val="center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表2  复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合</w:t>
      </w:r>
      <w:r>
        <w:rPr>
          <w:rFonts w:hint="default" w:ascii="Times New Roman" w:hAnsi="Times New Roman" w:eastAsia="仿宋" w:cs="Times New Roman"/>
          <w:sz w:val="28"/>
          <w:szCs w:val="28"/>
        </w:rPr>
        <w:t>肥料检测项目</w:t>
      </w:r>
    </w:p>
    <w:tbl>
      <w:tblPr>
        <w:tblStyle w:val="5"/>
        <w:tblW w:w="9369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7"/>
        <w:gridCol w:w="2204"/>
        <w:gridCol w:w="2645"/>
        <w:gridCol w:w="387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47" w:type="dxa"/>
            <w:vMerge w:val="restart"/>
            <w:noWrap w:val="0"/>
            <w:vAlign w:val="center"/>
          </w:tcPr>
          <w:p>
            <w:pPr>
              <w:widowControl/>
              <w:spacing w:line="405" w:lineRule="atLeast"/>
              <w:jc w:val="center"/>
              <w:rPr>
                <w:rFonts w:hint="default" w:ascii="Times New Roman" w:hAnsi="Times New Roman" w:eastAsia="仿宋" w:cs="Times New Roman"/>
                <w:b/>
                <w:bCs w:val="0"/>
                <w:color w:val="333333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bCs w:val="0"/>
                <w:color w:val="333333"/>
                <w:kern w:val="0"/>
                <w:sz w:val="24"/>
              </w:rPr>
              <w:t>序号</w:t>
            </w:r>
          </w:p>
        </w:tc>
        <w:tc>
          <w:tcPr>
            <w:tcW w:w="2204" w:type="dxa"/>
            <w:vMerge w:val="restart"/>
            <w:noWrap w:val="0"/>
            <w:vAlign w:val="center"/>
          </w:tcPr>
          <w:p>
            <w:pPr>
              <w:widowControl/>
              <w:spacing w:line="405" w:lineRule="atLeast"/>
              <w:jc w:val="center"/>
              <w:rPr>
                <w:rFonts w:hint="default" w:ascii="Times New Roman" w:hAnsi="Times New Roman" w:eastAsia="仿宋" w:cs="Times New Roman"/>
                <w:b/>
                <w:bCs w:val="0"/>
                <w:color w:val="333333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bCs w:val="0"/>
                <w:color w:val="333333"/>
                <w:kern w:val="0"/>
                <w:sz w:val="24"/>
              </w:rPr>
              <w:t>检验项目</w:t>
            </w:r>
          </w:p>
        </w:tc>
        <w:tc>
          <w:tcPr>
            <w:tcW w:w="2645" w:type="dxa"/>
            <w:vMerge w:val="restart"/>
            <w:noWrap w:val="0"/>
            <w:vAlign w:val="center"/>
          </w:tcPr>
          <w:p>
            <w:pPr>
              <w:widowControl/>
              <w:spacing w:line="405" w:lineRule="atLeast"/>
              <w:jc w:val="center"/>
              <w:rPr>
                <w:rFonts w:hint="default" w:ascii="Times New Roman" w:hAnsi="Times New Roman" w:eastAsia="仿宋" w:cs="Times New Roman"/>
                <w:b/>
                <w:bCs w:val="0"/>
                <w:color w:val="333333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bCs w:val="0"/>
                <w:color w:val="333333"/>
                <w:kern w:val="0"/>
                <w:sz w:val="24"/>
              </w:rPr>
              <w:t>判定依据</w:t>
            </w:r>
          </w:p>
        </w:tc>
        <w:tc>
          <w:tcPr>
            <w:tcW w:w="3873" w:type="dxa"/>
            <w:vMerge w:val="restart"/>
            <w:noWrap w:val="0"/>
            <w:vAlign w:val="center"/>
          </w:tcPr>
          <w:p>
            <w:pPr>
              <w:widowControl/>
              <w:spacing w:line="405" w:lineRule="atLeast"/>
              <w:jc w:val="center"/>
              <w:rPr>
                <w:rFonts w:hint="default" w:ascii="Times New Roman" w:hAnsi="Times New Roman" w:eastAsia="仿宋" w:cs="Times New Roman"/>
                <w:b/>
                <w:bCs w:val="0"/>
                <w:color w:val="333333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bCs w:val="0"/>
                <w:color w:val="333333"/>
                <w:kern w:val="0"/>
                <w:sz w:val="24"/>
              </w:rPr>
              <w:t>检测方法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47" w:type="dxa"/>
            <w:vMerge w:val="continue"/>
            <w:tcBorders>
              <w:top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</w:rPr>
            </w:pPr>
          </w:p>
        </w:tc>
        <w:tc>
          <w:tcPr>
            <w:tcW w:w="2204" w:type="dxa"/>
            <w:vMerge w:val="continue"/>
            <w:tcBorders>
              <w:top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</w:rPr>
            </w:pPr>
          </w:p>
        </w:tc>
        <w:tc>
          <w:tcPr>
            <w:tcW w:w="2645" w:type="dxa"/>
            <w:vMerge w:val="continue"/>
            <w:tcBorders>
              <w:top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</w:rPr>
            </w:pPr>
          </w:p>
        </w:tc>
        <w:tc>
          <w:tcPr>
            <w:tcW w:w="3873" w:type="dxa"/>
            <w:vMerge w:val="continue"/>
            <w:tcBorders>
              <w:top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64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</w:rPr>
              <w:t>1</w:t>
            </w:r>
          </w:p>
        </w:tc>
        <w:tc>
          <w:tcPr>
            <w:tcW w:w="2204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>总氮</w:t>
            </w:r>
          </w:p>
        </w:tc>
        <w:tc>
          <w:tcPr>
            <w:tcW w:w="264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>GB/T 15063-2020</w:t>
            </w:r>
          </w:p>
        </w:tc>
        <w:tc>
          <w:tcPr>
            <w:tcW w:w="3873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>GB/T 8572-2010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64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</w:rPr>
              <w:t>2</w:t>
            </w:r>
          </w:p>
        </w:tc>
        <w:tc>
          <w:tcPr>
            <w:tcW w:w="2204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>有效磷</w:t>
            </w:r>
          </w:p>
        </w:tc>
        <w:tc>
          <w:tcPr>
            <w:tcW w:w="264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>GB/T 15063-2020</w:t>
            </w:r>
          </w:p>
        </w:tc>
        <w:tc>
          <w:tcPr>
            <w:tcW w:w="3873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>GB/T 8573-2017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64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</w:rPr>
              <w:t>3</w:t>
            </w:r>
          </w:p>
        </w:tc>
        <w:tc>
          <w:tcPr>
            <w:tcW w:w="2204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>钾</w:t>
            </w:r>
          </w:p>
        </w:tc>
        <w:tc>
          <w:tcPr>
            <w:tcW w:w="264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>GB/T 15063-2020</w:t>
            </w:r>
          </w:p>
        </w:tc>
        <w:tc>
          <w:tcPr>
            <w:tcW w:w="3873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>GB/T 8574-2010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64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</w:rPr>
              <w:t>4</w:t>
            </w:r>
          </w:p>
        </w:tc>
        <w:tc>
          <w:tcPr>
            <w:tcW w:w="2204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>总养分</w:t>
            </w:r>
          </w:p>
        </w:tc>
        <w:tc>
          <w:tcPr>
            <w:tcW w:w="264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>GB/T 15063-2020</w:t>
            </w:r>
          </w:p>
        </w:tc>
        <w:tc>
          <w:tcPr>
            <w:tcW w:w="3873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>GB/T 8572-2010</w:t>
            </w:r>
          </w:p>
          <w:p>
            <w:pPr>
              <w:jc w:val="center"/>
              <w:rPr>
                <w:rFonts w:hint="eastAsia"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>GB/T 8573-2017</w:t>
            </w:r>
          </w:p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>GB/T 8574-2010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64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</w:rPr>
              <w:t>5</w:t>
            </w:r>
          </w:p>
        </w:tc>
        <w:tc>
          <w:tcPr>
            <w:tcW w:w="2204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>氯离子</w:t>
            </w:r>
          </w:p>
        </w:tc>
        <w:tc>
          <w:tcPr>
            <w:tcW w:w="264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>GB/T 15063-2020</w:t>
            </w:r>
          </w:p>
        </w:tc>
        <w:tc>
          <w:tcPr>
            <w:tcW w:w="3873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>GB/T 15063-2020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64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仿宋" w:cs="Times New Roman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" w:cs="Times New Roman"/>
                <w:kern w:val="0"/>
                <w:sz w:val="24"/>
                <w:lang w:val="en-US" w:eastAsia="zh-CN"/>
              </w:rPr>
              <w:t>6</w:t>
            </w:r>
          </w:p>
        </w:tc>
        <w:tc>
          <w:tcPr>
            <w:tcW w:w="2204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>水分</w:t>
            </w:r>
          </w:p>
        </w:tc>
        <w:tc>
          <w:tcPr>
            <w:tcW w:w="264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>GB/T 15063-2020</w:t>
            </w:r>
          </w:p>
        </w:tc>
        <w:tc>
          <w:tcPr>
            <w:tcW w:w="3873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>GB/T 15063-2020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64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仿宋" w:cs="Times New Roman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" w:cs="Times New Roman"/>
                <w:kern w:val="0"/>
                <w:sz w:val="24"/>
                <w:lang w:val="en-US" w:eastAsia="zh-CN"/>
              </w:rPr>
              <w:t>7</w:t>
            </w:r>
          </w:p>
        </w:tc>
        <w:tc>
          <w:tcPr>
            <w:tcW w:w="2204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>单一微量元素</w:t>
            </w:r>
          </w:p>
        </w:tc>
        <w:tc>
          <w:tcPr>
            <w:tcW w:w="264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>GB/T 15063-2020</w:t>
            </w:r>
          </w:p>
        </w:tc>
        <w:tc>
          <w:tcPr>
            <w:tcW w:w="3873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>GB/T 15063-2020</w:t>
            </w:r>
          </w:p>
        </w:tc>
      </w:tr>
    </w:tbl>
    <w:p>
      <w:pPr>
        <w:widowControl/>
        <w:shd w:val="clear" w:color="auto" w:fill="FFFFFF"/>
        <w:spacing w:line="576" w:lineRule="exact"/>
        <w:ind w:firstLine="560" w:firstLineChars="200"/>
        <w:jc w:val="center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表3  过磷酸钙检验项目</w:t>
      </w:r>
    </w:p>
    <w:tbl>
      <w:tblPr>
        <w:tblStyle w:val="5"/>
        <w:tblW w:w="92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0"/>
        <w:gridCol w:w="3662"/>
        <w:gridCol w:w="2345"/>
        <w:gridCol w:w="265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  <w:jc w:val="center"/>
        </w:trPr>
        <w:tc>
          <w:tcPr>
            <w:tcW w:w="630" w:type="dxa"/>
            <w:vMerge w:val="restart"/>
            <w:noWrap w:val="0"/>
            <w:vAlign w:val="center"/>
          </w:tcPr>
          <w:p>
            <w:pPr>
              <w:widowControl/>
              <w:spacing w:line="405" w:lineRule="atLeast"/>
              <w:jc w:val="center"/>
              <w:rPr>
                <w:rFonts w:hint="default" w:ascii="Times New Roman" w:hAnsi="Times New Roman" w:eastAsia="仿宋" w:cs="Times New Roman"/>
                <w:b/>
                <w:bCs w:val="0"/>
                <w:color w:val="333333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bCs w:val="0"/>
                <w:color w:val="333333"/>
                <w:kern w:val="0"/>
                <w:sz w:val="24"/>
              </w:rPr>
              <w:t>序号</w:t>
            </w:r>
          </w:p>
        </w:tc>
        <w:tc>
          <w:tcPr>
            <w:tcW w:w="3662" w:type="dxa"/>
            <w:vMerge w:val="restart"/>
            <w:noWrap w:val="0"/>
            <w:vAlign w:val="center"/>
          </w:tcPr>
          <w:p>
            <w:pPr>
              <w:widowControl/>
              <w:spacing w:line="405" w:lineRule="atLeast"/>
              <w:jc w:val="center"/>
              <w:rPr>
                <w:rFonts w:hint="default" w:ascii="Times New Roman" w:hAnsi="Times New Roman" w:eastAsia="仿宋" w:cs="Times New Roman"/>
                <w:b/>
                <w:bCs w:val="0"/>
                <w:color w:val="333333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bCs w:val="0"/>
                <w:color w:val="333333"/>
                <w:kern w:val="0"/>
                <w:sz w:val="24"/>
              </w:rPr>
              <w:t>检验项目</w:t>
            </w:r>
          </w:p>
        </w:tc>
        <w:tc>
          <w:tcPr>
            <w:tcW w:w="2345" w:type="dxa"/>
            <w:vMerge w:val="restart"/>
            <w:noWrap w:val="0"/>
            <w:vAlign w:val="center"/>
          </w:tcPr>
          <w:p>
            <w:pPr>
              <w:widowControl/>
              <w:spacing w:line="405" w:lineRule="atLeast"/>
              <w:jc w:val="center"/>
              <w:rPr>
                <w:rFonts w:hint="default" w:ascii="Times New Roman" w:hAnsi="Times New Roman" w:eastAsia="仿宋" w:cs="Times New Roman"/>
                <w:b/>
                <w:bCs w:val="0"/>
                <w:color w:val="333333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bCs w:val="0"/>
                <w:color w:val="333333"/>
                <w:kern w:val="0"/>
                <w:sz w:val="24"/>
              </w:rPr>
              <w:t>判定依据</w:t>
            </w:r>
          </w:p>
        </w:tc>
        <w:tc>
          <w:tcPr>
            <w:tcW w:w="2651" w:type="dxa"/>
            <w:vMerge w:val="restart"/>
            <w:noWrap w:val="0"/>
            <w:vAlign w:val="center"/>
          </w:tcPr>
          <w:p>
            <w:pPr>
              <w:widowControl/>
              <w:spacing w:line="405" w:lineRule="atLeast"/>
              <w:jc w:val="center"/>
              <w:rPr>
                <w:rFonts w:hint="default" w:ascii="Times New Roman" w:hAnsi="Times New Roman" w:eastAsia="仿宋" w:cs="Times New Roman"/>
                <w:b/>
                <w:bCs w:val="0"/>
                <w:color w:val="333333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bCs w:val="0"/>
                <w:color w:val="333333"/>
                <w:kern w:val="0"/>
                <w:sz w:val="24"/>
              </w:rPr>
              <w:t>检测方法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30" w:type="dxa"/>
            <w:vMerge w:val="continue"/>
            <w:tcBorders>
              <w:top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</w:p>
        </w:tc>
        <w:tc>
          <w:tcPr>
            <w:tcW w:w="3662" w:type="dxa"/>
            <w:vMerge w:val="continue"/>
            <w:tcBorders>
              <w:top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</w:p>
        </w:tc>
        <w:tc>
          <w:tcPr>
            <w:tcW w:w="2345" w:type="dxa"/>
            <w:vMerge w:val="continue"/>
            <w:tcBorders>
              <w:top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</w:p>
        </w:tc>
        <w:tc>
          <w:tcPr>
            <w:tcW w:w="2651" w:type="dxa"/>
            <w:vMerge w:val="continue"/>
            <w:tcBorders>
              <w:top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jc w:val="center"/>
        </w:trPr>
        <w:tc>
          <w:tcPr>
            <w:tcW w:w="63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>1</w:t>
            </w:r>
          </w:p>
        </w:tc>
        <w:tc>
          <w:tcPr>
            <w:tcW w:w="3662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>有效</w:t>
            </w:r>
            <w:r>
              <w:rPr>
                <w:rFonts w:hint="eastAsia" w:ascii="Times New Roman" w:hAnsi="Times New Roman" w:eastAsia="方正仿宋_GBK"/>
                <w:sz w:val="24"/>
                <w:lang w:val="en-US" w:eastAsia="zh-CN"/>
              </w:rPr>
              <w:t>磷</w:t>
            </w:r>
            <w:r>
              <w:rPr>
                <w:rFonts w:hint="eastAsia" w:ascii="Times New Roman" w:hAnsi="Times New Roman" w:eastAsia="方正仿宋_GBK"/>
                <w:sz w:val="24"/>
              </w:rPr>
              <w:t>（以P</w:t>
            </w:r>
            <w:r>
              <w:rPr>
                <w:rFonts w:hint="eastAsia" w:ascii="Times New Roman" w:hAnsi="Times New Roman" w:eastAsia="方正仿宋_GBK"/>
                <w:sz w:val="24"/>
                <w:vertAlign w:val="subscript"/>
              </w:rPr>
              <w:t>2</w:t>
            </w:r>
            <w:r>
              <w:rPr>
                <w:rFonts w:hint="eastAsia" w:ascii="Times New Roman" w:hAnsi="Times New Roman" w:eastAsia="方正仿宋_GBK"/>
                <w:sz w:val="24"/>
              </w:rPr>
              <w:t>O</w:t>
            </w:r>
            <w:r>
              <w:rPr>
                <w:rFonts w:hint="eastAsia" w:ascii="Times New Roman" w:hAnsi="Times New Roman" w:eastAsia="方正仿宋_GBK"/>
                <w:sz w:val="24"/>
                <w:vertAlign w:val="subscript"/>
              </w:rPr>
              <w:t>5</w:t>
            </w:r>
            <w:r>
              <w:rPr>
                <w:rFonts w:hint="eastAsia" w:ascii="Times New Roman" w:hAnsi="Times New Roman" w:eastAsia="方正仿宋_GBK"/>
                <w:sz w:val="24"/>
              </w:rPr>
              <w:t>计）的质量分数</w:t>
            </w:r>
          </w:p>
        </w:tc>
        <w:tc>
          <w:tcPr>
            <w:tcW w:w="234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>GB/T20413-2017</w:t>
            </w:r>
          </w:p>
        </w:tc>
        <w:tc>
          <w:tcPr>
            <w:tcW w:w="265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>GB/T20413-2017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jc w:val="center"/>
        </w:trPr>
        <w:tc>
          <w:tcPr>
            <w:tcW w:w="63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>2</w:t>
            </w:r>
          </w:p>
        </w:tc>
        <w:tc>
          <w:tcPr>
            <w:tcW w:w="3662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>水溶性磷（以P</w:t>
            </w:r>
            <w:r>
              <w:rPr>
                <w:rFonts w:hint="eastAsia" w:ascii="Times New Roman" w:hAnsi="Times New Roman" w:eastAsia="方正仿宋_GBK"/>
                <w:sz w:val="24"/>
                <w:vertAlign w:val="subscript"/>
              </w:rPr>
              <w:t>2</w:t>
            </w:r>
            <w:r>
              <w:rPr>
                <w:rFonts w:hint="eastAsia" w:ascii="Times New Roman" w:hAnsi="Times New Roman" w:eastAsia="方正仿宋_GBK"/>
                <w:sz w:val="24"/>
              </w:rPr>
              <w:t>O</w:t>
            </w:r>
            <w:r>
              <w:rPr>
                <w:rFonts w:hint="eastAsia" w:ascii="Times New Roman" w:hAnsi="Times New Roman" w:eastAsia="方正仿宋_GBK"/>
                <w:sz w:val="24"/>
                <w:vertAlign w:val="subscript"/>
              </w:rPr>
              <w:t>5</w:t>
            </w:r>
            <w:r>
              <w:rPr>
                <w:rFonts w:hint="eastAsia" w:ascii="Times New Roman" w:hAnsi="Times New Roman" w:eastAsia="方正仿宋_GBK"/>
                <w:sz w:val="24"/>
              </w:rPr>
              <w:t>计）的质量分数</w:t>
            </w:r>
          </w:p>
        </w:tc>
        <w:tc>
          <w:tcPr>
            <w:tcW w:w="234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>GB/T20413-2017</w:t>
            </w:r>
          </w:p>
        </w:tc>
        <w:tc>
          <w:tcPr>
            <w:tcW w:w="265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>GB/T20413-2017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jc w:val="center"/>
        </w:trPr>
        <w:tc>
          <w:tcPr>
            <w:tcW w:w="63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>3</w:t>
            </w:r>
          </w:p>
        </w:tc>
        <w:tc>
          <w:tcPr>
            <w:tcW w:w="3662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>硫（以S计）的质量分数</w:t>
            </w:r>
          </w:p>
        </w:tc>
        <w:tc>
          <w:tcPr>
            <w:tcW w:w="234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>GB/T20413-2017</w:t>
            </w:r>
          </w:p>
        </w:tc>
        <w:tc>
          <w:tcPr>
            <w:tcW w:w="265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>GB/T20413-2017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jc w:val="center"/>
        </w:trPr>
        <w:tc>
          <w:tcPr>
            <w:tcW w:w="63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>4</w:t>
            </w:r>
          </w:p>
        </w:tc>
        <w:tc>
          <w:tcPr>
            <w:tcW w:w="3662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>游离酸（以P</w:t>
            </w:r>
            <w:r>
              <w:rPr>
                <w:rFonts w:hint="eastAsia" w:ascii="Times New Roman" w:hAnsi="Times New Roman" w:eastAsia="方正仿宋_GBK"/>
                <w:sz w:val="24"/>
                <w:vertAlign w:val="subscript"/>
              </w:rPr>
              <w:t>2</w:t>
            </w:r>
            <w:r>
              <w:rPr>
                <w:rFonts w:hint="eastAsia" w:ascii="Times New Roman" w:hAnsi="Times New Roman" w:eastAsia="方正仿宋_GBK"/>
                <w:sz w:val="24"/>
              </w:rPr>
              <w:t>O</w:t>
            </w:r>
            <w:r>
              <w:rPr>
                <w:rFonts w:hint="eastAsia" w:ascii="Times New Roman" w:hAnsi="Times New Roman" w:eastAsia="方正仿宋_GBK"/>
                <w:sz w:val="24"/>
                <w:vertAlign w:val="subscript"/>
              </w:rPr>
              <w:t>5</w:t>
            </w:r>
            <w:r>
              <w:rPr>
                <w:rFonts w:hint="eastAsia" w:ascii="Times New Roman" w:hAnsi="Times New Roman" w:eastAsia="方正仿宋_GBK"/>
                <w:sz w:val="24"/>
              </w:rPr>
              <w:t>计)的质量分数</w:t>
            </w:r>
          </w:p>
        </w:tc>
        <w:tc>
          <w:tcPr>
            <w:tcW w:w="234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>GB/T20413-2017</w:t>
            </w:r>
          </w:p>
        </w:tc>
        <w:tc>
          <w:tcPr>
            <w:tcW w:w="265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>GB/T20413-2017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jc w:val="center"/>
        </w:trPr>
        <w:tc>
          <w:tcPr>
            <w:tcW w:w="63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lang w:val="en-US" w:eastAsia="zh-CN"/>
              </w:rPr>
              <w:t>5</w:t>
            </w:r>
          </w:p>
        </w:tc>
        <w:tc>
          <w:tcPr>
            <w:tcW w:w="3662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</w:rPr>
              <w:t>游离水的质量分数</w:t>
            </w:r>
          </w:p>
        </w:tc>
        <w:tc>
          <w:tcPr>
            <w:tcW w:w="234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</w:rPr>
              <w:t>GB/T20413-2017</w:t>
            </w:r>
          </w:p>
        </w:tc>
        <w:tc>
          <w:tcPr>
            <w:tcW w:w="265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</w:rPr>
              <w:t>GB/T20413-2017</w:t>
            </w:r>
          </w:p>
        </w:tc>
      </w:tr>
    </w:tbl>
    <w:p>
      <w:pPr>
        <w:pStyle w:val="8"/>
        <w:snapToGrid w:val="0"/>
        <w:spacing w:line="576" w:lineRule="exact"/>
        <w:ind w:firstLine="640" w:firstLineChars="200"/>
        <w:rPr>
          <w:rFonts w:hint="default" w:ascii="Times New Roman" w:hAnsi="Times New Roman" w:eastAsia="方正黑体_GBK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黑体_GBK" w:cs="Times New Roman"/>
          <w:kern w:val="2"/>
          <w:sz w:val="32"/>
          <w:szCs w:val="32"/>
          <w:lang w:val="en-US" w:eastAsia="zh-CN" w:bidi="ar-SA"/>
        </w:rPr>
        <w:t>三、监督抽查结果分析</w:t>
      </w:r>
    </w:p>
    <w:p>
      <w:pPr>
        <w:snapToGrid w:val="0"/>
        <w:spacing w:line="540" w:lineRule="exact"/>
        <w:ind w:firstLine="640" w:firstLineChars="200"/>
        <w:rPr>
          <w:rFonts w:hint="default" w:ascii="Times New Roman" w:hAnsi="Times New Roman" w:eastAsia="方正楷体_GBK" w:cs="Times New Roman"/>
          <w:bCs/>
          <w:color w:val="00000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楷体_GBK" w:cs="Times New Roman"/>
          <w:bCs/>
          <w:color w:val="000000"/>
          <w:kern w:val="0"/>
          <w:sz w:val="32"/>
          <w:szCs w:val="32"/>
          <w:lang w:val="en-US" w:eastAsia="zh-CN"/>
        </w:rPr>
        <w:t>（一）综合分析</w:t>
      </w:r>
    </w:p>
    <w:p>
      <w:pPr>
        <w:widowControl/>
        <w:shd w:val="clear" w:color="auto" w:fill="FFFFFF"/>
        <w:spacing w:line="576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本次监督抽查</w:t>
      </w:r>
      <w:r>
        <w:rPr>
          <w:rFonts w:hint="eastAsia" w:eastAsia="方正仿宋_GBK" w:cs="Times New Roman"/>
          <w:sz w:val="32"/>
          <w:szCs w:val="32"/>
          <w:lang w:val="en-US" w:eastAsia="zh-CN"/>
        </w:rPr>
        <w:t>化肥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10批次，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经检验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合格</w:t>
      </w:r>
      <w:r>
        <w:rPr>
          <w:rFonts w:hint="eastAsia" w:eastAsia="方正仿宋_GBK" w:cs="Times New Roman"/>
          <w:color w:val="auto"/>
          <w:sz w:val="32"/>
          <w:szCs w:val="32"/>
          <w:lang w:val="en-US" w:eastAsia="zh-CN"/>
        </w:rPr>
        <w:t>10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批次。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不同样品来源抽</w:t>
      </w:r>
      <w:r>
        <w:rPr>
          <w:rFonts w:hint="eastAsia" w:eastAsia="方正仿宋_GBK" w:cs="Times New Roman"/>
          <w:sz w:val="32"/>
          <w:szCs w:val="32"/>
          <w:lang w:val="en-US" w:eastAsia="zh-CN"/>
        </w:rPr>
        <w:t>查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结果见表</w:t>
      </w:r>
      <w:r>
        <w:rPr>
          <w:rFonts w:hint="eastAsia" w:eastAsia="方正仿宋_GBK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。</w:t>
      </w:r>
    </w:p>
    <w:p>
      <w:pPr>
        <w:widowControl/>
        <w:shd w:val="clear" w:color="auto" w:fill="FFFFFF"/>
        <w:spacing w:line="576" w:lineRule="exact"/>
        <w:ind w:firstLine="560" w:firstLineChars="200"/>
        <w:jc w:val="center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表</w:t>
      </w:r>
      <w:r>
        <w:rPr>
          <w:rFonts w:hint="eastAsia" w:eastAsia="仿宋" w:cs="Times New Roman"/>
          <w:sz w:val="28"/>
          <w:szCs w:val="28"/>
          <w:lang w:val="en-US" w:eastAsia="zh-CN"/>
        </w:rPr>
        <w:t xml:space="preserve">4 </w:t>
      </w:r>
      <w:r>
        <w:rPr>
          <w:rFonts w:hint="default" w:ascii="Times New Roman" w:hAnsi="Times New Roman" w:eastAsia="仿宋" w:cs="Times New Roman"/>
          <w:sz w:val="28"/>
          <w:szCs w:val="28"/>
        </w:rPr>
        <w:t>不同样品来源抽</w:t>
      </w:r>
      <w:r>
        <w:rPr>
          <w:rFonts w:hint="eastAsia" w:eastAsia="仿宋" w:cs="Times New Roman"/>
          <w:sz w:val="28"/>
          <w:szCs w:val="28"/>
          <w:lang w:eastAsia="zh-CN"/>
        </w:rPr>
        <w:t>查</w:t>
      </w:r>
      <w:r>
        <w:rPr>
          <w:rFonts w:hint="default" w:ascii="Times New Roman" w:hAnsi="Times New Roman" w:eastAsia="仿宋" w:cs="Times New Roman"/>
          <w:sz w:val="28"/>
          <w:szCs w:val="28"/>
        </w:rPr>
        <w:t>结果</w:t>
      </w:r>
    </w:p>
    <w:tbl>
      <w:tblPr>
        <w:tblStyle w:val="5"/>
        <w:tblW w:w="9398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041"/>
        <w:gridCol w:w="2670"/>
        <w:gridCol w:w="2583"/>
        <w:gridCol w:w="210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widowControl/>
              <w:spacing w:line="405" w:lineRule="atLeast"/>
              <w:jc w:val="center"/>
              <w:rPr>
                <w:rFonts w:hint="default" w:ascii="Times New Roman" w:hAnsi="Times New Roman" w:eastAsia="仿宋" w:cs="Times New Roman"/>
                <w:b/>
                <w:bCs w:val="0"/>
                <w:color w:val="333333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bCs w:val="0"/>
                <w:color w:val="333333"/>
                <w:kern w:val="0"/>
                <w:sz w:val="24"/>
              </w:rPr>
              <w:t>产品类别</w:t>
            </w:r>
          </w:p>
        </w:tc>
        <w:tc>
          <w:tcPr>
            <w:tcW w:w="2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widowControl/>
              <w:spacing w:line="405" w:lineRule="atLeast"/>
              <w:jc w:val="center"/>
              <w:rPr>
                <w:rFonts w:hint="default" w:ascii="Times New Roman" w:hAnsi="Times New Roman" w:eastAsia="仿宋" w:cs="Times New Roman"/>
                <w:b/>
                <w:bCs w:val="0"/>
                <w:color w:val="333333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bCs w:val="0"/>
                <w:color w:val="333333"/>
                <w:kern w:val="0"/>
                <w:sz w:val="24"/>
              </w:rPr>
              <w:t>样品来源</w:t>
            </w:r>
          </w:p>
        </w:tc>
        <w:tc>
          <w:tcPr>
            <w:tcW w:w="25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widowControl/>
              <w:spacing w:line="405" w:lineRule="atLeast"/>
              <w:jc w:val="center"/>
              <w:rPr>
                <w:rFonts w:hint="default" w:ascii="Times New Roman" w:hAnsi="Times New Roman" w:eastAsia="仿宋" w:cs="Times New Roman"/>
                <w:b/>
                <w:bCs w:val="0"/>
                <w:color w:val="333333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bCs w:val="0"/>
                <w:color w:val="333333"/>
                <w:kern w:val="0"/>
                <w:sz w:val="24"/>
              </w:rPr>
              <w:t>抽</w:t>
            </w:r>
            <w:r>
              <w:rPr>
                <w:rFonts w:hint="eastAsia" w:eastAsia="仿宋" w:cs="Times New Roman"/>
                <w:b/>
                <w:bCs w:val="0"/>
                <w:color w:val="333333"/>
                <w:kern w:val="0"/>
                <w:sz w:val="24"/>
                <w:lang w:val="en-US" w:eastAsia="zh-CN"/>
              </w:rPr>
              <w:t>查</w:t>
            </w:r>
            <w:r>
              <w:rPr>
                <w:rFonts w:hint="default" w:ascii="Times New Roman" w:hAnsi="Times New Roman" w:eastAsia="仿宋" w:cs="Times New Roman"/>
                <w:b/>
                <w:bCs w:val="0"/>
                <w:color w:val="333333"/>
                <w:kern w:val="0"/>
                <w:sz w:val="24"/>
              </w:rPr>
              <w:t>批次</w:t>
            </w:r>
          </w:p>
        </w:tc>
        <w:tc>
          <w:tcPr>
            <w:tcW w:w="21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widowControl/>
              <w:spacing w:line="405" w:lineRule="atLeast"/>
              <w:jc w:val="center"/>
              <w:rPr>
                <w:rFonts w:hint="default" w:ascii="Times New Roman" w:hAnsi="Times New Roman" w:eastAsia="仿宋" w:cs="Times New Roman"/>
                <w:b/>
                <w:bCs w:val="0"/>
                <w:color w:val="333333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bCs w:val="0"/>
                <w:color w:val="333333"/>
                <w:kern w:val="0"/>
                <w:sz w:val="24"/>
              </w:rPr>
              <w:t>合格批次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2041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widowControl/>
              <w:spacing w:line="405" w:lineRule="atLeast"/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化肥</w:t>
            </w:r>
          </w:p>
        </w:tc>
        <w:tc>
          <w:tcPr>
            <w:tcW w:w="26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widowControl/>
              <w:spacing w:line="405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实体店</w:t>
            </w:r>
          </w:p>
        </w:tc>
        <w:tc>
          <w:tcPr>
            <w:tcW w:w="2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widowControl/>
              <w:spacing w:line="405" w:lineRule="atLeast"/>
              <w:jc w:val="center"/>
              <w:rPr>
                <w:rFonts w:hint="eastAsia" w:ascii="Times New Roman" w:hAnsi="Times New Roman" w:eastAsia="仿宋" w:cs="Times New Roman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eastAsia="仿宋" w:cs="Times New Roman"/>
                <w:color w:val="auto"/>
                <w:kern w:val="0"/>
                <w:sz w:val="24"/>
                <w:lang w:val="en-US" w:eastAsia="zh-CN"/>
              </w:rPr>
              <w:t>7</w:t>
            </w:r>
          </w:p>
        </w:tc>
        <w:tc>
          <w:tcPr>
            <w:tcW w:w="21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widowControl/>
              <w:spacing w:line="405" w:lineRule="atLeast"/>
              <w:jc w:val="center"/>
              <w:rPr>
                <w:rFonts w:hint="eastAsia" w:ascii="Times New Roman" w:hAnsi="Times New Roman" w:eastAsia="仿宋" w:cs="Times New Roman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eastAsia="仿宋" w:cs="Times New Roman"/>
                <w:color w:val="auto"/>
                <w:kern w:val="0"/>
                <w:sz w:val="24"/>
                <w:lang w:val="en-US" w:eastAsia="zh-CN"/>
              </w:rPr>
              <w:t>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  <w:jc w:val="center"/>
        </w:trPr>
        <w:tc>
          <w:tcPr>
            <w:tcW w:w="204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widowControl/>
              <w:spacing w:line="405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  <w:tc>
          <w:tcPr>
            <w:tcW w:w="2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widowControl/>
              <w:spacing w:line="405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" w:cs="Times New Roman"/>
                <w:color w:val="auto"/>
                <w:kern w:val="0"/>
                <w:sz w:val="24"/>
                <w:lang w:val="en-US" w:eastAsia="zh-CN"/>
              </w:rPr>
              <w:t>生产企业</w:t>
            </w:r>
          </w:p>
        </w:tc>
        <w:tc>
          <w:tcPr>
            <w:tcW w:w="25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widowControl/>
              <w:spacing w:line="405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" w:cs="Times New Roman"/>
                <w:color w:val="auto"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21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widowControl/>
              <w:spacing w:line="405" w:lineRule="atLeast"/>
              <w:jc w:val="center"/>
              <w:rPr>
                <w:rFonts w:hint="eastAsia" w:ascii="Times New Roman" w:hAnsi="Times New Roman" w:eastAsia="仿宋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" w:cs="Times New Roman"/>
                <w:color w:val="auto"/>
                <w:kern w:val="0"/>
                <w:sz w:val="24"/>
                <w:lang w:val="en-US" w:eastAsia="zh-CN"/>
              </w:rPr>
              <w:t>3</w:t>
            </w:r>
          </w:p>
        </w:tc>
      </w:tr>
    </w:tbl>
    <w:p>
      <w:pPr>
        <w:widowControl/>
        <w:shd w:val="clear" w:color="auto" w:fill="FFFFFF"/>
        <w:spacing w:line="576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本次监督抽查共抽取</w:t>
      </w:r>
      <w:r>
        <w:rPr>
          <w:rFonts w:hint="eastAsia" w:eastAsia="方正仿宋_GBK" w:cs="Times New Roman"/>
          <w:sz w:val="32"/>
          <w:szCs w:val="32"/>
          <w:lang w:val="en-US" w:eastAsia="zh-CN"/>
        </w:rPr>
        <w:t>我市9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个</w:t>
      </w:r>
      <w:r>
        <w:rPr>
          <w:rFonts w:hint="eastAsia" w:eastAsia="方正仿宋_GBK" w:cs="Times New Roman"/>
          <w:sz w:val="32"/>
          <w:szCs w:val="32"/>
          <w:lang w:val="en-US" w:eastAsia="zh-CN"/>
        </w:rPr>
        <w:t>县（市、区）的10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批次产品。不同抽查地区抽查结果见表</w:t>
      </w:r>
      <w:r>
        <w:rPr>
          <w:rFonts w:hint="eastAsia" w:eastAsia="方正仿宋_GBK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。</w:t>
      </w:r>
    </w:p>
    <w:p>
      <w:pPr>
        <w:widowControl/>
        <w:shd w:val="clear" w:color="auto" w:fill="FFFFFF"/>
        <w:spacing w:line="576" w:lineRule="exact"/>
        <w:ind w:firstLine="560" w:firstLineChars="200"/>
        <w:jc w:val="center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表</w:t>
      </w:r>
      <w:r>
        <w:rPr>
          <w:rFonts w:hint="eastAsia" w:eastAsia="仿宋" w:cs="Times New Roman"/>
          <w:sz w:val="28"/>
          <w:szCs w:val="28"/>
          <w:lang w:val="en-US" w:eastAsia="zh-CN"/>
        </w:rPr>
        <w:t>5</w:t>
      </w:r>
      <w:r>
        <w:rPr>
          <w:rFonts w:hint="default" w:ascii="Times New Roman" w:hAnsi="Times New Roman" w:eastAsia="仿宋" w:cs="Times New Roman"/>
          <w:sz w:val="28"/>
          <w:szCs w:val="28"/>
        </w:rPr>
        <w:t xml:space="preserve"> 不同</w:t>
      </w:r>
      <w:r>
        <w:rPr>
          <w:rFonts w:hint="eastAsia" w:eastAsia="仿宋" w:cs="Times New Roman"/>
          <w:sz w:val="28"/>
          <w:szCs w:val="28"/>
          <w:lang w:eastAsia="zh-CN"/>
        </w:rPr>
        <w:t>抽查地区</w:t>
      </w:r>
      <w:r>
        <w:rPr>
          <w:rFonts w:hint="default" w:ascii="Times New Roman" w:hAnsi="Times New Roman" w:eastAsia="仿宋" w:cs="Times New Roman"/>
          <w:sz w:val="28"/>
          <w:szCs w:val="28"/>
        </w:rPr>
        <w:t>抽查结果</w:t>
      </w:r>
    </w:p>
    <w:tbl>
      <w:tblPr>
        <w:tblStyle w:val="5"/>
        <w:tblW w:w="9373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984"/>
        <w:gridCol w:w="2730"/>
        <w:gridCol w:w="2700"/>
        <w:gridCol w:w="1959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  <w:jc w:val="center"/>
        </w:trPr>
        <w:tc>
          <w:tcPr>
            <w:tcW w:w="19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5" w:lineRule="atLeast"/>
              <w:jc w:val="center"/>
              <w:rPr>
                <w:rFonts w:hint="default" w:ascii="Times New Roman" w:hAnsi="Times New Roman" w:eastAsia="仿宋" w:cs="Times New Roman"/>
                <w:b/>
                <w:bCs w:val="0"/>
                <w:color w:val="333333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bCs w:val="0"/>
                <w:color w:val="333333"/>
                <w:kern w:val="0"/>
                <w:sz w:val="24"/>
              </w:rPr>
              <w:t>产品类别</w:t>
            </w:r>
          </w:p>
        </w:tc>
        <w:tc>
          <w:tcPr>
            <w:tcW w:w="273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5" w:lineRule="atLeast"/>
              <w:jc w:val="center"/>
              <w:rPr>
                <w:rFonts w:hint="default" w:ascii="Times New Roman" w:hAnsi="Times New Roman" w:eastAsia="仿宋" w:cs="Times New Roman"/>
                <w:b/>
                <w:bCs w:val="0"/>
                <w:color w:val="333333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bCs w:val="0"/>
                <w:color w:val="333333"/>
                <w:kern w:val="0"/>
                <w:sz w:val="24"/>
              </w:rPr>
              <w:t>抽查地区</w:t>
            </w:r>
          </w:p>
        </w:tc>
        <w:tc>
          <w:tcPr>
            <w:tcW w:w="270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5" w:lineRule="atLeast"/>
              <w:jc w:val="center"/>
              <w:rPr>
                <w:rFonts w:hint="default" w:ascii="Times New Roman" w:hAnsi="Times New Roman" w:eastAsia="仿宋" w:cs="Times New Roman"/>
                <w:b/>
                <w:bCs w:val="0"/>
                <w:color w:val="333333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bCs w:val="0"/>
                <w:color w:val="333333"/>
                <w:kern w:val="0"/>
                <w:sz w:val="24"/>
              </w:rPr>
              <w:t>抽</w:t>
            </w:r>
            <w:r>
              <w:rPr>
                <w:rFonts w:hint="eastAsia" w:eastAsia="仿宋" w:cs="Times New Roman"/>
                <w:b/>
                <w:bCs w:val="0"/>
                <w:color w:val="333333"/>
                <w:kern w:val="0"/>
                <w:sz w:val="24"/>
                <w:lang w:val="en-US" w:eastAsia="zh-CN"/>
              </w:rPr>
              <w:t>查</w:t>
            </w:r>
            <w:r>
              <w:rPr>
                <w:rFonts w:hint="default" w:ascii="Times New Roman" w:hAnsi="Times New Roman" w:eastAsia="仿宋" w:cs="Times New Roman"/>
                <w:b/>
                <w:bCs w:val="0"/>
                <w:color w:val="333333"/>
                <w:kern w:val="0"/>
                <w:sz w:val="24"/>
              </w:rPr>
              <w:t>批次</w:t>
            </w:r>
          </w:p>
        </w:tc>
        <w:tc>
          <w:tcPr>
            <w:tcW w:w="195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5" w:lineRule="atLeast"/>
              <w:jc w:val="center"/>
              <w:rPr>
                <w:rFonts w:hint="default" w:ascii="Times New Roman" w:hAnsi="Times New Roman" w:eastAsia="仿宋" w:cs="Times New Roman"/>
                <w:b/>
                <w:bCs w:val="0"/>
                <w:color w:val="333333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bCs w:val="0"/>
                <w:color w:val="333333"/>
                <w:kern w:val="0"/>
                <w:sz w:val="24"/>
              </w:rPr>
              <w:t>合格批次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jc w:val="center"/>
        </w:trPr>
        <w:tc>
          <w:tcPr>
            <w:tcW w:w="1984" w:type="dxa"/>
            <w:vMerge w:val="restart"/>
            <w:tcBorders>
              <w:top w:val="nil"/>
              <w:left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5" w:lineRule="atLeast"/>
              <w:jc w:val="center"/>
              <w:rPr>
                <w:rFonts w:hint="default" w:ascii="Times New Roman" w:hAnsi="Times New Roman" w:eastAsia="仿宋" w:cs="Times New Roman"/>
                <w:bCs/>
                <w:color w:val="333333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333333"/>
                <w:kern w:val="0"/>
                <w:sz w:val="24"/>
              </w:rPr>
              <w:t>化肥</w:t>
            </w:r>
          </w:p>
        </w:tc>
        <w:tc>
          <w:tcPr>
            <w:tcW w:w="27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5" w:lineRule="atLeast"/>
              <w:jc w:val="center"/>
              <w:rPr>
                <w:rFonts w:hint="default" w:ascii="Times New Roman" w:hAnsi="Times New Roman" w:eastAsia="仿宋" w:cs="Times New Roman"/>
                <w:bCs/>
                <w:color w:val="333333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333333"/>
                <w:kern w:val="0"/>
                <w:sz w:val="24"/>
              </w:rPr>
              <w:t>大丰区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5" w:lineRule="atLeast"/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4"/>
              </w:rPr>
              <w:t>1</w:t>
            </w:r>
          </w:p>
        </w:tc>
        <w:tc>
          <w:tcPr>
            <w:tcW w:w="19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5" w:lineRule="atLeast"/>
              <w:jc w:val="center"/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eastAsia="仿宋" w:cs="Times New Roman"/>
                <w:bCs/>
                <w:color w:val="auto"/>
                <w:kern w:val="0"/>
                <w:sz w:val="24"/>
                <w:lang w:eastAsia="zh-CN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jc w:val="center"/>
        </w:trPr>
        <w:tc>
          <w:tcPr>
            <w:tcW w:w="1984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5" w:lineRule="atLeast"/>
              <w:jc w:val="center"/>
              <w:rPr>
                <w:rFonts w:hint="default" w:ascii="Times New Roman" w:hAnsi="Times New Roman" w:eastAsia="仿宋" w:cs="Times New Roman"/>
                <w:bCs/>
                <w:color w:val="333333"/>
                <w:kern w:val="0"/>
                <w:sz w:val="24"/>
              </w:rPr>
            </w:pPr>
          </w:p>
        </w:tc>
        <w:tc>
          <w:tcPr>
            <w:tcW w:w="27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5" w:lineRule="atLeast"/>
              <w:jc w:val="center"/>
              <w:rPr>
                <w:rFonts w:hint="default" w:ascii="Times New Roman" w:hAnsi="Times New Roman" w:eastAsia="仿宋" w:cs="Times New Roman"/>
                <w:bCs/>
                <w:color w:val="333333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333333"/>
                <w:kern w:val="0"/>
                <w:sz w:val="24"/>
              </w:rPr>
              <w:t>建湖县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5" w:lineRule="atLeast"/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4"/>
              </w:rPr>
              <w:t>1</w:t>
            </w:r>
          </w:p>
        </w:tc>
        <w:tc>
          <w:tcPr>
            <w:tcW w:w="19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5" w:lineRule="atLeast"/>
              <w:jc w:val="center"/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eastAsia="仿宋" w:cs="Times New Roman"/>
                <w:bCs/>
                <w:color w:val="auto"/>
                <w:kern w:val="0"/>
                <w:sz w:val="24"/>
                <w:lang w:val="en-US" w:eastAsia="zh-CN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jc w:val="center"/>
        </w:trPr>
        <w:tc>
          <w:tcPr>
            <w:tcW w:w="1984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5" w:lineRule="atLeast"/>
              <w:jc w:val="center"/>
              <w:rPr>
                <w:rFonts w:hint="default" w:ascii="Times New Roman" w:hAnsi="Times New Roman" w:eastAsia="仿宋" w:cs="Times New Roman"/>
                <w:bCs/>
                <w:color w:val="333333"/>
                <w:kern w:val="0"/>
                <w:sz w:val="24"/>
              </w:rPr>
            </w:pPr>
          </w:p>
        </w:tc>
        <w:tc>
          <w:tcPr>
            <w:tcW w:w="27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5" w:lineRule="atLeast"/>
              <w:jc w:val="center"/>
              <w:rPr>
                <w:rFonts w:hint="default" w:ascii="Times New Roman" w:hAnsi="Times New Roman" w:eastAsia="仿宋" w:cs="Times New Roman"/>
                <w:bCs/>
                <w:color w:val="333333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333333"/>
                <w:kern w:val="0"/>
                <w:sz w:val="24"/>
              </w:rPr>
              <w:t>盐都区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5" w:lineRule="atLeast"/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4"/>
              </w:rPr>
              <w:t>1</w:t>
            </w:r>
          </w:p>
        </w:tc>
        <w:tc>
          <w:tcPr>
            <w:tcW w:w="19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5" w:lineRule="atLeast"/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4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984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5" w:lineRule="atLeast"/>
              <w:jc w:val="center"/>
              <w:rPr>
                <w:rFonts w:hint="default" w:ascii="Times New Roman" w:hAnsi="Times New Roman" w:eastAsia="仿宋" w:cs="Times New Roman"/>
                <w:bCs/>
                <w:color w:val="333333"/>
                <w:kern w:val="0"/>
                <w:sz w:val="24"/>
              </w:rPr>
            </w:pPr>
          </w:p>
        </w:tc>
        <w:tc>
          <w:tcPr>
            <w:tcW w:w="27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5" w:lineRule="atLeast"/>
              <w:jc w:val="center"/>
              <w:rPr>
                <w:rFonts w:hint="default" w:ascii="Times New Roman" w:hAnsi="Times New Roman" w:eastAsia="仿宋" w:cs="Times New Roman"/>
                <w:bCs/>
                <w:color w:val="333333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" w:cs="Times New Roman"/>
                <w:bCs/>
                <w:color w:val="333333"/>
                <w:kern w:val="0"/>
                <w:sz w:val="24"/>
                <w:lang w:val="en-US" w:eastAsia="zh-CN"/>
              </w:rPr>
              <w:t>亭湖区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5" w:lineRule="atLeast"/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4"/>
              </w:rPr>
              <w:t>1</w:t>
            </w:r>
          </w:p>
        </w:tc>
        <w:tc>
          <w:tcPr>
            <w:tcW w:w="19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5" w:lineRule="atLeast"/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4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" w:hRule="atLeast"/>
          <w:jc w:val="center"/>
        </w:trPr>
        <w:tc>
          <w:tcPr>
            <w:tcW w:w="1984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5" w:lineRule="atLeast"/>
              <w:jc w:val="center"/>
              <w:rPr>
                <w:rFonts w:hint="default" w:ascii="Times New Roman" w:hAnsi="Times New Roman" w:eastAsia="仿宋" w:cs="Times New Roman"/>
                <w:bCs/>
                <w:color w:val="333333"/>
                <w:kern w:val="0"/>
                <w:sz w:val="24"/>
              </w:rPr>
            </w:pPr>
          </w:p>
        </w:tc>
        <w:tc>
          <w:tcPr>
            <w:tcW w:w="2730" w:type="dxa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5" w:lineRule="atLeast"/>
              <w:jc w:val="center"/>
              <w:rPr>
                <w:rFonts w:hint="default" w:ascii="Times New Roman" w:hAnsi="Times New Roman" w:eastAsia="仿宋" w:cs="Times New Roman"/>
                <w:bCs/>
                <w:color w:val="333333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333333"/>
                <w:kern w:val="0"/>
                <w:sz w:val="24"/>
              </w:rPr>
              <w:t>射阳县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5" w:lineRule="atLeast"/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4"/>
              </w:rPr>
              <w:t>1</w:t>
            </w:r>
          </w:p>
        </w:tc>
        <w:tc>
          <w:tcPr>
            <w:tcW w:w="1959" w:type="dxa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5" w:lineRule="atLeast"/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4"/>
              </w:rPr>
            </w:pPr>
            <w:r>
              <w:rPr>
                <w:rFonts w:hint="eastAsia" w:eastAsia="仿宋" w:cs="Times New Roman"/>
                <w:bCs/>
                <w:color w:val="auto"/>
                <w:kern w:val="0"/>
                <w:sz w:val="24"/>
                <w:lang w:eastAsia="zh-CN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jc w:val="center"/>
        </w:trPr>
        <w:tc>
          <w:tcPr>
            <w:tcW w:w="1984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5" w:lineRule="atLeast"/>
              <w:jc w:val="center"/>
              <w:rPr>
                <w:rFonts w:hint="default" w:ascii="Times New Roman" w:hAnsi="Times New Roman" w:eastAsia="仿宋" w:cs="Times New Roman"/>
                <w:bCs/>
                <w:color w:val="333333"/>
                <w:kern w:val="0"/>
                <w:sz w:val="24"/>
              </w:rPr>
            </w:pPr>
          </w:p>
        </w:tc>
        <w:tc>
          <w:tcPr>
            <w:tcW w:w="27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5" w:lineRule="atLeast"/>
              <w:jc w:val="center"/>
              <w:rPr>
                <w:rFonts w:hint="eastAsia" w:ascii="Times New Roman" w:hAnsi="Times New Roman" w:eastAsia="仿宋" w:cs="Times New Roman"/>
                <w:bCs/>
                <w:color w:val="333333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" w:cs="Times New Roman"/>
                <w:bCs/>
                <w:color w:val="333333"/>
                <w:kern w:val="0"/>
                <w:sz w:val="24"/>
                <w:lang w:val="en-US" w:eastAsia="zh-CN"/>
              </w:rPr>
              <w:t>东台市</w:t>
            </w:r>
          </w:p>
        </w:tc>
        <w:tc>
          <w:tcPr>
            <w:tcW w:w="2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5" w:lineRule="atLeast"/>
              <w:jc w:val="center"/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" w:cs="Times New Roman"/>
                <w:bCs/>
                <w:color w:val="auto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19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5" w:lineRule="atLeast"/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4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jc w:val="center"/>
        </w:trPr>
        <w:tc>
          <w:tcPr>
            <w:tcW w:w="1984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5" w:lineRule="atLeast"/>
              <w:jc w:val="center"/>
              <w:rPr>
                <w:rFonts w:hint="default" w:ascii="Times New Roman" w:hAnsi="Times New Roman" w:eastAsia="仿宋" w:cs="Times New Roman"/>
                <w:bCs/>
                <w:color w:val="333333"/>
                <w:kern w:val="0"/>
                <w:sz w:val="24"/>
              </w:rPr>
            </w:pPr>
          </w:p>
        </w:tc>
        <w:tc>
          <w:tcPr>
            <w:tcW w:w="27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5" w:lineRule="atLeast"/>
              <w:jc w:val="center"/>
              <w:rPr>
                <w:rFonts w:hint="eastAsia" w:ascii="Times New Roman" w:hAnsi="Times New Roman" w:eastAsia="仿宋" w:cs="Times New Roman"/>
                <w:bCs/>
                <w:color w:val="333333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" w:cs="Times New Roman"/>
                <w:bCs/>
                <w:color w:val="333333"/>
                <w:kern w:val="0"/>
                <w:sz w:val="24"/>
                <w:lang w:val="en-US" w:eastAsia="zh-CN"/>
              </w:rPr>
              <w:t>响水县</w:t>
            </w:r>
          </w:p>
        </w:tc>
        <w:tc>
          <w:tcPr>
            <w:tcW w:w="2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5" w:lineRule="atLeast"/>
              <w:jc w:val="center"/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" w:cs="Times New Roman"/>
                <w:bCs/>
                <w:color w:val="auto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19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5" w:lineRule="atLeast"/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4"/>
              </w:rPr>
            </w:pPr>
            <w:r>
              <w:rPr>
                <w:rFonts w:hint="eastAsia" w:eastAsia="仿宋" w:cs="Times New Roman"/>
                <w:bCs/>
                <w:color w:val="auto"/>
                <w:kern w:val="0"/>
                <w:sz w:val="24"/>
                <w:lang w:eastAsia="zh-CN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984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5" w:lineRule="atLeast"/>
              <w:jc w:val="center"/>
              <w:rPr>
                <w:rFonts w:hint="default" w:ascii="Times New Roman" w:hAnsi="Times New Roman" w:eastAsia="仿宋" w:cs="Times New Roman"/>
                <w:bCs/>
                <w:color w:val="333333"/>
                <w:kern w:val="0"/>
                <w:sz w:val="24"/>
              </w:rPr>
            </w:pPr>
          </w:p>
        </w:tc>
        <w:tc>
          <w:tcPr>
            <w:tcW w:w="27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5" w:lineRule="atLeast"/>
              <w:jc w:val="center"/>
              <w:rPr>
                <w:rFonts w:hint="default" w:ascii="Times New Roman" w:hAnsi="Times New Roman" w:eastAsia="仿宋" w:cs="Times New Roman"/>
                <w:bCs/>
                <w:color w:val="333333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" w:cs="Times New Roman"/>
                <w:bCs/>
                <w:color w:val="333333"/>
                <w:kern w:val="0"/>
                <w:sz w:val="24"/>
                <w:lang w:val="en-US" w:eastAsia="zh-CN"/>
              </w:rPr>
              <w:t>滨海县</w:t>
            </w:r>
          </w:p>
        </w:tc>
        <w:tc>
          <w:tcPr>
            <w:tcW w:w="2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5" w:lineRule="atLeast"/>
              <w:jc w:val="center"/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" w:cs="Times New Roman"/>
                <w:bCs/>
                <w:color w:val="auto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19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5" w:lineRule="atLeast"/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4"/>
                <w:lang w:val="en-US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4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" w:hRule="atLeast"/>
          <w:jc w:val="center"/>
        </w:trPr>
        <w:tc>
          <w:tcPr>
            <w:tcW w:w="1984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5" w:lineRule="atLeast"/>
              <w:jc w:val="center"/>
              <w:rPr>
                <w:rFonts w:hint="default" w:ascii="Times New Roman" w:hAnsi="Times New Roman" w:eastAsia="仿宋" w:cs="Times New Roman"/>
                <w:bCs/>
                <w:color w:val="333333"/>
                <w:kern w:val="0"/>
                <w:sz w:val="24"/>
              </w:rPr>
            </w:pPr>
          </w:p>
        </w:tc>
        <w:tc>
          <w:tcPr>
            <w:tcW w:w="2730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5" w:lineRule="atLeast"/>
              <w:jc w:val="center"/>
              <w:rPr>
                <w:rFonts w:hint="default" w:ascii="Times New Roman" w:hAnsi="Times New Roman" w:eastAsia="仿宋" w:cs="Times New Roman"/>
                <w:bCs/>
                <w:color w:val="333333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" w:cs="Times New Roman"/>
                <w:bCs/>
                <w:color w:val="333333"/>
                <w:kern w:val="0"/>
                <w:sz w:val="24"/>
                <w:lang w:val="en-US" w:eastAsia="zh-CN"/>
              </w:rPr>
              <w:t>阜宁县</w:t>
            </w:r>
          </w:p>
        </w:tc>
        <w:tc>
          <w:tcPr>
            <w:tcW w:w="2700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5" w:lineRule="atLeast"/>
              <w:jc w:val="center"/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" w:cs="Times New Roman"/>
                <w:bCs/>
                <w:color w:val="auto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1959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5" w:lineRule="atLeast"/>
              <w:jc w:val="center"/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" w:cs="Times New Roman"/>
                <w:bCs/>
                <w:color w:val="auto"/>
                <w:kern w:val="0"/>
                <w:sz w:val="24"/>
                <w:lang w:val="en-US" w:eastAsia="zh-CN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  <w:jc w:val="center"/>
        </w:trPr>
        <w:tc>
          <w:tcPr>
            <w:tcW w:w="4714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05" w:lineRule="atLeast"/>
              <w:jc w:val="center"/>
              <w:rPr>
                <w:rFonts w:hint="default" w:ascii="Times New Roman" w:hAnsi="Times New Roman" w:eastAsia="仿宋" w:cs="Times New Roman"/>
                <w:bCs/>
                <w:color w:val="333333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333333"/>
                <w:kern w:val="0"/>
                <w:sz w:val="24"/>
              </w:rPr>
              <w:t xml:space="preserve">合 </w:t>
            </w:r>
            <w:r>
              <w:rPr>
                <w:rFonts w:hint="eastAsia" w:ascii="Times New Roman" w:hAnsi="Times New Roman" w:eastAsia="仿宋" w:cs="Times New Roman"/>
                <w:bCs/>
                <w:color w:val="333333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bCs/>
                <w:color w:val="333333"/>
                <w:kern w:val="0"/>
                <w:sz w:val="24"/>
              </w:rPr>
              <w:t>计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5" w:lineRule="atLeast"/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" w:cs="Times New Roman"/>
                <w:bCs/>
                <w:color w:val="auto"/>
                <w:kern w:val="0"/>
                <w:sz w:val="24"/>
                <w:lang w:val="en-US" w:eastAsia="zh-CN"/>
              </w:rPr>
              <w:t>10</w:t>
            </w:r>
          </w:p>
        </w:tc>
        <w:tc>
          <w:tcPr>
            <w:tcW w:w="19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5" w:lineRule="atLeast"/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" w:cs="Times New Roman"/>
                <w:bCs/>
                <w:color w:val="auto"/>
                <w:kern w:val="0"/>
                <w:sz w:val="24"/>
                <w:lang w:val="en-US" w:eastAsia="zh-CN"/>
              </w:rPr>
              <w:t>10</w:t>
            </w:r>
          </w:p>
        </w:tc>
      </w:tr>
    </w:tbl>
    <w:p>
      <w:pPr>
        <w:snapToGrid w:val="0"/>
        <w:spacing w:line="540" w:lineRule="exact"/>
        <w:ind w:firstLine="640" w:firstLineChars="200"/>
        <w:rPr>
          <w:rFonts w:hint="default" w:ascii="Times New Roman" w:hAnsi="Times New Roman" w:eastAsia="方正楷体_GBK" w:cs="Times New Roman"/>
          <w:bCs/>
          <w:color w:val="00000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楷体_GBK" w:cs="Times New Roman"/>
          <w:bCs/>
          <w:color w:val="000000"/>
          <w:kern w:val="0"/>
          <w:sz w:val="32"/>
          <w:szCs w:val="32"/>
          <w:lang w:val="en-US" w:eastAsia="zh-CN"/>
        </w:rPr>
        <w:t>（二）检验检测项目分析</w:t>
      </w:r>
    </w:p>
    <w:p>
      <w:pPr>
        <w:spacing w:line="576" w:lineRule="exact"/>
        <w:ind w:firstLine="687" w:firstLineChars="214"/>
        <w:rPr>
          <w:rFonts w:hint="default" w:ascii="Times New Roman" w:hAnsi="Times New Roman" w:eastAsia="方正仿宋_GBK" w:cs="Times New Roman"/>
          <w:b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/>
          <w:sz w:val="32"/>
          <w:szCs w:val="32"/>
          <w:lang w:val="en-US" w:eastAsia="zh-CN"/>
        </w:rPr>
        <w:t>1</w:t>
      </w:r>
      <w:r>
        <w:rPr>
          <w:rFonts w:hint="eastAsia" w:eastAsia="方正仿宋_GBK" w:cs="Times New Roman"/>
          <w:b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方正仿宋_GBK" w:cs="Times New Roman"/>
          <w:b/>
          <w:sz w:val="32"/>
          <w:szCs w:val="32"/>
          <w:lang w:val="en-US" w:eastAsia="zh-CN"/>
        </w:rPr>
        <w:t>检验检测结果</w:t>
      </w:r>
    </w:p>
    <w:p>
      <w:pPr>
        <w:widowControl/>
        <w:shd w:val="clear" w:color="auto" w:fill="FFFFFF"/>
        <w:spacing w:line="576" w:lineRule="exact"/>
        <w:ind w:firstLine="640" w:firstLineChars="200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本次监督抽查共抽查化肥产品</w:t>
      </w:r>
      <w:r>
        <w:rPr>
          <w:rFonts w:hint="eastAsia" w:eastAsia="方正仿宋_GBK" w:cs="Times New Roman"/>
          <w:sz w:val="32"/>
          <w:szCs w:val="32"/>
          <w:lang w:val="en-US" w:eastAsia="zh-CN"/>
        </w:rPr>
        <w:t>10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批次，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合格</w:t>
      </w:r>
      <w:r>
        <w:rPr>
          <w:rFonts w:hint="eastAsia" w:eastAsia="方正仿宋_GBK" w:cs="Times New Roman"/>
          <w:color w:val="auto"/>
          <w:sz w:val="32"/>
          <w:szCs w:val="32"/>
          <w:lang w:val="en-US" w:eastAsia="zh-CN"/>
        </w:rPr>
        <w:t>10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批次。具体检验检测项目分析见表</w:t>
      </w:r>
      <w:r>
        <w:rPr>
          <w:rFonts w:hint="eastAsia" w:eastAsia="方正仿宋_GBK" w:cs="Times New Roman"/>
          <w:color w:val="auto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、</w:t>
      </w:r>
      <w:r>
        <w:rPr>
          <w:rFonts w:hint="eastAsia" w:eastAsia="方正仿宋_GBK" w:cs="Times New Roman"/>
          <w:color w:val="auto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。</w:t>
      </w:r>
    </w:p>
    <w:p>
      <w:pPr>
        <w:pStyle w:val="2"/>
        <w:rPr>
          <w:rFonts w:hint="default"/>
          <w:lang w:val="en-US" w:eastAsia="zh-CN"/>
        </w:rPr>
      </w:pPr>
    </w:p>
    <w:p>
      <w:pPr>
        <w:widowControl/>
        <w:shd w:val="clear" w:color="auto" w:fill="FFFFFF"/>
        <w:spacing w:line="480" w:lineRule="atLeast"/>
        <w:ind w:firstLine="560" w:firstLineChars="200"/>
        <w:jc w:val="center"/>
        <w:rPr>
          <w:rFonts w:hint="default" w:ascii="Times New Roman" w:hAnsi="Times New Roman" w:eastAsia="仿宋" w:cs="Times New Roman"/>
          <w:bCs/>
          <w:color w:val="333333"/>
          <w:kern w:val="0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表</w:t>
      </w:r>
      <w:r>
        <w:rPr>
          <w:rFonts w:hint="eastAsia" w:eastAsia="仿宋" w:cs="Times New Roman"/>
          <w:sz w:val="28"/>
          <w:szCs w:val="28"/>
          <w:lang w:val="en-US" w:eastAsia="zh-CN"/>
        </w:rPr>
        <w:t>6</w:t>
      </w:r>
      <w:r>
        <w:rPr>
          <w:rFonts w:hint="default" w:ascii="Times New Roman" w:hAnsi="Times New Roman" w:eastAsia="仿宋" w:cs="Times New Roman"/>
          <w:sz w:val="28"/>
          <w:szCs w:val="28"/>
        </w:rPr>
        <w:t xml:space="preserve"> </w:t>
      </w:r>
      <w:r>
        <w:rPr>
          <w:rFonts w:hint="eastAsia" w:eastAsia="仿宋" w:cs="Times New Roman"/>
          <w:sz w:val="28"/>
          <w:szCs w:val="28"/>
          <w:lang w:val="en-US" w:eastAsia="zh-CN"/>
        </w:rPr>
        <w:t>复合肥料产品检验项目情况表</w:t>
      </w:r>
    </w:p>
    <w:tbl>
      <w:tblPr>
        <w:tblStyle w:val="5"/>
        <w:tblW w:w="951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88"/>
        <w:gridCol w:w="2522"/>
        <w:gridCol w:w="2070"/>
        <w:gridCol w:w="1881"/>
        <w:gridCol w:w="235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688" w:type="dxa"/>
            <w:noWrap w:val="0"/>
            <w:vAlign w:val="center"/>
          </w:tcPr>
          <w:p>
            <w:pPr>
              <w:widowControl/>
              <w:spacing w:line="405" w:lineRule="atLeast"/>
              <w:jc w:val="center"/>
              <w:rPr>
                <w:rFonts w:hint="default" w:ascii="Times New Roman" w:hAnsi="Times New Roman" w:eastAsia="仿宋" w:cs="Times New Roman"/>
                <w:b/>
                <w:bCs w:val="0"/>
                <w:color w:val="333333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bCs w:val="0"/>
                <w:color w:val="333333"/>
                <w:kern w:val="0"/>
                <w:sz w:val="24"/>
              </w:rPr>
              <w:t>序号</w:t>
            </w:r>
          </w:p>
        </w:tc>
        <w:tc>
          <w:tcPr>
            <w:tcW w:w="2522" w:type="dxa"/>
            <w:noWrap w:val="0"/>
            <w:vAlign w:val="center"/>
          </w:tcPr>
          <w:p>
            <w:pPr>
              <w:widowControl/>
              <w:spacing w:line="405" w:lineRule="atLeast"/>
              <w:jc w:val="center"/>
              <w:rPr>
                <w:rFonts w:hint="default" w:ascii="Times New Roman" w:hAnsi="Times New Roman" w:eastAsia="仿宋" w:cs="Times New Roman"/>
                <w:b/>
                <w:bCs w:val="0"/>
                <w:color w:val="333333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bCs w:val="0"/>
                <w:color w:val="333333"/>
                <w:kern w:val="0"/>
                <w:sz w:val="24"/>
              </w:rPr>
              <w:t>检验项目名称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pStyle w:val="3"/>
              <w:widowControl/>
              <w:spacing w:line="405" w:lineRule="atLeast"/>
              <w:jc w:val="center"/>
              <w:rPr>
                <w:rFonts w:hint="default" w:ascii="Times New Roman" w:hAnsi="Times New Roman" w:eastAsia="仿宋" w:cs="Times New Roman"/>
                <w:b/>
                <w:bCs w:val="0"/>
                <w:color w:val="333333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bCs w:val="0"/>
                <w:color w:val="333333"/>
                <w:sz w:val="24"/>
                <w:szCs w:val="24"/>
              </w:rPr>
              <w:t>检验批次数</w:t>
            </w:r>
          </w:p>
        </w:tc>
        <w:tc>
          <w:tcPr>
            <w:tcW w:w="1881" w:type="dxa"/>
            <w:noWrap w:val="0"/>
            <w:vAlign w:val="center"/>
          </w:tcPr>
          <w:p>
            <w:pPr>
              <w:widowControl/>
              <w:spacing w:line="405" w:lineRule="atLeast"/>
              <w:jc w:val="center"/>
              <w:rPr>
                <w:rFonts w:hint="default" w:ascii="Times New Roman" w:hAnsi="Times New Roman" w:eastAsia="仿宋" w:cs="Times New Roman"/>
                <w:b/>
                <w:bCs w:val="0"/>
                <w:color w:val="333333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bCs w:val="0"/>
                <w:color w:val="333333"/>
                <w:kern w:val="0"/>
                <w:sz w:val="24"/>
              </w:rPr>
              <w:t>合格</w:t>
            </w:r>
            <w:r>
              <w:rPr>
                <w:rFonts w:hint="eastAsia" w:ascii="Times New Roman" w:hAnsi="Times New Roman" w:eastAsia="仿宋" w:cs="Times New Roman"/>
                <w:b/>
                <w:bCs w:val="0"/>
                <w:color w:val="333333"/>
                <w:kern w:val="0"/>
                <w:sz w:val="24"/>
                <w:lang w:eastAsia="zh-CN"/>
              </w:rPr>
              <w:t>批次</w:t>
            </w:r>
            <w:r>
              <w:rPr>
                <w:rFonts w:hint="default" w:ascii="Times New Roman" w:hAnsi="Times New Roman" w:eastAsia="仿宋" w:cs="Times New Roman"/>
                <w:b/>
                <w:bCs w:val="0"/>
                <w:color w:val="333333"/>
                <w:kern w:val="0"/>
                <w:sz w:val="24"/>
              </w:rPr>
              <w:t>数</w:t>
            </w:r>
          </w:p>
        </w:tc>
        <w:tc>
          <w:tcPr>
            <w:tcW w:w="2355" w:type="dxa"/>
            <w:noWrap w:val="0"/>
            <w:vAlign w:val="top"/>
          </w:tcPr>
          <w:p>
            <w:pPr>
              <w:widowControl/>
              <w:spacing w:line="405" w:lineRule="atLeast"/>
              <w:jc w:val="center"/>
              <w:rPr>
                <w:rFonts w:hint="default" w:ascii="Times New Roman" w:hAnsi="Times New Roman" w:eastAsia="仿宋" w:cs="Times New Roman"/>
                <w:b/>
                <w:bCs w:val="0"/>
                <w:color w:val="333333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bCs w:val="0"/>
                <w:color w:val="333333"/>
                <w:kern w:val="0"/>
                <w:sz w:val="24"/>
              </w:rPr>
              <w:t>判定依据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68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" w:cs="Times New Roman"/>
                <w:bCs/>
                <w:color w:val="333333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</w:rPr>
              <w:t>1</w:t>
            </w:r>
          </w:p>
        </w:tc>
        <w:tc>
          <w:tcPr>
            <w:tcW w:w="2522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>总氮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eastAsia="仿宋" w:cs="Times New Roman"/>
                <w:color w:val="auto"/>
                <w:kern w:val="0"/>
                <w:sz w:val="24"/>
                <w:lang w:val="en-US" w:eastAsia="zh-CN"/>
              </w:rPr>
              <w:t>9</w:t>
            </w:r>
          </w:p>
        </w:tc>
        <w:tc>
          <w:tcPr>
            <w:tcW w:w="188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val="en-US"/>
              </w:rPr>
            </w:pPr>
            <w:r>
              <w:rPr>
                <w:rFonts w:hint="eastAsia" w:eastAsia="仿宋" w:cs="Times New Roman"/>
                <w:color w:val="auto"/>
                <w:kern w:val="0"/>
                <w:sz w:val="24"/>
                <w:lang w:val="en-US" w:eastAsia="zh-CN"/>
              </w:rPr>
              <w:t>9</w:t>
            </w:r>
          </w:p>
        </w:tc>
        <w:tc>
          <w:tcPr>
            <w:tcW w:w="2355" w:type="dxa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</w:rPr>
              <w:t>GB/T 15063-2020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68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" w:cs="Times New Roman"/>
                <w:bCs/>
                <w:color w:val="333333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</w:rPr>
              <w:t>2</w:t>
            </w:r>
          </w:p>
        </w:tc>
        <w:tc>
          <w:tcPr>
            <w:tcW w:w="2522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>有效磷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eastAsia" w:eastAsia="仿宋" w:cs="Times New Roman"/>
                <w:color w:val="auto"/>
                <w:kern w:val="0"/>
                <w:sz w:val="24"/>
                <w:lang w:val="en-US" w:eastAsia="zh-CN"/>
              </w:rPr>
              <w:t>9</w:t>
            </w:r>
          </w:p>
        </w:tc>
        <w:tc>
          <w:tcPr>
            <w:tcW w:w="188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val="en-US"/>
              </w:rPr>
            </w:pPr>
            <w:r>
              <w:rPr>
                <w:rFonts w:hint="eastAsia" w:eastAsia="仿宋" w:cs="Times New Roman"/>
                <w:color w:val="auto"/>
                <w:kern w:val="0"/>
                <w:sz w:val="24"/>
                <w:lang w:val="en-US" w:eastAsia="zh-CN"/>
              </w:rPr>
              <w:t>9</w:t>
            </w:r>
          </w:p>
        </w:tc>
        <w:tc>
          <w:tcPr>
            <w:tcW w:w="2355" w:type="dxa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</w:rPr>
              <w:t>GB/T 15063-2020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68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" w:cs="Times New Roman"/>
                <w:bCs/>
                <w:color w:val="333333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</w:rPr>
              <w:t>3</w:t>
            </w:r>
          </w:p>
        </w:tc>
        <w:tc>
          <w:tcPr>
            <w:tcW w:w="2522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>钾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eastAsia" w:eastAsia="仿宋" w:cs="Times New Roman"/>
                <w:color w:val="auto"/>
                <w:kern w:val="0"/>
                <w:sz w:val="24"/>
                <w:lang w:val="en-US" w:eastAsia="zh-CN"/>
              </w:rPr>
              <w:t>9</w:t>
            </w:r>
          </w:p>
        </w:tc>
        <w:tc>
          <w:tcPr>
            <w:tcW w:w="188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val="en-US"/>
              </w:rPr>
            </w:pPr>
            <w:r>
              <w:rPr>
                <w:rFonts w:hint="eastAsia" w:eastAsia="仿宋" w:cs="Times New Roman"/>
                <w:color w:val="auto"/>
                <w:kern w:val="0"/>
                <w:sz w:val="24"/>
                <w:lang w:val="en-US" w:eastAsia="zh-CN"/>
              </w:rPr>
              <w:t>9</w:t>
            </w:r>
          </w:p>
        </w:tc>
        <w:tc>
          <w:tcPr>
            <w:tcW w:w="2355" w:type="dxa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</w:rPr>
              <w:t>GB/T 15063-2020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68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" w:cs="Times New Roman"/>
                <w:bCs/>
                <w:color w:val="333333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</w:rPr>
              <w:t>4</w:t>
            </w:r>
          </w:p>
        </w:tc>
        <w:tc>
          <w:tcPr>
            <w:tcW w:w="2522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>总养分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eastAsia" w:eastAsia="仿宋" w:cs="Times New Roman"/>
                <w:color w:val="auto"/>
                <w:kern w:val="0"/>
                <w:sz w:val="24"/>
                <w:lang w:val="en-US" w:eastAsia="zh-CN"/>
              </w:rPr>
              <w:t>9</w:t>
            </w:r>
          </w:p>
        </w:tc>
        <w:tc>
          <w:tcPr>
            <w:tcW w:w="188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val="en-US"/>
              </w:rPr>
            </w:pPr>
            <w:r>
              <w:rPr>
                <w:rFonts w:hint="eastAsia" w:eastAsia="仿宋" w:cs="Times New Roman"/>
                <w:color w:val="auto"/>
                <w:kern w:val="0"/>
                <w:sz w:val="24"/>
                <w:lang w:val="en-US" w:eastAsia="zh-CN"/>
              </w:rPr>
              <w:t>9</w:t>
            </w:r>
          </w:p>
        </w:tc>
        <w:tc>
          <w:tcPr>
            <w:tcW w:w="2355" w:type="dxa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</w:rPr>
              <w:t>GB/T 15063-2020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  <w:jc w:val="center"/>
        </w:trPr>
        <w:tc>
          <w:tcPr>
            <w:tcW w:w="68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" w:cs="Times New Roman"/>
                <w:bCs/>
                <w:color w:val="333333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</w:rPr>
              <w:t>5</w:t>
            </w:r>
          </w:p>
        </w:tc>
        <w:tc>
          <w:tcPr>
            <w:tcW w:w="2522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>氯离子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eastAsia" w:eastAsia="仿宋" w:cs="Times New Roman"/>
                <w:color w:val="auto"/>
                <w:kern w:val="0"/>
                <w:sz w:val="24"/>
                <w:lang w:val="en-US" w:eastAsia="zh-CN"/>
              </w:rPr>
              <w:t>9</w:t>
            </w:r>
          </w:p>
        </w:tc>
        <w:tc>
          <w:tcPr>
            <w:tcW w:w="188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val="en-US"/>
              </w:rPr>
            </w:pPr>
            <w:r>
              <w:rPr>
                <w:rFonts w:hint="eastAsia" w:eastAsia="仿宋" w:cs="Times New Roman"/>
                <w:color w:val="auto"/>
                <w:kern w:val="0"/>
                <w:sz w:val="24"/>
                <w:lang w:val="en-US" w:eastAsia="zh-CN"/>
              </w:rPr>
              <w:t>9</w:t>
            </w:r>
          </w:p>
        </w:tc>
        <w:tc>
          <w:tcPr>
            <w:tcW w:w="2355" w:type="dxa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</w:rPr>
              <w:t>GB/T 15063-2020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  <w:jc w:val="center"/>
        </w:trPr>
        <w:tc>
          <w:tcPr>
            <w:tcW w:w="68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" w:cs="Times New Roman"/>
                <w:bCs/>
                <w:color w:val="333333"/>
                <w:kern w:val="0"/>
                <w:sz w:val="24"/>
              </w:rPr>
            </w:pPr>
            <w:r>
              <w:rPr>
                <w:rFonts w:hint="eastAsia" w:eastAsia="仿宋" w:cs="Times New Roman"/>
                <w:kern w:val="0"/>
                <w:sz w:val="24"/>
                <w:lang w:val="en-US" w:eastAsia="zh-CN"/>
              </w:rPr>
              <w:t>6</w:t>
            </w:r>
          </w:p>
        </w:tc>
        <w:tc>
          <w:tcPr>
            <w:tcW w:w="2522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>水分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eastAsia" w:eastAsia="仿宋" w:cs="Times New Roman"/>
                <w:color w:val="auto"/>
                <w:kern w:val="0"/>
                <w:sz w:val="24"/>
                <w:lang w:val="en-US" w:eastAsia="zh-CN"/>
              </w:rPr>
              <w:t>9</w:t>
            </w:r>
          </w:p>
        </w:tc>
        <w:tc>
          <w:tcPr>
            <w:tcW w:w="188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val="en-US"/>
              </w:rPr>
            </w:pPr>
            <w:r>
              <w:rPr>
                <w:rFonts w:hint="eastAsia" w:eastAsia="仿宋" w:cs="Times New Roman"/>
                <w:color w:val="auto"/>
                <w:kern w:val="0"/>
                <w:sz w:val="24"/>
                <w:lang w:val="en-US" w:eastAsia="zh-CN"/>
              </w:rPr>
              <w:t>9</w:t>
            </w:r>
          </w:p>
        </w:tc>
        <w:tc>
          <w:tcPr>
            <w:tcW w:w="2355" w:type="dxa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</w:rPr>
              <w:t>GB/T 15063-2020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  <w:jc w:val="center"/>
        </w:trPr>
        <w:tc>
          <w:tcPr>
            <w:tcW w:w="68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" w:cs="Times New Roman"/>
                <w:bCs/>
                <w:color w:val="333333"/>
                <w:kern w:val="0"/>
                <w:sz w:val="24"/>
              </w:rPr>
            </w:pPr>
            <w:r>
              <w:rPr>
                <w:rFonts w:hint="eastAsia" w:eastAsia="仿宋" w:cs="Times New Roman"/>
                <w:kern w:val="0"/>
                <w:sz w:val="24"/>
                <w:lang w:val="en-US" w:eastAsia="zh-CN"/>
              </w:rPr>
              <w:t>7</w:t>
            </w:r>
          </w:p>
        </w:tc>
        <w:tc>
          <w:tcPr>
            <w:tcW w:w="2522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>单一微量元素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eastAsia" w:eastAsia="仿宋" w:cs="Times New Roman"/>
                <w:color w:val="auto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188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val="en-US"/>
              </w:rPr>
            </w:pPr>
            <w:r>
              <w:rPr>
                <w:rFonts w:hint="eastAsia" w:eastAsia="仿宋" w:cs="Times New Roman"/>
                <w:color w:val="auto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355" w:type="dxa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</w:rPr>
              <w:t>GB/T 15063-2020</w:t>
            </w:r>
          </w:p>
        </w:tc>
      </w:tr>
    </w:tbl>
    <w:p>
      <w:pPr>
        <w:widowControl/>
        <w:shd w:val="clear" w:color="auto" w:fill="FFFFFF"/>
        <w:spacing w:line="480" w:lineRule="atLeast"/>
        <w:ind w:firstLine="560" w:firstLineChars="200"/>
        <w:jc w:val="center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表</w:t>
      </w:r>
      <w:r>
        <w:rPr>
          <w:rFonts w:hint="eastAsia" w:eastAsia="仿宋" w:cs="Times New Roman"/>
          <w:sz w:val="28"/>
          <w:szCs w:val="28"/>
          <w:lang w:val="en-US" w:eastAsia="zh-CN"/>
        </w:rPr>
        <w:t>7</w:t>
      </w:r>
      <w:r>
        <w:rPr>
          <w:rFonts w:hint="default" w:ascii="Times New Roman" w:hAnsi="Times New Roman" w:eastAsia="仿宋" w:cs="Times New Roman"/>
          <w:sz w:val="28"/>
          <w:szCs w:val="28"/>
        </w:rPr>
        <w:t xml:space="preserve"> </w:t>
      </w:r>
      <w:r>
        <w:rPr>
          <w:rFonts w:hint="eastAsia" w:eastAsia="仿宋" w:cs="Times New Roman"/>
          <w:sz w:val="28"/>
          <w:szCs w:val="28"/>
          <w:lang w:val="en-US" w:eastAsia="zh-CN"/>
        </w:rPr>
        <w:t>过磷酸钙</w:t>
      </w:r>
      <w:r>
        <w:rPr>
          <w:rFonts w:hint="default" w:ascii="Times New Roman" w:hAnsi="Times New Roman" w:eastAsia="仿宋" w:cs="Times New Roman"/>
          <w:sz w:val="28"/>
          <w:szCs w:val="28"/>
        </w:rPr>
        <w:t>检验项目产品情况表</w:t>
      </w:r>
    </w:p>
    <w:tbl>
      <w:tblPr>
        <w:tblStyle w:val="5"/>
        <w:tblW w:w="9397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9"/>
        <w:gridCol w:w="2506"/>
        <w:gridCol w:w="2085"/>
        <w:gridCol w:w="1917"/>
        <w:gridCol w:w="226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widowControl/>
              <w:spacing w:line="405" w:lineRule="atLeast"/>
              <w:jc w:val="center"/>
              <w:rPr>
                <w:rFonts w:hint="eastAsia" w:ascii="方正仿宋_GBK" w:hAnsi="方正仿宋_GBK" w:eastAsia="方正仿宋_GBK" w:cs="方正仿宋_GBK"/>
                <w:b/>
                <w:bCs w:val="0"/>
                <w:color w:val="333333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333333"/>
                <w:kern w:val="0"/>
                <w:sz w:val="24"/>
              </w:rPr>
              <w:t>序号</w:t>
            </w:r>
          </w:p>
        </w:tc>
        <w:tc>
          <w:tcPr>
            <w:tcW w:w="2506" w:type="dxa"/>
            <w:noWrap w:val="0"/>
            <w:vAlign w:val="center"/>
          </w:tcPr>
          <w:p>
            <w:pPr>
              <w:widowControl/>
              <w:spacing w:line="405" w:lineRule="atLeast"/>
              <w:jc w:val="center"/>
              <w:rPr>
                <w:rFonts w:hint="eastAsia" w:ascii="方正仿宋_GBK" w:hAnsi="方正仿宋_GBK" w:eastAsia="方正仿宋_GBK" w:cs="方正仿宋_GBK"/>
                <w:b/>
                <w:bCs w:val="0"/>
                <w:color w:val="333333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333333"/>
                <w:kern w:val="0"/>
                <w:sz w:val="24"/>
              </w:rPr>
              <w:t>检验项目名称</w:t>
            </w:r>
          </w:p>
        </w:tc>
        <w:tc>
          <w:tcPr>
            <w:tcW w:w="2085" w:type="dxa"/>
            <w:noWrap w:val="0"/>
            <w:vAlign w:val="center"/>
          </w:tcPr>
          <w:p>
            <w:pPr>
              <w:pStyle w:val="3"/>
              <w:widowControl/>
              <w:spacing w:line="405" w:lineRule="atLeast"/>
              <w:jc w:val="center"/>
              <w:rPr>
                <w:rFonts w:hint="eastAsia" w:ascii="方正仿宋_GBK" w:hAnsi="方正仿宋_GBK" w:eastAsia="方正仿宋_GBK" w:cs="方正仿宋_GBK"/>
                <w:b/>
                <w:bCs w:val="0"/>
                <w:color w:val="333333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333333"/>
                <w:sz w:val="24"/>
                <w:szCs w:val="24"/>
              </w:rPr>
              <w:t>检验批次数</w:t>
            </w:r>
          </w:p>
        </w:tc>
        <w:tc>
          <w:tcPr>
            <w:tcW w:w="1917" w:type="dxa"/>
            <w:noWrap w:val="0"/>
            <w:vAlign w:val="center"/>
          </w:tcPr>
          <w:p>
            <w:pPr>
              <w:widowControl/>
              <w:spacing w:line="405" w:lineRule="atLeast"/>
              <w:jc w:val="center"/>
              <w:rPr>
                <w:rFonts w:hint="eastAsia" w:ascii="方正仿宋_GBK" w:hAnsi="方正仿宋_GBK" w:eastAsia="方正仿宋_GBK" w:cs="方正仿宋_GBK"/>
                <w:b/>
                <w:bCs w:val="0"/>
                <w:color w:val="333333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333333"/>
                <w:kern w:val="0"/>
                <w:sz w:val="24"/>
              </w:rPr>
              <w:t>合格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333333"/>
                <w:kern w:val="0"/>
                <w:sz w:val="24"/>
                <w:lang w:eastAsia="zh-CN"/>
              </w:rPr>
              <w:t>批次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333333"/>
                <w:kern w:val="0"/>
                <w:sz w:val="24"/>
              </w:rPr>
              <w:t>数</w:t>
            </w:r>
          </w:p>
        </w:tc>
        <w:tc>
          <w:tcPr>
            <w:tcW w:w="2260" w:type="dxa"/>
            <w:noWrap w:val="0"/>
            <w:vAlign w:val="center"/>
          </w:tcPr>
          <w:p>
            <w:pPr>
              <w:widowControl/>
              <w:spacing w:line="405" w:lineRule="atLeast"/>
              <w:jc w:val="center"/>
              <w:rPr>
                <w:rFonts w:hint="eastAsia" w:ascii="方正仿宋_GBK" w:hAnsi="方正仿宋_GBK" w:eastAsia="方正仿宋_GBK" w:cs="方正仿宋_GBK"/>
                <w:b/>
                <w:bCs w:val="0"/>
                <w:color w:val="333333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333333"/>
                <w:kern w:val="0"/>
                <w:sz w:val="24"/>
              </w:rPr>
              <w:t>判定依据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  <w:color w:val="333333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>1</w:t>
            </w:r>
          </w:p>
        </w:tc>
        <w:tc>
          <w:tcPr>
            <w:tcW w:w="2506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>有效</w:t>
            </w:r>
            <w:r>
              <w:rPr>
                <w:rFonts w:hint="eastAsia" w:ascii="Times New Roman" w:hAnsi="Times New Roman" w:eastAsia="方正仿宋_GBK"/>
                <w:sz w:val="24"/>
                <w:lang w:val="en-US" w:eastAsia="zh-CN"/>
              </w:rPr>
              <w:t>磷</w:t>
            </w:r>
            <w:r>
              <w:rPr>
                <w:rFonts w:hint="eastAsia" w:ascii="Times New Roman" w:hAnsi="Times New Roman" w:eastAsia="方正仿宋_GBK"/>
                <w:sz w:val="24"/>
              </w:rPr>
              <w:t>（以P</w:t>
            </w:r>
            <w:r>
              <w:rPr>
                <w:rFonts w:hint="eastAsia" w:ascii="Times New Roman" w:hAnsi="Times New Roman" w:eastAsia="方正仿宋_GBK"/>
                <w:sz w:val="24"/>
                <w:vertAlign w:val="subscript"/>
              </w:rPr>
              <w:t>2</w:t>
            </w:r>
            <w:r>
              <w:rPr>
                <w:rFonts w:hint="eastAsia" w:ascii="Times New Roman" w:hAnsi="Times New Roman" w:eastAsia="方正仿宋_GBK"/>
                <w:sz w:val="24"/>
              </w:rPr>
              <w:t>O</w:t>
            </w:r>
            <w:r>
              <w:rPr>
                <w:rFonts w:hint="eastAsia" w:ascii="Times New Roman" w:hAnsi="Times New Roman" w:eastAsia="方正仿宋_GBK"/>
                <w:sz w:val="24"/>
                <w:vertAlign w:val="subscript"/>
              </w:rPr>
              <w:t>5</w:t>
            </w:r>
            <w:r>
              <w:rPr>
                <w:rFonts w:hint="eastAsia" w:ascii="Times New Roman" w:hAnsi="Times New Roman" w:eastAsia="方正仿宋_GBK"/>
                <w:sz w:val="24"/>
              </w:rPr>
              <w:t>计）的质量分数</w:t>
            </w:r>
          </w:p>
        </w:tc>
        <w:tc>
          <w:tcPr>
            <w:tcW w:w="2085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Times New Roman"/>
                <w:bCs/>
                <w:color w:val="333333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" w:cs="Times New Roman"/>
                <w:bCs/>
                <w:color w:val="333333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19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  <w:color w:val="333333"/>
                <w:kern w:val="0"/>
                <w:sz w:val="24"/>
              </w:rPr>
            </w:pPr>
            <w:r>
              <w:rPr>
                <w:rFonts w:hint="eastAsia" w:eastAsia="仿宋" w:cs="Times New Roman"/>
                <w:bCs/>
                <w:color w:val="333333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26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Cs/>
                <w:color w:val="333333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</w:rPr>
              <w:t>GB/T 20413-2017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  <w:color w:val="333333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>2</w:t>
            </w:r>
          </w:p>
        </w:tc>
        <w:tc>
          <w:tcPr>
            <w:tcW w:w="2506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>水溶性磷（以P</w:t>
            </w:r>
            <w:r>
              <w:rPr>
                <w:rFonts w:hint="eastAsia" w:ascii="Times New Roman" w:hAnsi="Times New Roman" w:eastAsia="方正仿宋_GBK"/>
                <w:sz w:val="24"/>
                <w:vertAlign w:val="subscript"/>
              </w:rPr>
              <w:t>2</w:t>
            </w:r>
            <w:r>
              <w:rPr>
                <w:rFonts w:hint="eastAsia" w:ascii="Times New Roman" w:hAnsi="Times New Roman" w:eastAsia="方正仿宋_GBK"/>
                <w:sz w:val="24"/>
              </w:rPr>
              <w:t>O</w:t>
            </w:r>
            <w:r>
              <w:rPr>
                <w:rFonts w:hint="eastAsia" w:ascii="Times New Roman" w:hAnsi="Times New Roman" w:eastAsia="方正仿宋_GBK"/>
                <w:sz w:val="24"/>
                <w:vertAlign w:val="subscript"/>
              </w:rPr>
              <w:t>5</w:t>
            </w:r>
            <w:r>
              <w:rPr>
                <w:rFonts w:hint="eastAsia" w:ascii="Times New Roman" w:hAnsi="Times New Roman" w:eastAsia="方正仿宋_GBK"/>
                <w:sz w:val="24"/>
              </w:rPr>
              <w:t>计）的质量分数</w:t>
            </w:r>
          </w:p>
        </w:tc>
        <w:tc>
          <w:tcPr>
            <w:tcW w:w="2085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Times New Roman"/>
                <w:bCs/>
                <w:color w:val="333333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" w:cs="Times New Roman"/>
                <w:bCs/>
                <w:color w:val="333333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19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  <w:color w:val="333333"/>
                <w:kern w:val="0"/>
                <w:sz w:val="24"/>
              </w:rPr>
            </w:pPr>
            <w:r>
              <w:rPr>
                <w:rFonts w:hint="eastAsia" w:eastAsia="仿宋" w:cs="Times New Roman"/>
                <w:bCs/>
                <w:color w:val="333333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26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Cs/>
                <w:color w:val="333333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</w:rPr>
              <w:t>GB/T 20413-2017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  <w:color w:val="333333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>3</w:t>
            </w:r>
          </w:p>
        </w:tc>
        <w:tc>
          <w:tcPr>
            <w:tcW w:w="2506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>硫（以S计）的质量分数</w:t>
            </w:r>
          </w:p>
        </w:tc>
        <w:tc>
          <w:tcPr>
            <w:tcW w:w="2085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Times New Roman"/>
                <w:bCs/>
                <w:color w:val="333333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" w:cs="Times New Roman"/>
                <w:bCs/>
                <w:color w:val="333333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19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  <w:color w:val="333333"/>
                <w:kern w:val="0"/>
                <w:sz w:val="24"/>
              </w:rPr>
            </w:pPr>
            <w:r>
              <w:rPr>
                <w:rFonts w:hint="eastAsia" w:eastAsia="仿宋" w:cs="Times New Roman"/>
                <w:bCs/>
                <w:color w:val="333333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26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</w:rPr>
              <w:t>GB/T 20413-2017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  <w:color w:val="333333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>4</w:t>
            </w:r>
          </w:p>
        </w:tc>
        <w:tc>
          <w:tcPr>
            <w:tcW w:w="2506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>游离酸（以P</w:t>
            </w:r>
            <w:r>
              <w:rPr>
                <w:rFonts w:hint="eastAsia" w:ascii="Times New Roman" w:hAnsi="Times New Roman" w:eastAsia="方正仿宋_GBK"/>
                <w:sz w:val="24"/>
                <w:vertAlign w:val="subscript"/>
              </w:rPr>
              <w:t>2</w:t>
            </w:r>
            <w:r>
              <w:rPr>
                <w:rFonts w:hint="eastAsia" w:ascii="Times New Roman" w:hAnsi="Times New Roman" w:eastAsia="方正仿宋_GBK"/>
                <w:sz w:val="24"/>
              </w:rPr>
              <w:t>O</w:t>
            </w:r>
            <w:r>
              <w:rPr>
                <w:rFonts w:hint="eastAsia" w:ascii="Times New Roman" w:hAnsi="Times New Roman" w:eastAsia="方正仿宋_GBK"/>
                <w:sz w:val="24"/>
                <w:vertAlign w:val="subscript"/>
              </w:rPr>
              <w:t>5</w:t>
            </w:r>
            <w:r>
              <w:rPr>
                <w:rFonts w:hint="eastAsia" w:ascii="Times New Roman" w:hAnsi="Times New Roman" w:eastAsia="方正仿宋_GBK"/>
                <w:sz w:val="24"/>
              </w:rPr>
              <w:t>计)的质量分数</w:t>
            </w:r>
          </w:p>
        </w:tc>
        <w:tc>
          <w:tcPr>
            <w:tcW w:w="2085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Times New Roman"/>
                <w:bCs/>
                <w:color w:val="333333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" w:cs="Times New Roman"/>
                <w:bCs/>
                <w:color w:val="333333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19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  <w:color w:val="333333"/>
                <w:kern w:val="0"/>
                <w:sz w:val="24"/>
              </w:rPr>
            </w:pPr>
            <w:r>
              <w:rPr>
                <w:rFonts w:hint="eastAsia" w:eastAsia="仿宋" w:cs="Times New Roman"/>
                <w:bCs/>
                <w:color w:val="333333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26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</w:rPr>
              <w:t>GB/T 20413-2017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  <w:color w:val="333333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lang w:val="en-US" w:eastAsia="zh-CN"/>
              </w:rPr>
              <w:t>5</w:t>
            </w:r>
          </w:p>
        </w:tc>
        <w:tc>
          <w:tcPr>
            <w:tcW w:w="2506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</w:rPr>
              <w:t>游离水的质量分数</w:t>
            </w:r>
          </w:p>
        </w:tc>
        <w:tc>
          <w:tcPr>
            <w:tcW w:w="2085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Times New Roman"/>
                <w:bCs/>
                <w:color w:val="333333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" w:cs="Times New Roman"/>
                <w:bCs/>
                <w:color w:val="333333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19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  <w:color w:val="333333"/>
                <w:kern w:val="0"/>
                <w:sz w:val="24"/>
              </w:rPr>
            </w:pPr>
            <w:r>
              <w:rPr>
                <w:rFonts w:hint="eastAsia" w:eastAsia="仿宋" w:cs="Times New Roman"/>
                <w:bCs/>
                <w:color w:val="333333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26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Cs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</w:rPr>
              <w:t>GB/T 20413-2017</w:t>
            </w:r>
          </w:p>
        </w:tc>
      </w:tr>
    </w:tbl>
    <w:p>
      <w:pPr>
        <w:snapToGrid w:val="0"/>
        <w:spacing w:line="540" w:lineRule="exact"/>
        <w:ind w:firstLine="643" w:firstLineChars="200"/>
        <w:rPr>
          <w:rFonts w:hint="default" w:ascii="Times New Roman" w:hAnsi="Times New Roman" w:eastAsia="方正楷体_GBK" w:cs="Times New Roman"/>
          <w:bCs/>
          <w:color w:val="auto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/>
          <w:color w:val="auto"/>
          <w:sz w:val="32"/>
          <w:szCs w:val="32"/>
          <w:lang w:val="en-US" w:eastAsia="zh-CN"/>
        </w:rPr>
        <w:t>2</w:t>
      </w:r>
      <w:r>
        <w:rPr>
          <w:rFonts w:hint="eastAsia" w:eastAsia="方正仿宋_GBK" w:cs="Times New Roman"/>
          <w:b/>
          <w:color w:val="auto"/>
          <w:sz w:val="32"/>
          <w:szCs w:val="32"/>
          <w:lang w:val="en-US" w:eastAsia="zh-CN"/>
        </w:rPr>
        <w:t>.可能</w:t>
      </w:r>
      <w:r>
        <w:rPr>
          <w:rFonts w:hint="default" w:ascii="Times New Roman" w:hAnsi="Times New Roman" w:eastAsia="方正仿宋_GBK" w:cs="Times New Roman"/>
          <w:b/>
          <w:color w:val="auto"/>
          <w:sz w:val="32"/>
          <w:szCs w:val="32"/>
          <w:lang w:val="en-US" w:eastAsia="zh-CN"/>
        </w:rPr>
        <w:t>不合格项目分析</w:t>
      </w:r>
    </w:p>
    <w:p>
      <w:pPr>
        <w:widowControl/>
        <w:shd w:val="clear" w:color="auto" w:fill="FFFFFF"/>
        <w:spacing w:line="576" w:lineRule="exact"/>
        <w:ind w:firstLine="640" w:firstLineChars="200"/>
        <w:rPr>
          <w:rFonts w:hint="default" w:ascii="Times New Roman" w:hAnsi="Times New Roman" w:eastAsia="方正仿宋_GBK" w:cs="Times New Roman"/>
          <w:color w:val="FF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本次抽查</w:t>
      </w:r>
      <w:r>
        <w:rPr>
          <w:rFonts w:hint="eastAsia" w:eastAsia="方正仿宋_GBK" w:cs="Times New Roman"/>
          <w:color w:val="auto"/>
          <w:sz w:val="32"/>
          <w:szCs w:val="32"/>
          <w:lang w:val="en-US" w:eastAsia="zh-CN"/>
        </w:rPr>
        <w:t>未检出不合格项目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。</w:t>
      </w:r>
      <w:r>
        <w:rPr>
          <w:rFonts w:hint="eastAsia" w:eastAsia="方正仿宋_GBK" w:cs="Times New Roman"/>
          <w:color w:val="auto"/>
          <w:sz w:val="32"/>
          <w:szCs w:val="32"/>
          <w:lang w:val="en-US" w:eastAsia="zh-CN"/>
        </w:rPr>
        <w:t>但常见的不合格项目有总养分、有效磷、钾含量。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以下对</w:t>
      </w:r>
      <w:r>
        <w:rPr>
          <w:rFonts w:hint="eastAsia" w:eastAsia="方正仿宋_GBK" w:cs="Times New Roman"/>
          <w:color w:val="auto"/>
          <w:sz w:val="32"/>
          <w:szCs w:val="32"/>
          <w:lang w:val="en-US" w:eastAsia="zh-CN"/>
        </w:rPr>
        <w:t>可能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不合格项目进行分析：</w:t>
      </w:r>
    </w:p>
    <w:p>
      <w:pPr>
        <w:widowControl/>
        <w:shd w:val="clear" w:color="auto" w:fill="FFFFFF"/>
        <w:spacing w:line="576" w:lineRule="exact"/>
        <w:ind w:firstLine="640" w:firstLineChars="20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总养分含量是复混肥料产品最主要的技术指标，含量过低会造成施入土壤后产品供氮磷钾强度不足，不能满足作物生长对养分的需求。</w:t>
      </w:r>
      <w:r>
        <w:rPr>
          <w:rFonts w:hint="eastAsia" w:eastAsia="方正仿宋_GBK" w:cs="Times New Roman"/>
          <w:sz w:val="32"/>
          <w:szCs w:val="32"/>
          <w:lang w:val="en-US" w:eastAsia="zh-CN"/>
        </w:rPr>
        <w:t>含量不足的原因可能是企业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在原料配比时压低各种原料的投入量，生产控制不当导致养分指标不合格。</w:t>
      </w:r>
    </w:p>
    <w:p>
      <w:pPr>
        <w:widowControl/>
        <w:shd w:val="clear" w:color="auto" w:fill="FFFFFF"/>
        <w:spacing w:line="576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有效磷</w:t>
      </w:r>
      <w:r>
        <w:rPr>
          <w:rFonts w:hint="eastAsia" w:eastAsia="方正仿宋_GBK" w:cs="Times New Roman"/>
          <w:sz w:val="32"/>
          <w:szCs w:val="32"/>
          <w:lang w:val="en-US" w:eastAsia="zh-CN"/>
        </w:rPr>
        <w:t>含量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不足可能会导致农作物根系发育不良，不能促使作物籽粒饱满、块根增大、糖分增加，严重影响施肥效果，造成农作物减产</w:t>
      </w:r>
      <w:r>
        <w:rPr>
          <w:rFonts w:hint="eastAsia" w:eastAsia="方正仿宋_GBK" w:cs="Times New Roman"/>
          <w:sz w:val="32"/>
          <w:szCs w:val="32"/>
          <w:lang w:val="en-US" w:eastAsia="zh-CN"/>
        </w:rPr>
        <w:t>。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有效磷</w:t>
      </w:r>
      <w:r>
        <w:rPr>
          <w:rFonts w:hint="eastAsia" w:eastAsia="方正仿宋_GBK" w:cs="Times New Roman"/>
          <w:sz w:val="32"/>
          <w:szCs w:val="32"/>
          <w:lang w:val="en-US" w:eastAsia="zh-CN"/>
        </w:rPr>
        <w:t>含量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不足的原因可能是企业的生产原料不合格、生产工艺不过关会造成的。</w:t>
      </w:r>
    </w:p>
    <w:p>
      <w:pPr>
        <w:widowControl/>
        <w:shd w:val="clear" w:color="auto" w:fill="FFFFFF"/>
        <w:spacing w:line="576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eastAsia="方正仿宋_GBK" w:cs="Times New Roman"/>
          <w:sz w:val="32"/>
          <w:szCs w:val="32"/>
          <w:lang w:val="en-US" w:eastAsia="zh-CN"/>
        </w:rPr>
        <w:t>钾含量过低会导致降低农作物碳水化合物和蛋白质的合成及酶反应，使作物茎秆不够坚硬，抗病和抗倒伏的能力底下，导致减产。钾含量不足的原因可能是企业的生产原来不合格、生产工艺不过关导致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。</w:t>
      </w:r>
    </w:p>
    <w:p>
      <w:pPr>
        <w:pStyle w:val="8"/>
        <w:snapToGrid w:val="0"/>
        <w:spacing w:line="540" w:lineRule="exact"/>
        <w:ind w:firstLine="640" w:firstLineChars="200"/>
        <w:rPr>
          <w:rFonts w:hint="default" w:ascii="Times New Roman" w:hAnsi="Times New Roman" w:eastAsia="方正黑体_GBK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黑体_GBK" w:cs="Times New Roman"/>
          <w:kern w:val="2"/>
          <w:sz w:val="32"/>
          <w:szCs w:val="32"/>
          <w:lang w:val="en-US" w:eastAsia="zh-CN" w:bidi="ar-SA"/>
        </w:rPr>
        <w:t>四、消费建议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1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.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选择正规企业产品，并在正规企业的销售处或合法经销单位购买。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2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.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看包装袋上的标志应标明有肥料名称、养分含量、执行标准、肥料登记证</w:t>
      </w:r>
      <w:r>
        <w:rPr>
          <w:rFonts w:hint="eastAsia" w:eastAsia="方正仿宋_GBK" w:cs="Times New Roman"/>
          <w:kern w:val="2"/>
          <w:sz w:val="32"/>
          <w:szCs w:val="32"/>
          <w:lang w:val="en-US" w:eastAsia="zh-CN" w:bidi="ar-SA"/>
        </w:rPr>
        <w:t>、生产许可证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、净重、生产厂名、厂址联系电话等。如果上述标志没有或不完整，有可能是假冒伪劣产品。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3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.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看肥料产品标识要清楚规范，不允许添加带有不实或夸大性质的词语。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4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.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应注意保留购肥凭证，票据中应注明所购肥料的名称、数量、养分含量、价格等内容。如果经销单位拒绝出具购肥凭证，</w:t>
      </w:r>
      <w:r>
        <w:rPr>
          <w:rFonts w:hint="eastAsia" w:eastAsia="方正仿宋_GBK" w:cs="Times New Roman"/>
          <w:kern w:val="2"/>
          <w:sz w:val="32"/>
          <w:szCs w:val="32"/>
          <w:lang w:val="en-US" w:eastAsia="zh-CN" w:bidi="ar-SA"/>
        </w:rPr>
        <w:t>消费者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可向农业行政执法部门或市场监督管理部门举报。</w:t>
      </w: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2098" w:right="1474" w:bottom="1984" w:left="1587" w:header="851" w:footer="992" w:gutter="0"/>
      <w:cols w:space="720" w:num="1"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aGmCS9MAAAAFAQAADwAAAAAAAAABACAAAAAiAAAAZHJz&#10;L2Rvd25yZXYueG1sUEsBAhQAFAAAAAgAh07iQGBycTzQAQAAowMAAA4AAAAAAAAAAQAgAAAAIgEA&#10;AGRycy9lMm9Eb2MueG1sUEsFBgAAAAAGAAYAWQEAAGQFAAAAAA=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right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4</w:t>
    </w:r>
    <w:r>
      <w:fldChar w:fldCharType="end"/>
    </w:r>
  </w:p>
  <w:p>
    <w:pPr>
      <w:pStyle w:val="4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E0NWVlNTljOTZmNzBhYWJkNzdiMTdhNDdiNjgyMDYifQ=="/>
  </w:docVars>
  <w:rsids>
    <w:rsidRoot w:val="00000000"/>
    <w:rsid w:val="0CAC5AEE"/>
    <w:rsid w:val="0D52009E"/>
    <w:rsid w:val="110B7123"/>
    <w:rsid w:val="123C601A"/>
    <w:rsid w:val="1E874440"/>
    <w:rsid w:val="1FF468DA"/>
    <w:rsid w:val="21AA3516"/>
    <w:rsid w:val="250273A3"/>
    <w:rsid w:val="261A0A0E"/>
    <w:rsid w:val="28846321"/>
    <w:rsid w:val="2A8E0AA1"/>
    <w:rsid w:val="2C810C45"/>
    <w:rsid w:val="30713946"/>
    <w:rsid w:val="31AF49E9"/>
    <w:rsid w:val="32C4075A"/>
    <w:rsid w:val="3C6506B1"/>
    <w:rsid w:val="411C2382"/>
    <w:rsid w:val="49615D90"/>
    <w:rsid w:val="4C107D48"/>
    <w:rsid w:val="4D272165"/>
    <w:rsid w:val="50C54AE1"/>
    <w:rsid w:val="52AD41CF"/>
    <w:rsid w:val="561B7187"/>
    <w:rsid w:val="5AD5177C"/>
    <w:rsid w:val="66AD46B9"/>
    <w:rsid w:val="74C57072"/>
    <w:rsid w:val="77C271A8"/>
    <w:rsid w:val="7BA238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1"/>
    <w:qFormat/>
    <w:uiPriority w:val="99"/>
    <w:pPr>
      <w:spacing w:line="360" w:lineRule="auto"/>
      <w:ind w:firstLine="200" w:firstLineChars="200"/>
    </w:pPr>
    <w:rPr>
      <w:rFonts w:ascii="仿宋_GB2312" w:eastAsia="仿宋_GB2312"/>
      <w:sz w:val="30"/>
      <w:szCs w:val="30"/>
    </w:rPr>
  </w:style>
  <w:style w:type="paragraph" w:styleId="3">
    <w:name w:val="Plain Text"/>
    <w:basedOn w:val="1"/>
    <w:qFormat/>
    <w:uiPriority w:val="0"/>
    <w:pPr>
      <w:autoSpaceDE w:val="0"/>
      <w:autoSpaceDN w:val="0"/>
      <w:adjustRightInd w:val="0"/>
      <w:jc w:val="left"/>
    </w:pPr>
    <w:rPr>
      <w:rFonts w:ascii="宋体" w:hAnsi="Courier New"/>
      <w:kern w:val="0"/>
      <w:szCs w:val="21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7">
    <w:name w:val="page number"/>
    <w:basedOn w:val="6"/>
    <w:qFormat/>
    <w:uiPriority w:val="0"/>
  </w:style>
  <w:style w:type="paragraph" w:customStyle="1" w:styleId="8">
    <w:name w:val="_Style 19"/>
    <w:basedOn w:val="1"/>
    <w:next w:val="3"/>
    <w:qFormat/>
    <w:uiPriority w:val="0"/>
    <w:rPr>
      <w:rFonts w:ascii="宋体" w:hAnsi="Courier New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2219</Words>
  <Characters>2720</Characters>
  <Lines>0</Lines>
  <Paragraphs>0</Paragraphs>
  <TotalTime>3</TotalTime>
  <ScaleCrop>false</ScaleCrop>
  <LinksUpToDate>false</LinksUpToDate>
  <CharactersWithSpaces>2759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2023-04-18T02:06:00Z</dcterms:created>
  <dc:creator>76306</dc:creator>
  <cp:lastModifiedBy>Dopamine</cp:lastModifiedBy>
  <cp:lastPrinted>2023-04-25T02:52:00Z</cp:lastPrinted>
  <dcterms:modified xsi:type="dcterms:W3CDTF">2023-05-29T01:24:16Z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3D9F0FC3BBFA412EA8C2BCB87DFA5D21_12</vt:lpwstr>
  </property>
</Properties>
</file>