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default" w:ascii="宋体" w:hAnsi="宋体" w:eastAsia="方正黑体_GBK" w:cs="宋体"/>
          <w:color w:val="000000" w:themeColor="text1"/>
          <w:spacing w:val="-11"/>
          <w:sz w:val="32"/>
          <w:szCs w:val="44"/>
          <w:lang w:val="en-US" w:eastAsia="zh-CN"/>
          <w14:textFill>
            <w14:solidFill>
              <w14:schemeClr w14:val="tx1"/>
            </w14:solidFill>
          </w14:textFill>
        </w:rPr>
      </w:pPr>
      <w:r>
        <w:rPr>
          <w:rFonts w:hint="eastAsia" w:ascii="宋体" w:hAnsi="宋体" w:eastAsia="方正黑体_GBK" w:cs="宋体"/>
          <w:color w:val="000000" w:themeColor="text1"/>
          <w:spacing w:val="-11"/>
          <w:sz w:val="32"/>
          <w:szCs w:val="44"/>
          <w:lang w:val="en-US" w:eastAsia="zh-CN"/>
          <w14:textFill>
            <w14:solidFill>
              <w14:schemeClr w14:val="tx1"/>
            </w14:solidFill>
          </w14:textFill>
        </w:rPr>
        <w:t>附件4</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color w:val="000000" w:themeColor="text1"/>
          <w:spacing w:val="-11"/>
          <w:sz w:val="44"/>
          <w:szCs w:val="44"/>
          <w14:textFill>
            <w14:solidFill>
              <w14:schemeClr w14:val="tx1"/>
            </w14:solidFill>
          </w14:textFill>
        </w:rPr>
      </w:pPr>
      <w:r>
        <w:rPr>
          <w:rFonts w:hint="eastAsia" w:ascii="宋体" w:hAnsi="宋体" w:eastAsia="方正小标宋_GBK" w:cs="宋体"/>
          <w:color w:val="000000" w:themeColor="text1"/>
          <w:spacing w:val="-11"/>
          <w:sz w:val="44"/>
          <w:szCs w:val="44"/>
          <w14:textFill>
            <w14:solidFill>
              <w14:schemeClr w14:val="tx1"/>
            </w14:solidFill>
          </w14:textFill>
        </w:rPr>
        <w:t>部分不</w:t>
      </w:r>
      <w:r>
        <w:rPr>
          <w:rFonts w:hint="eastAsia" w:ascii="宋体" w:hAnsi="宋体" w:eastAsia="方正小标宋_GBK" w:cs="宋体"/>
          <w:color w:val="000000" w:themeColor="text1"/>
          <w:spacing w:val="-11"/>
          <w:sz w:val="44"/>
          <w:szCs w:val="44"/>
          <w:highlight w:val="none"/>
          <w14:textFill>
            <w14:solidFill>
              <w14:schemeClr w14:val="tx1"/>
            </w14:solidFill>
          </w14:textFill>
        </w:rPr>
        <w:t>合格检</w:t>
      </w:r>
      <w:r>
        <w:rPr>
          <w:rFonts w:hint="eastAsia" w:ascii="宋体" w:hAnsi="宋体" w:eastAsia="方正小标宋_GBK" w:cs="宋体"/>
          <w:color w:val="000000" w:themeColor="text1"/>
          <w:spacing w:val="-11"/>
          <w:sz w:val="44"/>
          <w:szCs w:val="44"/>
          <w14:textFill>
            <w14:solidFill>
              <w14:schemeClr w14:val="tx1"/>
            </w14:solidFill>
          </w14:textFill>
        </w:rPr>
        <w:t>验项目小知识</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方正仿宋_GBK" w:cs="方正仿宋_GBK"/>
          <w:color w:val="000000" w:themeColor="text1"/>
          <w:spacing w:val="-1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黑体_GBK" w:cs="方正黑体_GBK"/>
          <w:color w:val="auto"/>
          <w:spacing w:val="-11"/>
          <w:sz w:val="32"/>
          <w:szCs w:val="32"/>
          <w:lang w:val="en-US" w:eastAsia="zh-CN"/>
        </w:rPr>
        <w:t>一、地西泮</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640" w:firstLineChars="200"/>
        <w:textAlignment w:val="auto"/>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pP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t>地西泮又名安定，为苯二氮卓类镇静催眠药，临床上具有抗焦虑、镇静催眠、抗惊厥、抗癫痫及中枢性肌肉松弛作用。长期食用检出地西泮的食品，可能会引起嗜睡、头昏、乏力和记忆力下降等。《食品安全国家标准 食品中兽药最大残留限量》（GB 31650—2019）中规定，地西泮为允许作治疗用，但不得在动物性食品中检出的兽药。淡水鱼中检出地西泮的原因，可能是为降低新鲜活鱼对外界的感知能力，保证其经运输后仍然鲜活而违规使用。</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黑体_GBK" w:cs="方正黑体_GBK"/>
          <w:color w:val="auto"/>
          <w:spacing w:val="-11"/>
          <w:sz w:val="32"/>
          <w:szCs w:val="32"/>
          <w:lang w:val="en-US" w:eastAsia="zh-CN"/>
        </w:rPr>
        <w:t>二、4-氯苯氧乙酸钠(以4-氯苯氧乙酸计)</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640" w:firstLineChars="200"/>
        <w:textAlignment w:val="auto"/>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pP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t>4-氯苯氧乙酸钠（以4-氯苯氧乙酸计）又称防落素、保果灵，是一种植物生长调节剂。主要用于防止落花落果、抑制豆类生根等。《国家食品药品监督管理总局 农业部 国家卫生和计划生育委员会关于豆芽生产过程中禁止使用6-苄基腺嘌呤等物质的公告（2015年 第11号）》中规定，生产者不得在豆芽生产过程中使用6-苄基腺嘌呤、4-氯苯氧乙酸钠、赤霉素等物质，豆芽经营者不得经营含有6-苄基腺嘌呤、4-氯苯氧乙酸钠、赤霉素等物质的豆芽。豆芽中检出4-氯苯氧乙酸钠，可能是由于生产者在豆芽生产过程中为了抑制豆芽生根，提高豆芽产量，从而违规使用相关农药。</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黑体_GBK" w:cs="方正黑体_GBK"/>
          <w:color w:val="auto"/>
          <w:spacing w:val="-11"/>
          <w:sz w:val="32"/>
          <w:szCs w:val="32"/>
          <w:lang w:val="en-US" w:eastAsia="zh-CN"/>
        </w:rPr>
        <w:t>三、乙酰甲胺磷</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640" w:firstLineChars="200"/>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乙酰甲胺磷又名高灭磷，是内吸性的有机磷类杀虫剂，属低毒杀虫剂。食用食品一般不会导致乙酰甲胺磷的急性中毒，但长期食用乙酰甲胺磷超标的食品，对人体健康也有一定影响。《食品安全国家标准 食品中农药最大残留限量》（GB 2763—2021）中规定，乙酰甲胺磷在水果中最大残留量为0.02mg/kg。水果中乙酰甲胺磷超标的原因可能是果农采收前超量使用相关农药。</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方正黑体_GBK"/>
          <w:color w:val="auto"/>
          <w:spacing w:val="-11"/>
          <w:kern w:val="2"/>
          <w:sz w:val="32"/>
          <w:szCs w:val="32"/>
          <w:highlight w:val="none"/>
          <w:lang w:val="en-US" w:eastAsia="zh-CN" w:bidi="ar-SA"/>
        </w:rPr>
      </w:pPr>
      <w:r>
        <w:rPr>
          <w:rFonts w:hint="eastAsia" w:ascii="宋体" w:hAnsi="宋体" w:eastAsia="方正黑体_GBK" w:cs="方正黑体_GBK"/>
          <w:color w:val="auto"/>
          <w:spacing w:val="-11"/>
          <w:sz w:val="32"/>
          <w:szCs w:val="32"/>
          <w:lang w:val="en-US" w:eastAsia="zh-CN"/>
        </w:rPr>
        <w:t>四、甜蜜素(以环己基氨基磺酸计)</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640" w:firstLineChars="200"/>
        <w:textAlignment w:val="auto"/>
        <w:rPr>
          <w:rFonts w:hint="default" w:ascii="宋体" w:hAnsi="宋体" w:eastAsia="方正仿宋_GBK" w:cs="宋体"/>
          <w:color w:val="000000" w:themeColor="text1"/>
          <w:kern w:val="2"/>
          <w:sz w:val="32"/>
          <w:szCs w:val="32"/>
          <w:highlight w:val="none"/>
          <w:lang w:val="en-US" w:eastAsia="zh-CN" w:bidi="ar-SA"/>
          <w14:textFill>
            <w14:solidFill>
              <w14:schemeClr w14:val="tx1"/>
            </w14:solidFill>
          </w14:textFill>
        </w:rPr>
      </w:pP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t>甜蜜素，化学名称为环己基氨基磺酸钠，是食品生产中常用的</w:t>
      </w: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fldChar w:fldCharType="begin"/>
      </w: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instrText xml:space="preserve"> HYPERLINK "https://baike.baidu.com/item/%E6%B7%BB%E5%8A%A0%E5%89%82/5134870" \t "https://baike.baidu.com/item/%E7%94%9C%E8%9C%9C%E7%B4%A0/_blank" </w:instrText>
      </w: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fldChar w:fldCharType="separate"/>
      </w: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t>甜味剂</w:t>
      </w: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fldChar w:fldCharType="end"/>
      </w: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t>之一，其甜度是蔗糖的40—50倍。长期摄入甜蜜素超标的食品，可能对人体的肝脏和神经系统造成一定危害。《食品安全国家标准 食品添加剂使用标准》（GB 2760—2014）中规定，白酒中不得使用甜蜜素。白酒中检出甜蜜素的原因，可能是生产企业为改善成品白酒的口感，</w:t>
      </w:r>
      <w:r>
        <w:rPr>
          <w:rFonts w:hint="eastAsia" w:ascii="宋体" w:hAnsi="宋体" w:eastAsia="方正仿宋_GBK" w:cs="宋体"/>
          <w:color w:val="000000" w:themeColor="text1"/>
          <w:kern w:val="2"/>
          <w:sz w:val="32"/>
          <w:szCs w:val="32"/>
          <w:lang w:val="en-US" w:eastAsia="zh-CN" w:bidi="ar-SA"/>
          <w14:textFill>
            <w14:solidFill>
              <w14:schemeClr w14:val="tx1"/>
            </w14:solidFill>
          </w14:textFill>
        </w:rPr>
        <w:t>在产品中超范围使用甜蜜素来调节口感，</w:t>
      </w:r>
      <w:r>
        <w:rPr>
          <w:rFonts w:hint="eastAsia" w:ascii="宋体" w:hAnsi="宋体" w:eastAsia="方正仿宋_GBK" w:cs="宋体"/>
          <w:color w:val="000000" w:themeColor="text1"/>
          <w:kern w:val="2"/>
          <w:sz w:val="32"/>
          <w:szCs w:val="32"/>
          <w:highlight w:val="none"/>
          <w:lang w:val="en-US" w:eastAsia="zh-CN" w:bidi="ar-SA"/>
          <w14:textFill>
            <w14:solidFill>
              <w14:schemeClr w14:val="tx1"/>
            </w14:solidFill>
          </w14:textFill>
        </w:rPr>
        <w:t>也可能是白酒、配制酒生产过程中造成交叉污染。</w:t>
      </w:r>
    </w:p>
    <w:p>
      <w:pPr>
        <w:keepNext w:val="0"/>
        <w:keepLines w:val="0"/>
        <w:pageBreakBefore w:val="0"/>
        <w:widowControl w:val="0"/>
        <w:numPr>
          <w:ilvl w:val="0"/>
          <w:numId w:val="0"/>
        </w:numPr>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黑体_GBK" w:cs="方正黑体_GBK"/>
          <w:color w:val="auto"/>
          <w:spacing w:val="-11"/>
          <w:sz w:val="32"/>
          <w:szCs w:val="32"/>
          <w:lang w:val="en-US" w:eastAsia="zh-CN"/>
        </w:rPr>
        <w:t>五、噻虫胺</w:t>
      </w:r>
    </w:p>
    <w:p>
      <w:pPr>
        <w:spacing w:line="594" w:lineRule="exact"/>
        <w:ind w:firstLine="640" w:firstLineChars="200"/>
        <w:jc w:val="left"/>
        <w:rPr>
          <w:rFonts w:hint="eastAsia"/>
          <w:color w:val="auto"/>
          <w:lang w:val="en-US" w:eastAsia="zh-CN"/>
        </w:rPr>
      </w:pPr>
      <w:r>
        <w:rPr>
          <w:rFonts w:hint="eastAsia" w:ascii="宋体" w:hAnsi="宋体" w:eastAsia="方正仿宋_GBK" w:cs="方正仿宋_GBK"/>
          <w:color w:val="auto"/>
          <w:kern w:val="2"/>
          <w:sz w:val="32"/>
          <w:szCs w:val="32"/>
          <w:lang w:val="en-US" w:eastAsia="zh-CN" w:bidi="ar-SA"/>
        </w:rPr>
        <w:t>噻虫胺烟碱类杀虫剂，急性毒性分级为微毒。急性中毒可出现恶心、呕吐、头痛、乏力、躁动、抽搐等。食用食品一般不会导致噻虫胺的急性中毒，但长期食用噻虫胺超标的食品，对人体健康也有一定影响。《食品安全国家标准 食品中农药最大残留限量》（GB 2763—2021）中规定，</w:t>
      </w:r>
      <w:r>
        <w:rPr>
          <w:rFonts w:hint="eastAsia" w:ascii="Times New Roman" w:hAnsi="Times New Roman" w:eastAsia="仿宋_GB2312" w:cs="Times New Roman"/>
          <w:color w:val="auto"/>
          <w:kern w:val="2"/>
          <w:sz w:val="32"/>
          <w:szCs w:val="32"/>
          <w:lang w:val="en-US" w:eastAsia="zh-CN" w:bidi="ar-SA"/>
        </w:rPr>
        <w:t>噻虫胺在茄果类蔬菜中的最大残留限量为0.05mg/kg。噻虫胺残留超标的原因可能是农产品种植者为加强防病效果超量使用农药，也可能是种植户未严格按照农药安全间隔期，提前采收农作物。</w:t>
      </w:r>
      <w:bookmarkStart w:id="0" w:name="_GoBack"/>
      <w:bookmarkEnd w:id="0"/>
    </w:p>
    <w:sectPr>
      <w:footerReference r:id="rId3" w:type="default"/>
      <w:footerReference r:id="rId4" w:type="even"/>
      <w:pgSz w:w="11906" w:h="16838"/>
      <w:pgMar w:top="2098" w:right="1417"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embedRegular r:id="rId1" w:fontKey="{4F315D36-B15D-4AB3-8263-133A1BCFC91D}"/>
  </w:font>
  <w:font w:name="方正小标宋_GBK">
    <w:panose1 w:val="03000509000000000000"/>
    <w:charset w:val="86"/>
    <w:family w:val="auto"/>
    <w:pitch w:val="default"/>
    <w:sig w:usb0="00000001" w:usb1="080E0000" w:usb2="00000000" w:usb3="00000000" w:csb0="00040000" w:csb1="00000000"/>
    <w:embedRegular r:id="rId2" w:fontKey="{B64D5526-5E37-48AC-9F24-6381391439C7}"/>
  </w:font>
  <w:font w:name="方正仿宋_GBK">
    <w:panose1 w:val="03000509000000000000"/>
    <w:charset w:val="86"/>
    <w:family w:val="auto"/>
    <w:pitch w:val="default"/>
    <w:sig w:usb0="00000001" w:usb1="080E0000" w:usb2="00000000" w:usb3="00000000" w:csb0="00040000" w:csb1="00000000"/>
    <w:embedRegular r:id="rId3" w:fontKey="{4CB6EC8A-20C8-4A85-A168-D5AC4DDC9593}"/>
  </w:font>
  <w:font w:name="仿宋_GB2312">
    <w:altName w:val="仿宋"/>
    <w:panose1 w:val="02010609030101010101"/>
    <w:charset w:val="86"/>
    <w:family w:val="modern"/>
    <w:pitch w:val="default"/>
    <w:sig w:usb0="00000000" w:usb1="00000000" w:usb2="00000000" w:usb3="00000000" w:csb0="00040000" w:csb1="00000000"/>
    <w:embedRegular r:id="rId4" w:fontKey="{F80B75D2-38D7-4937-9885-528F591F8FD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0827681"/>
      <w:docPartObj>
        <w:docPartGallery w:val="autotext"/>
      </w:docPartObj>
    </w:sdtPr>
    <w:sdtContent>
      <w:p>
        <w:pPr>
          <w:pStyle w:val="6"/>
          <w:jc w:val="center"/>
        </w:pPr>
        <w:r>
          <w:fldChar w:fldCharType="begin"/>
        </w:r>
        <w:r>
          <w:instrText xml:space="preserve">PAGE   \* MERGEFORMAT</w:instrText>
        </w:r>
        <w:r>
          <w:fldChar w:fldCharType="separate"/>
        </w:r>
        <w:r>
          <w:rPr>
            <w:lang w:val="zh-CN"/>
          </w:rPr>
          <w:t>4</w:t>
        </w:r>
        <w: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2JlNTk5N2I1MjE1ZDc4Y2MwMTI0OWVmYzZkOGMifQ=="/>
  </w:docVars>
  <w:rsids>
    <w:rsidRoot w:val="15B85137"/>
    <w:rsid w:val="000119D5"/>
    <w:rsid w:val="00013E30"/>
    <w:rsid w:val="000276F3"/>
    <w:rsid w:val="00045657"/>
    <w:rsid w:val="00063DA7"/>
    <w:rsid w:val="000868BD"/>
    <w:rsid w:val="0009071C"/>
    <w:rsid w:val="000C63B4"/>
    <w:rsid w:val="000D132D"/>
    <w:rsid w:val="000E0F61"/>
    <w:rsid w:val="000E639C"/>
    <w:rsid w:val="00101A1D"/>
    <w:rsid w:val="0010777E"/>
    <w:rsid w:val="00116CA2"/>
    <w:rsid w:val="00135634"/>
    <w:rsid w:val="00135A77"/>
    <w:rsid w:val="00142BDE"/>
    <w:rsid w:val="0015345E"/>
    <w:rsid w:val="00170041"/>
    <w:rsid w:val="0018028B"/>
    <w:rsid w:val="001B6492"/>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C53F6"/>
    <w:rsid w:val="004D036B"/>
    <w:rsid w:val="004D0CC7"/>
    <w:rsid w:val="004D4E94"/>
    <w:rsid w:val="00514B88"/>
    <w:rsid w:val="005216E2"/>
    <w:rsid w:val="00541843"/>
    <w:rsid w:val="00551758"/>
    <w:rsid w:val="00565D70"/>
    <w:rsid w:val="00576235"/>
    <w:rsid w:val="0057719D"/>
    <w:rsid w:val="00580AA7"/>
    <w:rsid w:val="00586FEC"/>
    <w:rsid w:val="005A6A35"/>
    <w:rsid w:val="005A758A"/>
    <w:rsid w:val="005C0139"/>
    <w:rsid w:val="005C2A8D"/>
    <w:rsid w:val="005C692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E0081"/>
    <w:rsid w:val="008E32F5"/>
    <w:rsid w:val="008E5099"/>
    <w:rsid w:val="008F021C"/>
    <w:rsid w:val="00900777"/>
    <w:rsid w:val="0093073B"/>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5F6A"/>
    <w:rsid w:val="00CF6EF9"/>
    <w:rsid w:val="00D16B82"/>
    <w:rsid w:val="00D2666E"/>
    <w:rsid w:val="00D501B0"/>
    <w:rsid w:val="00D63508"/>
    <w:rsid w:val="00D70167"/>
    <w:rsid w:val="00D83AA0"/>
    <w:rsid w:val="00D87B22"/>
    <w:rsid w:val="00D93034"/>
    <w:rsid w:val="00DA0BCC"/>
    <w:rsid w:val="00DC00F9"/>
    <w:rsid w:val="00DD476E"/>
    <w:rsid w:val="00E00F1F"/>
    <w:rsid w:val="00E01E3C"/>
    <w:rsid w:val="00E167A0"/>
    <w:rsid w:val="00E21F73"/>
    <w:rsid w:val="00E32D98"/>
    <w:rsid w:val="00E43414"/>
    <w:rsid w:val="00E51E77"/>
    <w:rsid w:val="00E54A66"/>
    <w:rsid w:val="00E5774B"/>
    <w:rsid w:val="00E8121D"/>
    <w:rsid w:val="00E82C94"/>
    <w:rsid w:val="00EA77E3"/>
    <w:rsid w:val="00EC0211"/>
    <w:rsid w:val="00ED0256"/>
    <w:rsid w:val="00ED0DA7"/>
    <w:rsid w:val="00ED21A0"/>
    <w:rsid w:val="00EF6B02"/>
    <w:rsid w:val="00F05932"/>
    <w:rsid w:val="00F075AE"/>
    <w:rsid w:val="00F1347C"/>
    <w:rsid w:val="00F75612"/>
    <w:rsid w:val="00F80202"/>
    <w:rsid w:val="00F915D8"/>
    <w:rsid w:val="00FA490E"/>
    <w:rsid w:val="00FA66BA"/>
    <w:rsid w:val="00FC3D20"/>
    <w:rsid w:val="00FF2E4D"/>
    <w:rsid w:val="02B726F0"/>
    <w:rsid w:val="02E57613"/>
    <w:rsid w:val="03A74BA9"/>
    <w:rsid w:val="077F1302"/>
    <w:rsid w:val="08A718AC"/>
    <w:rsid w:val="08EB30F3"/>
    <w:rsid w:val="0AAD14F9"/>
    <w:rsid w:val="0BAF665A"/>
    <w:rsid w:val="0EFB1BB6"/>
    <w:rsid w:val="0FED6590"/>
    <w:rsid w:val="10022AD1"/>
    <w:rsid w:val="11AA7966"/>
    <w:rsid w:val="11C52008"/>
    <w:rsid w:val="141679B1"/>
    <w:rsid w:val="159E2C66"/>
    <w:rsid w:val="15A206DE"/>
    <w:rsid w:val="15B85137"/>
    <w:rsid w:val="16041BA6"/>
    <w:rsid w:val="187854F2"/>
    <w:rsid w:val="18BA4890"/>
    <w:rsid w:val="1D2A530E"/>
    <w:rsid w:val="1ED8781E"/>
    <w:rsid w:val="1F0653D6"/>
    <w:rsid w:val="1FA83868"/>
    <w:rsid w:val="22A46395"/>
    <w:rsid w:val="23496F3C"/>
    <w:rsid w:val="242F7EE0"/>
    <w:rsid w:val="2940493E"/>
    <w:rsid w:val="2BDB0938"/>
    <w:rsid w:val="2C550700"/>
    <w:rsid w:val="2C9024A3"/>
    <w:rsid w:val="2DE7759F"/>
    <w:rsid w:val="2F1403FE"/>
    <w:rsid w:val="31481D74"/>
    <w:rsid w:val="33067B3D"/>
    <w:rsid w:val="33764379"/>
    <w:rsid w:val="33D04B10"/>
    <w:rsid w:val="361B61C7"/>
    <w:rsid w:val="36AA6CD3"/>
    <w:rsid w:val="36C50230"/>
    <w:rsid w:val="3A512225"/>
    <w:rsid w:val="3B797920"/>
    <w:rsid w:val="3D0A4BEF"/>
    <w:rsid w:val="3ECA4CD4"/>
    <w:rsid w:val="40475A64"/>
    <w:rsid w:val="42CD2946"/>
    <w:rsid w:val="43A01E09"/>
    <w:rsid w:val="44586DC0"/>
    <w:rsid w:val="44D1659A"/>
    <w:rsid w:val="45C97345"/>
    <w:rsid w:val="46FC37FA"/>
    <w:rsid w:val="479E0D55"/>
    <w:rsid w:val="48805DD2"/>
    <w:rsid w:val="49115557"/>
    <w:rsid w:val="49C57CC7"/>
    <w:rsid w:val="4AFE195C"/>
    <w:rsid w:val="4B304B48"/>
    <w:rsid w:val="4B5562A0"/>
    <w:rsid w:val="4BB9615E"/>
    <w:rsid w:val="4BC323F1"/>
    <w:rsid w:val="4C9B5A25"/>
    <w:rsid w:val="4CB16E35"/>
    <w:rsid w:val="4D2F6550"/>
    <w:rsid w:val="4EE57FD2"/>
    <w:rsid w:val="4EF47490"/>
    <w:rsid w:val="510D7238"/>
    <w:rsid w:val="518508DD"/>
    <w:rsid w:val="52732B71"/>
    <w:rsid w:val="532E3A5B"/>
    <w:rsid w:val="5B0203A0"/>
    <w:rsid w:val="5BF35373"/>
    <w:rsid w:val="5E570D16"/>
    <w:rsid w:val="60FD15F7"/>
    <w:rsid w:val="6189617B"/>
    <w:rsid w:val="619C7C5C"/>
    <w:rsid w:val="622163B3"/>
    <w:rsid w:val="62C531E2"/>
    <w:rsid w:val="634E6D48"/>
    <w:rsid w:val="63A75247"/>
    <w:rsid w:val="63C35974"/>
    <w:rsid w:val="63E1229E"/>
    <w:rsid w:val="649B41FB"/>
    <w:rsid w:val="6655487D"/>
    <w:rsid w:val="667473F9"/>
    <w:rsid w:val="66AC17A4"/>
    <w:rsid w:val="692C7B17"/>
    <w:rsid w:val="6A00000E"/>
    <w:rsid w:val="6A7A5576"/>
    <w:rsid w:val="6CDE6EEF"/>
    <w:rsid w:val="6D306DE5"/>
    <w:rsid w:val="6D535020"/>
    <w:rsid w:val="6D631F76"/>
    <w:rsid w:val="6E0005AE"/>
    <w:rsid w:val="6ED3511D"/>
    <w:rsid w:val="6FB849AC"/>
    <w:rsid w:val="70E4517B"/>
    <w:rsid w:val="72110E28"/>
    <w:rsid w:val="74337D60"/>
    <w:rsid w:val="74A44FDB"/>
    <w:rsid w:val="75222174"/>
    <w:rsid w:val="75856B41"/>
    <w:rsid w:val="77BC475C"/>
    <w:rsid w:val="77D53A70"/>
    <w:rsid w:val="781F4CEB"/>
    <w:rsid w:val="79DF4732"/>
    <w:rsid w:val="7BFC5A6F"/>
    <w:rsid w:val="7C896BD7"/>
    <w:rsid w:val="7CCD4AFB"/>
    <w:rsid w:val="7D2012E9"/>
    <w:rsid w:val="7D2423F5"/>
    <w:rsid w:val="7F5B1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annotation text"/>
    <w:basedOn w:val="1"/>
    <w:link w:val="20"/>
    <w:qFormat/>
    <w:uiPriority w:val="0"/>
    <w:pPr>
      <w:jc w:val="left"/>
    </w:pPr>
  </w:style>
  <w:style w:type="paragraph" w:styleId="5">
    <w:name w:val="Balloon Text"/>
    <w:basedOn w:val="1"/>
    <w:link w:val="15"/>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19"/>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9">
    <w:name w:val="Normal (Web)"/>
    <w:basedOn w:val="1"/>
    <w:unhideWhenUsed/>
    <w:qFormat/>
    <w:uiPriority w:val="99"/>
    <w:pPr>
      <w:spacing w:beforeAutospacing="1" w:afterAutospacing="1"/>
      <w:jc w:val="left"/>
    </w:pPr>
    <w:rPr>
      <w:rFonts w:asciiTheme="minorHAnsi" w:hAnsiTheme="minorHAnsi" w:eastAsiaTheme="minorEastAsia"/>
      <w:kern w:val="0"/>
      <w:sz w:val="24"/>
      <w:szCs w:val="22"/>
    </w:rPr>
  </w:style>
  <w:style w:type="paragraph" w:styleId="10">
    <w:name w:val="annotation subject"/>
    <w:basedOn w:val="4"/>
    <w:next w:val="4"/>
    <w:link w:val="21"/>
    <w:qFormat/>
    <w:uiPriority w:val="0"/>
    <w:rPr>
      <w:b/>
      <w:bCs/>
    </w:rPr>
  </w:style>
  <w:style w:type="character" w:styleId="13">
    <w:name w:val="annotation reference"/>
    <w:basedOn w:val="12"/>
    <w:qFormat/>
    <w:uiPriority w:val="0"/>
    <w:rPr>
      <w:sz w:val="21"/>
      <w:szCs w:val="21"/>
    </w:rPr>
  </w:style>
  <w:style w:type="paragraph" w:customStyle="1" w:styleId="14">
    <w:name w:val="列出段落2"/>
    <w:basedOn w:val="1"/>
    <w:qFormat/>
    <w:uiPriority w:val="34"/>
    <w:pPr>
      <w:ind w:firstLine="420" w:firstLineChars="200"/>
    </w:pPr>
  </w:style>
  <w:style w:type="character" w:customStyle="1" w:styleId="15">
    <w:name w:val="批注框文本 字符"/>
    <w:basedOn w:val="12"/>
    <w:link w:val="5"/>
    <w:qFormat/>
    <w:uiPriority w:val="0"/>
    <w:rPr>
      <w:rFonts w:ascii="Calibri" w:hAnsi="Calibri" w:eastAsia="宋体" w:cs="Times New Roman"/>
      <w:kern w:val="2"/>
      <w:sz w:val="18"/>
      <w:szCs w:val="18"/>
    </w:rPr>
  </w:style>
  <w:style w:type="paragraph" w:styleId="16">
    <w:name w:val="List Paragraph"/>
    <w:basedOn w:val="1"/>
    <w:qFormat/>
    <w:uiPriority w:val="34"/>
    <w:pPr>
      <w:ind w:firstLine="420" w:firstLineChars="200"/>
    </w:pPr>
    <w:rPr>
      <w:szCs w:val="22"/>
    </w:rPr>
  </w:style>
  <w:style w:type="character" w:customStyle="1" w:styleId="17">
    <w:name w:val="页眉 字符"/>
    <w:basedOn w:val="12"/>
    <w:link w:val="7"/>
    <w:qFormat/>
    <w:uiPriority w:val="0"/>
    <w:rPr>
      <w:rFonts w:ascii="Calibri" w:hAnsi="Calibri" w:eastAsia="宋体" w:cs="Times New Roman"/>
      <w:kern w:val="2"/>
      <w:sz w:val="18"/>
      <w:szCs w:val="18"/>
    </w:rPr>
  </w:style>
  <w:style w:type="character" w:customStyle="1" w:styleId="18">
    <w:name w:val="页脚 字符"/>
    <w:basedOn w:val="12"/>
    <w:link w:val="6"/>
    <w:qFormat/>
    <w:uiPriority w:val="99"/>
    <w:rPr>
      <w:rFonts w:ascii="Calibri" w:hAnsi="Calibri" w:eastAsia="宋体" w:cs="Times New Roman"/>
      <w:kern w:val="2"/>
      <w:sz w:val="18"/>
      <w:szCs w:val="18"/>
    </w:rPr>
  </w:style>
  <w:style w:type="character" w:customStyle="1" w:styleId="19">
    <w:name w:val="副标题 字符"/>
    <w:basedOn w:val="12"/>
    <w:link w:val="8"/>
    <w:qFormat/>
    <w:uiPriority w:val="0"/>
    <w:rPr>
      <w:rFonts w:ascii="Times New Roman" w:hAnsi="Times New Roman" w:eastAsia="黑体"/>
      <w:bCs/>
      <w:kern w:val="28"/>
      <w:sz w:val="32"/>
      <w:szCs w:val="32"/>
    </w:rPr>
  </w:style>
  <w:style w:type="character" w:customStyle="1" w:styleId="20">
    <w:name w:val="批注文字 字符"/>
    <w:basedOn w:val="12"/>
    <w:link w:val="4"/>
    <w:qFormat/>
    <w:uiPriority w:val="0"/>
    <w:rPr>
      <w:rFonts w:ascii="Calibri" w:hAnsi="Calibri" w:eastAsia="宋体" w:cs="Times New Roman"/>
      <w:kern w:val="2"/>
      <w:sz w:val="21"/>
      <w:szCs w:val="24"/>
    </w:rPr>
  </w:style>
  <w:style w:type="character" w:customStyle="1" w:styleId="21">
    <w:name w:val="批注主题 字符"/>
    <w:basedOn w:val="20"/>
    <w:link w:val="10"/>
    <w:qFormat/>
    <w:uiPriority w:val="0"/>
    <w:rPr>
      <w:rFonts w:ascii="Calibri" w:hAnsi="Calibri" w:eastAsia="宋体" w:cs="Times New Roman"/>
      <w:b/>
      <w:bCs/>
      <w:kern w:val="2"/>
      <w:sz w:val="21"/>
      <w:szCs w:val="24"/>
    </w:rPr>
  </w:style>
  <w:style w:type="paragraph" w:customStyle="1" w:styleId="22">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3</Pages>
  <Words>1060</Words>
  <Characters>1121</Characters>
  <Lines>16</Lines>
  <Paragraphs>4</Paragraphs>
  <TotalTime>4</TotalTime>
  <ScaleCrop>false</ScaleCrop>
  <LinksUpToDate>false</LinksUpToDate>
  <CharactersWithSpaces>1132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居北念南</cp:lastModifiedBy>
  <dcterms:modified xsi:type="dcterms:W3CDTF">2023-05-12T02:11:52Z</dcterms:modified>
  <dc:title>附件1</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BFD02D606F7B421BA16D13BA0ED4F7A7</vt:lpwstr>
  </property>
</Properties>
</file>