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 w:val="0"/>
        <w:suppressLineNumbers w:val="0"/>
        <w:spacing w:before="0" w:beforeAutospacing="0" w:after="0" w:afterAutospacing="0" w:line="590" w:lineRule="exact"/>
        <w:ind w:left="0" w:right="0"/>
        <w:jc w:val="both"/>
        <w:rPr>
          <w:rFonts w:eastAsia="黑体"/>
          <w:lang w:val="en-US"/>
        </w:rPr>
      </w:pPr>
      <w:bookmarkStart w:id="0" w:name="_GoBack"/>
      <w:bookmarkEnd w:id="0"/>
      <w:r>
        <w:rPr>
          <w:rFonts w:hint="eastAsia" w:ascii="Times New Roman" w:hAnsi="Times New Roman" w:eastAsia="黑体" w:cs="黑体"/>
          <w:kern w:val="2"/>
          <w:sz w:val="32"/>
          <w:szCs w:val="24"/>
          <w:lang w:val="en-US" w:eastAsia="zh-CN" w:bidi="ar"/>
        </w:rPr>
        <w:t>附件</w:t>
      </w:r>
      <w:r>
        <w:rPr>
          <w:rFonts w:hint="default" w:ascii="Times New Roman" w:hAnsi="Times New Roman" w:eastAsia="黑体" w:cs="Times New Roman"/>
          <w:kern w:val="2"/>
          <w:sz w:val="32"/>
          <w:szCs w:val="24"/>
          <w:lang w:val="en-US" w:eastAsia="zh-CN" w:bidi="ar"/>
        </w:rPr>
        <w:t>18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90" w:lineRule="exact"/>
        <w:ind w:left="0" w:right="0"/>
        <w:jc w:val="both"/>
        <w:rPr>
          <w:rFonts w:eastAsia="黑体"/>
          <w:lang w:val="en-US"/>
        </w:rPr>
      </w:pPr>
    </w:p>
    <w:p>
      <w:pPr>
        <w:keepNext w:val="0"/>
        <w:keepLines w:val="0"/>
        <w:widowControl/>
        <w:suppressLineNumbers w:val="0"/>
        <w:shd w:val="clear" w:fill="FFFFFF"/>
        <w:snapToGrid w:val="0"/>
        <w:spacing w:before="0" w:beforeAutospacing="0" w:after="0" w:afterAutospacing="0" w:line="590" w:lineRule="exact"/>
        <w:ind w:left="0" w:right="0"/>
        <w:jc w:val="center"/>
        <w:rPr>
          <w:rFonts w:hint="eastAsia" w:ascii="方正小标宋简体" w:hAnsi="仿宋" w:eastAsia="方正小标宋简体" w:cs="仿宋"/>
          <w:sz w:val="44"/>
          <w:szCs w:val="44"/>
          <w:shd w:val="clear" w:fill="FFFFFF"/>
          <w:lang w:val="en-US"/>
        </w:rPr>
      </w:pPr>
      <w:r>
        <w:rPr>
          <w:rFonts w:hint="eastAsia" w:ascii="方正小标宋简体" w:hAnsi="仿宋" w:eastAsia="方正小标宋简体" w:cs="仿宋"/>
          <w:kern w:val="2"/>
          <w:sz w:val="44"/>
          <w:szCs w:val="44"/>
          <w:shd w:val="clear" w:fill="FFFFFF"/>
          <w:lang w:val="en-US" w:eastAsia="zh-CN" w:bidi="ar"/>
        </w:rPr>
        <w:t>关于部分抽检项目的说明</w:t>
      </w:r>
    </w:p>
    <w:p>
      <w:pPr>
        <w:keepNext w:val="0"/>
        <w:keepLines w:val="0"/>
        <w:widowControl/>
        <w:suppressLineNumbers w:val="0"/>
        <w:shd w:val="clear" w:fill="FFFFFF"/>
        <w:snapToGrid w:val="0"/>
        <w:spacing w:before="0" w:beforeAutospacing="0" w:after="0" w:afterAutospacing="0" w:line="600" w:lineRule="exact"/>
        <w:ind w:left="0" w:right="0"/>
        <w:jc w:val="both"/>
        <w:rPr>
          <w:shd w:val="clear" w:fill="FFFFFF"/>
          <w:lang w:val="en-US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eastAsia="黑体"/>
          <w:lang w:val="en-US"/>
        </w:rPr>
      </w:pPr>
      <w:r>
        <w:rPr>
          <w:rFonts w:hint="eastAsia" w:ascii="Times New Roman" w:hAnsi="Times New Roman" w:eastAsia="黑体" w:cs="黑体"/>
          <w:kern w:val="2"/>
          <w:sz w:val="32"/>
          <w:szCs w:val="24"/>
          <w:lang w:val="en-US" w:eastAsia="zh-CN" w:bidi="ar"/>
        </w:rPr>
        <w:t>一、</w:t>
      </w:r>
      <w:r>
        <w:rPr>
          <w:rFonts w:hint="eastAsia" w:ascii="黑体" w:hAnsi="宋体" w:eastAsia="黑体" w:cs="黑体"/>
          <w:kern w:val="2"/>
          <w:sz w:val="32"/>
          <w:szCs w:val="24"/>
          <w:lang w:val="en-US" w:eastAsia="zh-CN" w:bidi="ar"/>
        </w:rPr>
        <w:t>谷氨酸钠</w:t>
      </w:r>
    </w:p>
    <w:p>
      <w:pPr>
        <w:keepNext w:val="0"/>
        <w:keepLines w:val="0"/>
        <w:widowControl/>
        <w:suppressLineNumbers w:val="0"/>
        <w:shd w:val="clear" w:fill="FFFFFF"/>
        <w:snapToGrid w:val="0"/>
        <w:spacing w:before="0" w:beforeAutospacing="0" w:after="0" w:afterAutospacing="0" w:line="600" w:lineRule="exact"/>
        <w:ind w:left="0" w:right="0" w:firstLine="640" w:firstLineChars="200"/>
        <w:jc w:val="both"/>
        <w:rPr>
          <w:shd w:val="clear" w:fill="FFFFFF"/>
          <w:lang w:val="en-US"/>
        </w:rPr>
      </w:pPr>
      <w:r>
        <w:rPr>
          <w:rFonts w:hint="eastAsia" w:ascii="Times New Roman" w:hAnsi="Times New Roman" w:eastAsia="仿宋_GB2312" w:cs="仿宋_GB2312"/>
          <w:kern w:val="2"/>
          <w:sz w:val="32"/>
          <w:szCs w:val="24"/>
          <w:shd w:val="clear" w:fill="FFFFFF"/>
          <w:lang w:val="en-US" w:eastAsia="zh-CN" w:bidi="ar"/>
        </w:rPr>
        <w:t>谷氨酸钠是反映味精和鸡精调味料鲜味的重要指标。谷氨酸钠不合格主要影响的是产品的风味。谷氨酸钠不达标不会对人体造成直接危害。但是味精的谷氨酸钠含量与其成本有着直接的关系，生产谷氨酸钠含量不达标的味精可能对消费者构成欺骗行为。鸡精调味料中谷氨酸钠不合格的原因可能是投料时未准确计量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eastAsia="黑体"/>
          <w:lang w:val="en-US"/>
        </w:rPr>
      </w:pPr>
      <w:r>
        <w:rPr>
          <w:rFonts w:hint="eastAsia" w:ascii="Times New Roman" w:hAnsi="Times New Roman" w:eastAsia="黑体" w:cs="黑体"/>
          <w:kern w:val="2"/>
          <w:sz w:val="32"/>
          <w:szCs w:val="24"/>
          <w:lang w:val="en-US" w:eastAsia="zh-CN" w:bidi="ar"/>
        </w:rPr>
        <w:t>二、全氮（以氮计）</w:t>
      </w:r>
    </w:p>
    <w:p>
      <w:pPr>
        <w:keepNext w:val="0"/>
        <w:keepLines w:val="0"/>
        <w:widowControl/>
        <w:suppressLineNumbers w:val="0"/>
        <w:shd w:val="clear" w:fill="FFFFFF"/>
        <w:snapToGrid w:val="0"/>
        <w:spacing w:before="0" w:beforeAutospacing="0" w:after="0" w:afterAutospacing="0" w:line="600" w:lineRule="exact"/>
        <w:ind w:left="0" w:right="0" w:firstLine="640" w:firstLineChars="200"/>
        <w:jc w:val="both"/>
        <w:rPr>
          <w:shd w:val="clear" w:fill="FFFFFF"/>
          <w:lang w:val="en-US"/>
        </w:rPr>
      </w:pPr>
      <w:r>
        <w:rPr>
          <w:rFonts w:hint="eastAsia" w:ascii="Times New Roman" w:hAnsi="Times New Roman" w:eastAsia="仿宋_GB2312" w:cs="仿宋_GB2312"/>
          <w:kern w:val="2"/>
          <w:sz w:val="32"/>
          <w:szCs w:val="32"/>
          <w:shd w:val="clear" w:fill="FFFFFF"/>
          <w:lang w:val="en-US" w:eastAsia="zh-CN" w:bidi="ar"/>
        </w:rPr>
        <w:t>全氮含量表示酱油中蛋白质、氨基酸、肽含量的高低，是影响产品风味的指标。一般情况下，全氮含量越高，酱油质量越好。《酿造酱油》（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shd w:val="clear" w:fill="FFFFFF"/>
          <w:lang w:val="en-US" w:eastAsia="zh-CN" w:bidi="ar"/>
        </w:rPr>
        <w:t>GB/T 18186-2000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shd w:val="clear" w:fill="FFFFFF"/>
          <w:lang w:val="en-US" w:eastAsia="zh-CN" w:bidi="ar"/>
        </w:rPr>
        <w:t>）中对不同等级的酱油的全氮含量有相关规定。全氮不达标的主要原因可能是：原料投入量把控不到位，未能准确定量</w:t>
      </w:r>
      <w:r>
        <w:rPr>
          <w:rFonts w:hint="eastAsia" w:ascii="Times New Roman" w:hAnsi="Times New Roman" w:eastAsia="仿宋_GB2312" w:cs="仿宋_GB2312"/>
          <w:kern w:val="2"/>
          <w:sz w:val="32"/>
          <w:szCs w:val="24"/>
          <w:shd w:val="clear" w:fill="FFFFFF"/>
          <w:lang w:val="en-US" w:eastAsia="zh-CN" w:bidi="ar"/>
        </w:rPr>
        <w:t>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eastAsia="黑体"/>
          <w:lang w:val="en-US"/>
        </w:rPr>
      </w:pPr>
      <w:r>
        <w:rPr>
          <w:rFonts w:hint="eastAsia" w:ascii="Times New Roman" w:hAnsi="Times New Roman" w:eastAsia="黑体" w:cs="黑体"/>
          <w:kern w:val="2"/>
          <w:sz w:val="32"/>
          <w:szCs w:val="24"/>
          <w:lang w:val="en-US" w:eastAsia="zh-CN" w:bidi="ar"/>
        </w:rPr>
        <w:t>三、</w:t>
      </w:r>
      <w:r>
        <w:rPr>
          <w:rFonts w:hint="eastAsia" w:ascii="黑体" w:hAnsi="宋体" w:eastAsia="黑体" w:cs="黑体"/>
          <w:kern w:val="2"/>
          <w:sz w:val="32"/>
          <w:szCs w:val="24"/>
          <w:lang w:val="en-US" w:eastAsia="zh-CN" w:bidi="ar"/>
        </w:rPr>
        <w:t>呈味核苷酸二钠</w:t>
      </w:r>
    </w:p>
    <w:p>
      <w:pPr>
        <w:keepNext w:val="0"/>
        <w:keepLines w:val="0"/>
        <w:widowControl/>
        <w:suppressLineNumbers w:val="0"/>
        <w:shd w:val="clear" w:fill="FFFFFF"/>
        <w:snapToGrid w:val="0"/>
        <w:spacing w:before="0" w:beforeAutospacing="0" w:after="0" w:afterAutospacing="0" w:line="600" w:lineRule="exact"/>
        <w:ind w:left="0" w:right="0" w:firstLine="640" w:firstLineChars="200"/>
        <w:jc w:val="both"/>
        <w:rPr>
          <w:shd w:val="clear" w:fill="FFFFFF"/>
          <w:lang w:val="en-US"/>
        </w:rPr>
      </w:pPr>
      <w:r>
        <w:rPr>
          <w:rFonts w:hint="eastAsia" w:ascii="Times New Roman" w:hAnsi="Times New Roman" w:eastAsia="仿宋_GB2312" w:cs="仿宋_GB2312"/>
          <w:kern w:val="2"/>
          <w:sz w:val="32"/>
          <w:szCs w:val="24"/>
          <w:shd w:val="clear" w:fill="FFFFFF"/>
          <w:lang w:val="en-US" w:eastAsia="zh-CN" w:bidi="ar"/>
        </w:rPr>
        <w:t>呈味核苷酸二钠是新一代的核苷酸类食品增鲜剂。</w:t>
      </w:r>
      <w:r>
        <w:rPr>
          <w:rFonts w:hint="default" w:ascii="Times New Roman" w:hAnsi="Times New Roman" w:eastAsia="仿宋_GB2312" w:cs="Times New Roman"/>
          <w:kern w:val="2"/>
          <w:sz w:val="32"/>
          <w:szCs w:val="24"/>
          <w:shd w:val="clear" w:fill="FFFFFF"/>
          <w:lang w:val="en-US" w:eastAsia="zh-CN" w:bidi="ar"/>
        </w:rPr>
        <w:t>5</w:t>
      </w:r>
      <w:r>
        <w:rPr>
          <w:rFonts w:hint="eastAsia" w:ascii="Times New Roman" w:hAnsi="Times New Roman" w:eastAsia="仿宋_GB2312" w:cs="仿宋_GB2312"/>
          <w:kern w:val="2"/>
          <w:sz w:val="32"/>
          <w:szCs w:val="24"/>
          <w:shd w:val="clear" w:fill="FFFFFF"/>
          <w:lang w:val="en-US" w:eastAsia="zh-CN" w:bidi="ar"/>
        </w:rPr>
        <w:t>’</w:t>
      </w:r>
      <w:r>
        <w:rPr>
          <w:rFonts w:hint="default" w:ascii="Times New Roman" w:hAnsi="Times New Roman" w:eastAsia="仿宋_GB2312" w:cs="Times New Roman"/>
          <w:kern w:val="2"/>
          <w:sz w:val="32"/>
          <w:szCs w:val="24"/>
          <w:shd w:val="clear" w:fill="FFFFFF"/>
          <w:lang w:val="en-US" w:eastAsia="zh-CN" w:bidi="ar"/>
        </w:rPr>
        <w:t>-</w:t>
      </w:r>
      <w:r>
        <w:rPr>
          <w:rFonts w:hint="eastAsia" w:ascii="Times New Roman" w:hAnsi="Times New Roman" w:eastAsia="仿宋_GB2312" w:cs="仿宋_GB2312"/>
          <w:kern w:val="2"/>
          <w:sz w:val="32"/>
          <w:szCs w:val="24"/>
          <w:shd w:val="clear" w:fill="FFFFFF"/>
          <w:lang w:val="en-US" w:eastAsia="zh-CN" w:bidi="ar"/>
        </w:rPr>
        <w:t>肌苷酸二钠（</w:t>
      </w:r>
      <w:r>
        <w:rPr>
          <w:rFonts w:hint="default" w:ascii="Times New Roman" w:hAnsi="Times New Roman" w:eastAsia="仿宋_GB2312" w:cs="Times New Roman"/>
          <w:kern w:val="2"/>
          <w:sz w:val="32"/>
          <w:szCs w:val="24"/>
          <w:shd w:val="clear" w:fill="FFFFFF"/>
          <w:lang w:val="en-US" w:eastAsia="zh-CN" w:bidi="ar"/>
        </w:rPr>
        <w:t>IMP</w:t>
      </w:r>
      <w:r>
        <w:rPr>
          <w:rFonts w:hint="eastAsia" w:ascii="Times New Roman" w:hAnsi="Times New Roman" w:eastAsia="仿宋_GB2312" w:cs="仿宋_GB2312"/>
          <w:kern w:val="2"/>
          <w:sz w:val="32"/>
          <w:szCs w:val="24"/>
          <w:shd w:val="clear" w:fill="FFFFFF"/>
          <w:lang w:val="en-US" w:eastAsia="zh-CN" w:bidi="ar"/>
        </w:rPr>
        <w:t>）与</w:t>
      </w:r>
      <w:r>
        <w:rPr>
          <w:rFonts w:hint="default" w:ascii="Times New Roman" w:hAnsi="Times New Roman" w:eastAsia="仿宋_GB2312" w:cs="Times New Roman"/>
          <w:kern w:val="2"/>
          <w:sz w:val="32"/>
          <w:szCs w:val="24"/>
          <w:shd w:val="clear" w:fill="FFFFFF"/>
          <w:lang w:val="en-US" w:eastAsia="zh-CN" w:bidi="ar"/>
        </w:rPr>
        <w:t>5</w:t>
      </w:r>
      <w:r>
        <w:rPr>
          <w:rFonts w:hint="eastAsia" w:ascii="Times New Roman" w:hAnsi="Times New Roman" w:eastAsia="仿宋_GB2312" w:cs="仿宋_GB2312"/>
          <w:kern w:val="2"/>
          <w:sz w:val="32"/>
          <w:szCs w:val="24"/>
          <w:shd w:val="clear" w:fill="FFFFFF"/>
          <w:lang w:val="en-US" w:eastAsia="zh-CN" w:bidi="ar"/>
        </w:rPr>
        <w:t>’</w:t>
      </w:r>
      <w:r>
        <w:rPr>
          <w:rFonts w:hint="default" w:ascii="Times New Roman" w:hAnsi="Times New Roman" w:eastAsia="仿宋_GB2312" w:cs="Times New Roman"/>
          <w:kern w:val="2"/>
          <w:sz w:val="32"/>
          <w:szCs w:val="24"/>
          <w:shd w:val="clear" w:fill="FFFFFF"/>
          <w:lang w:val="en-US" w:eastAsia="zh-CN" w:bidi="ar"/>
        </w:rPr>
        <w:t>-</w:t>
      </w:r>
      <w:r>
        <w:rPr>
          <w:rFonts w:hint="eastAsia" w:ascii="Times New Roman" w:hAnsi="Times New Roman" w:eastAsia="仿宋_GB2312" w:cs="仿宋_GB2312"/>
          <w:kern w:val="2"/>
          <w:sz w:val="32"/>
          <w:szCs w:val="24"/>
          <w:shd w:val="clear" w:fill="FFFFFF"/>
          <w:lang w:val="en-US" w:eastAsia="zh-CN" w:bidi="ar"/>
        </w:rPr>
        <w:t>鸟苷酸二钠（</w:t>
      </w:r>
      <w:r>
        <w:rPr>
          <w:rFonts w:hint="default" w:ascii="Times New Roman" w:hAnsi="Times New Roman" w:eastAsia="仿宋_GB2312" w:cs="Times New Roman"/>
          <w:kern w:val="2"/>
          <w:sz w:val="32"/>
          <w:szCs w:val="24"/>
          <w:shd w:val="clear" w:fill="FFFFFF"/>
          <w:lang w:val="en-US" w:eastAsia="zh-CN" w:bidi="ar"/>
        </w:rPr>
        <w:t>GMP</w:t>
      </w:r>
      <w:r>
        <w:rPr>
          <w:rFonts w:hint="eastAsia" w:ascii="Times New Roman" w:hAnsi="Times New Roman" w:eastAsia="仿宋_GB2312" w:cs="仿宋_GB2312"/>
          <w:kern w:val="2"/>
          <w:sz w:val="32"/>
          <w:szCs w:val="24"/>
          <w:shd w:val="clear" w:fill="FFFFFF"/>
          <w:lang w:val="en-US" w:eastAsia="zh-CN" w:bidi="ar"/>
        </w:rPr>
        <w:t>）是自然界中存在的</w:t>
      </w:r>
      <w:r>
        <w:rPr>
          <w:rFonts w:hint="default" w:ascii="Times New Roman" w:hAnsi="Times New Roman" w:eastAsia="仿宋_GB2312" w:cs="Times New Roman"/>
          <w:kern w:val="2"/>
          <w:sz w:val="32"/>
          <w:szCs w:val="24"/>
          <w:shd w:val="clear" w:fill="FFFFFF"/>
          <w:lang w:val="en-US" w:eastAsia="zh-CN" w:bidi="ar"/>
        </w:rPr>
        <w:t>2</w:t>
      </w:r>
      <w:r>
        <w:rPr>
          <w:rFonts w:hint="eastAsia" w:ascii="Times New Roman" w:hAnsi="Times New Roman" w:eastAsia="仿宋_GB2312" w:cs="仿宋_GB2312"/>
          <w:kern w:val="2"/>
          <w:sz w:val="32"/>
          <w:szCs w:val="24"/>
          <w:shd w:val="clear" w:fill="FFFFFF"/>
          <w:lang w:val="en-US" w:eastAsia="zh-CN" w:bidi="ar"/>
        </w:rPr>
        <w:t>种单核苷酸，具有强烈的呈味作用，与味精具有鲜味协同作用，与味精同时使用，可以使鲜味倍增。将</w:t>
      </w:r>
      <w:r>
        <w:rPr>
          <w:rFonts w:hint="default" w:ascii="Times New Roman" w:hAnsi="Times New Roman" w:eastAsia="仿宋_GB2312" w:cs="Times New Roman"/>
          <w:kern w:val="2"/>
          <w:sz w:val="32"/>
          <w:szCs w:val="24"/>
          <w:shd w:val="clear" w:fill="FFFFFF"/>
          <w:lang w:val="en-US" w:eastAsia="zh-CN" w:bidi="ar"/>
        </w:rPr>
        <w:t>IMP</w:t>
      </w:r>
      <w:r>
        <w:rPr>
          <w:rFonts w:hint="eastAsia" w:ascii="Times New Roman" w:hAnsi="Times New Roman" w:eastAsia="仿宋_GB2312" w:cs="仿宋_GB2312"/>
          <w:kern w:val="2"/>
          <w:sz w:val="32"/>
          <w:szCs w:val="24"/>
          <w:shd w:val="clear" w:fill="FFFFFF"/>
          <w:lang w:val="en-US" w:eastAsia="zh-CN" w:bidi="ar"/>
        </w:rPr>
        <w:t>与</w:t>
      </w:r>
      <w:r>
        <w:rPr>
          <w:rFonts w:hint="default" w:ascii="Times New Roman" w:hAnsi="Times New Roman" w:eastAsia="仿宋_GB2312" w:cs="Times New Roman"/>
          <w:kern w:val="2"/>
          <w:sz w:val="32"/>
          <w:szCs w:val="24"/>
          <w:shd w:val="clear" w:fill="FFFFFF"/>
          <w:lang w:val="en-US" w:eastAsia="zh-CN" w:bidi="ar"/>
        </w:rPr>
        <w:t>GMP</w:t>
      </w:r>
      <w:r>
        <w:rPr>
          <w:rFonts w:hint="eastAsia" w:ascii="Times New Roman" w:hAnsi="Times New Roman" w:eastAsia="仿宋_GB2312" w:cs="仿宋_GB2312"/>
          <w:kern w:val="2"/>
          <w:sz w:val="32"/>
          <w:szCs w:val="24"/>
          <w:shd w:val="clear" w:fill="FFFFFF"/>
          <w:lang w:val="en-US" w:eastAsia="zh-CN" w:bidi="ar"/>
        </w:rPr>
        <w:t>混合，得到的呈味核苷酸二钠（</w:t>
      </w:r>
      <w:r>
        <w:rPr>
          <w:rFonts w:hint="default" w:ascii="Times New Roman" w:hAnsi="Times New Roman" w:eastAsia="仿宋_GB2312" w:cs="Times New Roman"/>
          <w:kern w:val="2"/>
          <w:sz w:val="32"/>
          <w:szCs w:val="24"/>
          <w:shd w:val="clear" w:fill="FFFFFF"/>
          <w:lang w:val="en-US" w:eastAsia="zh-CN" w:bidi="ar"/>
        </w:rPr>
        <w:t>I+G</w:t>
      </w:r>
      <w:r>
        <w:rPr>
          <w:rFonts w:hint="eastAsia" w:ascii="Times New Roman" w:hAnsi="Times New Roman" w:eastAsia="仿宋_GB2312" w:cs="仿宋_GB2312"/>
          <w:kern w:val="2"/>
          <w:sz w:val="32"/>
          <w:szCs w:val="24"/>
          <w:shd w:val="clear" w:fill="FFFFFF"/>
          <w:lang w:val="en-US" w:eastAsia="zh-CN" w:bidi="ar"/>
        </w:rPr>
        <w:t>）混合物，呈味效果更佳，可直接加入到食品中，起增鲜作用。呈味核苷酸二钠是鸡精成分的特征指标，同时也是反映鸡精调味料质量的重要指标。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eastAsia="黑体"/>
          <w:lang w:val="en-US"/>
        </w:rPr>
      </w:pPr>
      <w:r>
        <w:rPr>
          <w:rFonts w:hint="eastAsia" w:ascii="Times New Roman" w:hAnsi="Times New Roman" w:eastAsia="黑体" w:cs="黑体"/>
          <w:kern w:val="2"/>
          <w:sz w:val="32"/>
          <w:szCs w:val="24"/>
          <w:lang w:val="en-US" w:eastAsia="zh-CN" w:bidi="ar"/>
        </w:rPr>
        <w:t>四、</w:t>
      </w:r>
      <w:r>
        <w:rPr>
          <w:rFonts w:hint="eastAsia" w:ascii="黑体" w:hAnsi="宋体" w:eastAsia="黑体" w:cs="黑体"/>
          <w:kern w:val="2"/>
          <w:sz w:val="32"/>
          <w:szCs w:val="24"/>
          <w:lang w:val="en-US" w:eastAsia="zh-CN" w:bidi="ar"/>
        </w:rPr>
        <w:t>克百威</w:t>
      </w:r>
    </w:p>
    <w:p>
      <w:pPr>
        <w:keepNext w:val="0"/>
        <w:keepLines w:val="0"/>
        <w:widowControl/>
        <w:suppressLineNumbers w:val="0"/>
        <w:shd w:val="clear" w:fill="FFFFFF"/>
        <w:snapToGrid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eastAsia="黑体"/>
          <w:bCs/>
          <w:kern w:val="0"/>
          <w:szCs w:val="32"/>
          <w:shd w:val="clear" w:fill="FFFFFF"/>
          <w:lang w:val="en-US"/>
        </w:rPr>
      </w:pPr>
      <w:r>
        <w:rPr>
          <w:rFonts w:hint="eastAsia" w:ascii="Times New Roman" w:hAnsi="Times New Roman" w:eastAsia="仿宋_GB2312" w:cs="仿宋_GB2312"/>
          <w:kern w:val="2"/>
          <w:sz w:val="32"/>
          <w:szCs w:val="24"/>
          <w:shd w:val="clear" w:fill="FFFFFF"/>
          <w:lang w:val="en-US" w:eastAsia="zh-CN" w:bidi="ar"/>
        </w:rPr>
        <w:t>克百威又名呋喃丹，是氨基甲酸酯类农药中常见的一种杀虫剂、杀螨、杀线虫剂。少量的农药残留不会引起人体急性中毒，但长期食用克百威超标的食品，可能对人体健康有一定影响。《食品安全国家标准</w:t>
      </w:r>
      <w:r>
        <w:rPr>
          <w:rFonts w:hint="default" w:ascii="Times New Roman" w:hAnsi="Times New Roman" w:eastAsia="仿宋_GB2312" w:cs="Times New Roman"/>
          <w:snapToGrid w:val="0"/>
          <w:kern w:val="2"/>
          <w:sz w:val="32"/>
          <w:szCs w:val="24"/>
          <w:shd w:val="clear" w:fill="FFFFFF"/>
          <w:lang w:val="en-US" w:eastAsia="zh-CN" w:bidi="ar"/>
        </w:rPr>
        <w:t xml:space="preserve"> </w:t>
      </w:r>
      <w:r>
        <w:rPr>
          <w:rFonts w:hint="eastAsia" w:ascii="Times New Roman" w:hAnsi="Times New Roman" w:eastAsia="仿宋_GB2312" w:cs="仿宋_GB2312"/>
          <w:kern w:val="2"/>
          <w:sz w:val="32"/>
          <w:szCs w:val="24"/>
          <w:shd w:val="clear" w:fill="FFFFFF"/>
          <w:lang w:val="en-US" w:eastAsia="zh-CN" w:bidi="ar"/>
        </w:rPr>
        <w:t>食品中农药最大残留限量》（</w:t>
      </w:r>
      <w:r>
        <w:rPr>
          <w:rFonts w:hint="default" w:ascii="Times New Roman" w:hAnsi="Times New Roman" w:eastAsia="仿宋_GB2312" w:cs="Times New Roman"/>
          <w:kern w:val="2"/>
          <w:sz w:val="32"/>
          <w:szCs w:val="24"/>
          <w:shd w:val="clear" w:fill="FFFFFF"/>
          <w:lang w:val="en-US" w:eastAsia="zh-CN" w:bidi="ar"/>
        </w:rPr>
        <w:t>GB 2763-2021</w:t>
      </w:r>
      <w:r>
        <w:rPr>
          <w:rFonts w:hint="eastAsia" w:ascii="Times New Roman" w:hAnsi="Times New Roman" w:eastAsia="仿宋_GB2312" w:cs="仿宋_GB2312"/>
          <w:kern w:val="2"/>
          <w:sz w:val="32"/>
          <w:szCs w:val="24"/>
          <w:shd w:val="clear" w:fill="FFFFFF"/>
          <w:lang w:val="en-US" w:eastAsia="zh-CN" w:bidi="ar"/>
        </w:rPr>
        <w:t>）中规定，克百威在豆类蔬菜中的最大残留限量值为</w:t>
      </w:r>
      <w:r>
        <w:rPr>
          <w:rFonts w:hint="default" w:ascii="Times New Roman" w:hAnsi="Times New Roman" w:eastAsia="仿宋_GB2312" w:cs="Times New Roman"/>
          <w:kern w:val="2"/>
          <w:sz w:val="32"/>
          <w:szCs w:val="24"/>
          <w:shd w:val="clear" w:fill="FFFFFF"/>
          <w:lang w:val="en-US" w:eastAsia="zh-CN" w:bidi="ar"/>
        </w:rPr>
        <w:t>0.02mg/kg</w:t>
      </w:r>
      <w:r>
        <w:rPr>
          <w:rFonts w:hint="eastAsia" w:ascii="Times New Roman" w:hAnsi="Times New Roman" w:eastAsia="仿宋_GB2312" w:cs="仿宋_GB2312"/>
          <w:kern w:val="2"/>
          <w:sz w:val="32"/>
          <w:szCs w:val="24"/>
          <w:shd w:val="clear" w:fill="FFFFFF"/>
          <w:lang w:val="en-US" w:eastAsia="zh-CN" w:bidi="ar"/>
        </w:rPr>
        <w:t>。豇豆中克百威超标的原因，可能是菜农为控制病情不遵守休药期规定，致使上市销售时产品中的药物残留量未降解至标准限量以下。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40" w:firstLineChars="200"/>
        <w:jc w:val="both"/>
        <w:outlineLvl w:val="0"/>
        <w:rPr>
          <w:rFonts w:eastAsia="黑体"/>
          <w:bCs/>
          <w:kern w:val="0"/>
          <w:szCs w:val="32"/>
          <w:lang w:val="en-US"/>
        </w:rPr>
      </w:pPr>
      <w:r>
        <w:rPr>
          <w:rFonts w:hint="eastAsia" w:ascii="Times New Roman" w:hAnsi="Times New Roman" w:eastAsia="黑体" w:cs="黑体"/>
          <w:bCs/>
          <w:kern w:val="0"/>
          <w:sz w:val="32"/>
          <w:szCs w:val="32"/>
          <w:lang w:val="en-US" w:eastAsia="zh-CN" w:bidi="ar"/>
        </w:rPr>
        <w:t>五、恩诺沙星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40" w:firstLineChars="200"/>
        <w:jc w:val="both"/>
        <w:rPr>
          <w:bCs/>
          <w:kern w:val="0"/>
          <w:szCs w:val="32"/>
          <w:lang w:val="en-US"/>
        </w:rPr>
      </w:pPr>
      <w:r>
        <w:rPr>
          <w:rFonts w:hint="eastAsia" w:ascii="Times New Roman" w:hAnsi="Times New Roman" w:eastAsia="仿宋_GB2312" w:cs="仿宋_GB2312"/>
          <w:bCs/>
          <w:kern w:val="0"/>
          <w:sz w:val="32"/>
          <w:szCs w:val="32"/>
          <w:lang w:val="en-US" w:eastAsia="zh-CN" w:bidi="ar"/>
        </w:rPr>
        <w:t>恩诺沙星属第三代喹诺酮类药物，是一类人工合成的广谱抗菌药，用于治疗动物的皮肤感染、呼吸道感染等，是动物专属用药。长期食用恩诺沙星残留超标的食品，可能在人体中蓄积，进而对人体机能产生危害，还可能使人体产生耐药性菌株。《食品安全国家标准</w:t>
      </w:r>
      <w:r>
        <w:rPr>
          <w:rFonts w:hint="default" w:ascii="Times New Roman" w:hAnsi="Times New Roman" w:eastAsia="仿宋_GB2312" w:cs="Times New Roman"/>
          <w:bCs/>
          <w:kern w:val="0"/>
          <w:sz w:val="32"/>
          <w:szCs w:val="32"/>
          <w:lang w:val="en-US" w:eastAsia="zh-CN" w:bidi="ar"/>
        </w:rPr>
        <w:t xml:space="preserve"> </w:t>
      </w:r>
      <w:r>
        <w:rPr>
          <w:rFonts w:hint="eastAsia" w:ascii="Times New Roman" w:hAnsi="Times New Roman" w:eastAsia="仿宋_GB2312" w:cs="仿宋_GB2312"/>
          <w:bCs/>
          <w:kern w:val="0"/>
          <w:sz w:val="32"/>
          <w:szCs w:val="32"/>
          <w:lang w:val="en-US" w:eastAsia="zh-CN" w:bidi="ar"/>
        </w:rPr>
        <w:t>食品中兽药最大残留限量》（</w:t>
      </w:r>
      <w:r>
        <w:rPr>
          <w:rFonts w:hint="default" w:ascii="Times New Roman" w:hAnsi="Times New Roman" w:eastAsia="仿宋_GB2312" w:cs="Times New Roman"/>
          <w:bCs/>
          <w:kern w:val="0"/>
          <w:sz w:val="32"/>
          <w:szCs w:val="32"/>
          <w:lang w:val="en-US" w:eastAsia="zh-CN" w:bidi="ar"/>
        </w:rPr>
        <w:t>GB 31650-2019</w:t>
      </w:r>
      <w:r>
        <w:rPr>
          <w:rFonts w:hint="eastAsia" w:ascii="Times New Roman" w:hAnsi="Times New Roman" w:eastAsia="仿宋_GB2312" w:cs="仿宋_GB2312"/>
          <w:bCs/>
          <w:kern w:val="0"/>
          <w:sz w:val="32"/>
          <w:szCs w:val="32"/>
          <w:lang w:val="en-US" w:eastAsia="zh-CN" w:bidi="ar"/>
        </w:rPr>
        <w:t>）中规定，恩诺沙星（以恩诺沙星和环丙沙星之和计）可用于牛、羊、猪、兔、禽等食用畜禽及其他动物，在牛、禽和其他动物的肌肉中的最大残留限量值为</w:t>
      </w:r>
      <w:r>
        <w:rPr>
          <w:rFonts w:hint="default" w:ascii="Times New Roman" w:hAnsi="Times New Roman" w:eastAsia="仿宋_GB2312" w:cs="Times New Roman"/>
          <w:bCs/>
          <w:kern w:val="0"/>
          <w:sz w:val="32"/>
          <w:szCs w:val="32"/>
          <w:lang w:val="en-US" w:eastAsia="zh-CN" w:bidi="ar"/>
        </w:rPr>
        <w:t>100μg/kg</w:t>
      </w:r>
      <w:r>
        <w:rPr>
          <w:rFonts w:hint="eastAsia" w:ascii="Times New Roman" w:hAnsi="Times New Roman" w:eastAsia="仿宋_GB2312" w:cs="仿宋_GB2312"/>
          <w:bCs/>
          <w:kern w:val="0"/>
          <w:sz w:val="32"/>
          <w:szCs w:val="32"/>
          <w:lang w:val="en-US" w:eastAsia="zh-CN" w:bidi="ar"/>
        </w:rPr>
        <w:t>。恩诺沙星超标的原因可能是养殖户在养殖过程中违规使用相关兽药。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40" w:firstLineChars="200"/>
        <w:jc w:val="both"/>
        <w:outlineLvl w:val="0"/>
        <w:rPr>
          <w:rFonts w:eastAsia="黑体"/>
          <w:bCs/>
          <w:kern w:val="0"/>
          <w:szCs w:val="32"/>
          <w:lang w:val="en-US"/>
        </w:rPr>
      </w:pPr>
      <w:r>
        <w:rPr>
          <w:rFonts w:hint="eastAsia" w:ascii="Times New Roman" w:hAnsi="Times New Roman" w:eastAsia="黑体" w:cs="黑体"/>
          <w:bCs/>
          <w:kern w:val="0"/>
          <w:sz w:val="32"/>
          <w:szCs w:val="32"/>
          <w:lang w:val="en-US" w:eastAsia="zh-CN" w:bidi="ar"/>
        </w:rPr>
        <w:t>六、</w:t>
      </w:r>
      <w:r>
        <w:rPr>
          <w:rFonts w:hint="eastAsia" w:ascii="Times New Roman" w:hAnsi="Times New Roman" w:eastAsia="黑体" w:cs="黑体"/>
          <w:kern w:val="2"/>
          <w:sz w:val="32"/>
          <w:szCs w:val="32"/>
          <w:lang w:val="en-US" w:eastAsia="zh-CN" w:bidi="ar"/>
        </w:rPr>
        <w:t>铅（以</w:t>
      </w:r>
      <w:r>
        <w:rPr>
          <w:rFonts w:hint="default" w:ascii="Times New Roman" w:hAnsi="Times New Roman" w:eastAsia="黑体" w:cs="Times New Roman"/>
          <w:kern w:val="2"/>
          <w:sz w:val="32"/>
          <w:szCs w:val="32"/>
          <w:lang w:val="en-US" w:eastAsia="zh-CN" w:bidi="ar"/>
        </w:rPr>
        <w:t>Pb</w:t>
      </w:r>
      <w:r>
        <w:rPr>
          <w:rFonts w:hint="eastAsia" w:ascii="Times New Roman" w:hAnsi="Times New Roman" w:eastAsia="黑体" w:cs="黑体"/>
          <w:kern w:val="2"/>
          <w:sz w:val="32"/>
          <w:szCs w:val="32"/>
          <w:lang w:val="en-US" w:eastAsia="zh-CN" w:bidi="ar"/>
        </w:rPr>
        <w:t>计）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40" w:firstLineChars="200"/>
        <w:jc w:val="both"/>
        <w:rPr>
          <w:bCs/>
          <w:kern w:val="0"/>
          <w:szCs w:val="32"/>
          <w:lang w:val="en-US"/>
        </w:rPr>
      </w:pPr>
      <w:r>
        <w:rPr>
          <w:rFonts w:hint="eastAsia" w:ascii="Times New Roman" w:hAnsi="Times New Roman" w:eastAsia="仿宋_GB2312" w:cs="仿宋_GB2312"/>
          <w:bCs/>
          <w:kern w:val="0"/>
          <w:sz w:val="32"/>
          <w:szCs w:val="32"/>
          <w:lang w:val="en-US" w:eastAsia="zh-CN" w:bidi="ar"/>
        </w:rPr>
        <w:t>铅是最常见的重金属污染物，是一种严重危害人体健康的重金属元素，可在人体内蓄积。食品安全国家标准</w:t>
      </w:r>
      <w:r>
        <w:rPr>
          <w:rFonts w:hint="default" w:ascii="Times New Roman" w:hAnsi="Times New Roman" w:eastAsia="仿宋_GB2312" w:cs="Times New Roman"/>
          <w:bCs/>
          <w:kern w:val="0"/>
          <w:sz w:val="32"/>
          <w:szCs w:val="32"/>
          <w:lang w:val="en-US" w:eastAsia="zh-CN" w:bidi="ar"/>
        </w:rPr>
        <w:t xml:space="preserve"> </w:t>
      </w:r>
      <w:r>
        <w:rPr>
          <w:rFonts w:hint="eastAsia" w:ascii="Times New Roman" w:hAnsi="Times New Roman" w:eastAsia="仿宋_GB2312" w:cs="仿宋_GB2312"/>
          <w:bCs/>
          <w:kern w:val="0"/>
          <w:sz w:val="32"/>
          <w:szCs w:val="32"/>
          <w:lang w:val="en-US" w:eastAsia="zh-CN" w:bidi="ar"/>
        </w:rPr>
        <w:t>食品中污染物限量》（</w:t>
      </w:r>
      <w:r>
        <w:rPr>
          <w:rFonts w:hint="default" w:ascii="Times New Roman" w:hAnsi="Times New Roman" w:eastAsia="仿宋_GB2312" w:cs="Times New Roman"/>
          <w:bCs/>
          <w:kern w:val="0"/>
          <w:sz w:val="32"/>
          <w:szCs w:val="32"/>
          <w:lang w:val="en-US" w:eastAsia="zh-CN" w:bidi="ar"/>
        </w:rPr>
        <w:t>GB 2762-2017</w:t>
      </w:r>
      <w:r>
        <w:rPr>
          <w:rFonts w:hint="eastAsia" w:ascii="Times New Roman" w:hAnsi="Times New Roman" w:eastAsia="仿宋_GB2312" w:cs="仿宋_GB2312"/>
          <w:bCs/>
          <w:kern w:val="0"/>
          <w:sz w:val="32"/>
          <w:szCs w:val="32"/>
          <w:lang w:val="en-US" w:eastAsia="zh-CN" w:bidi="ar"/>
        </w:rPr>
        <w:t>）中规定，藻类及其制品中铅的最大限量值为</w:t>
      </w:r>
      <w:r>
        <w:rPr>
          <w:rFonts w:hint="default" w:ascii="Times New Roman" w:hAnsi="Times New Roman" w:eastAsia="仿宋_GB2312" w:cs="Times New Roman"/>
          <w:bCs/>
          <w:kern w:val="0"/>
          <w:sz w:val="32"/>
          <w:szCs w:val="32"/>
          <w:lang w:val="en-US" w:eastAsia="zh-CN" w:bidi="ar"/>
        </w:rPr>
        <w:t>1.0mg/kg</w:t>
      </w:r>
      <w:r>
        <w:rPr>
          <w:rFonts w:hint="eastAsia" w:ascii="Times New Roman" w:hAnsi="Times New Roman" w:eastAsia="仿宋_GB2312" w:cs="仿宋_GB2312"/>
          <w:bCs/>
          <w:kern w:val="0"/>
          <w:sz w:val="32"/>
          <w:szCs w:val="32"/>
          <w:lang w:val="en-US" w:eastAsia="zh-CN" w:bidi="ar"/>
        </w:rPr>
        <w:t>（干重计），长期摄入铅含量超标的食品，会对血液系统、神经系统产生损害。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40" w:firstLineChars="200"/>
        <w:jc w:val="both"/>
        <w:outlineLvl w:val="0"/>
        <w:rPr>
          <w:rFonts w:eastAsia="黑体"/>
          <w:bCs/>
          <w:kern w:val="0"/>
          <w:szCs w:val="32"/>
          <w:lang w:val="en-US"/>
        </w:rPr>
      </w:pPr>
      <w:r>
        <w:rPr>
          <w:rFonts w:hint="eastAsia" w:ascii="Times New Roman" w:hAnsi="Times New Roman" w:eastAsia="黑体" w:cs="黑体"/>
          <w:bCs/>
          <w:kern w:val="0"/>
          <w:sz w:val="32"/>
          <w:szCs w:val="32"/>
          <w:lang w:val="en-US" w:eastAsia="zh-CN" w:bidi="ar"/>
        </w:rPr>
        <w:t>七、</w:t>
      </w:r>
      <w:r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  <w:t>铜绿假单胞菌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40" w:firstLineChars="200"/>
        <w:jc w:val="both"/>
        <w:rPr>
          <w:bCs/>
          <w:kern w:val="0"/>
          <w:szCs w:val="32"/>
          <w:lang w:val="en-US"/>
        </w:rPr>
      </w:pPr>
      <w:r>
        <w:rPr>
          <w:rFonts w:hint="eastAsia" w:ascii="Times New Roman" w:hAnsi="Times New Roman" w:eastAsia="仿宋_GB2312" w:cs="仿宋_GB2312"/>
          <w:bCs/>
          <w:kern w:val="0"/>
          <w:sz w:val="32"/>
          <w:szCs w:val="32"/>
          <w:lang w:val="en-US" w:eastAsia="zh-CN" w:bidi="ar"/>
        </w:rPr>
        <w:t>铜绿假单胞菌是一种条件致病菌</w:t>
      </w:r>
      <w:r>
        <w:rPr>
          <w:rFonts w:hint="default" w:ascii="Times New Roman" w:hAnsi="Times New Roman" w:eastAsia="仿宋_GB2312" w:cs="Times New Roman"/>
          <w:bCs/>
          <w:kern w:val="0"/>
          <w:sz w:val="32"/>
          <w:szCs w:val="32"/>
          <w:lang w:val="en-US" w:eastAsia="zh-CN" w:bidi="ar"/>
        </w:rPr>
        <w:t>,</w:t>
      </w:r>
      <w:r>
        <w:rPr>
          <w:rFonts w:hint="eastAsia" w:ascii="Times New Roman" w:hAnsi="Times New Roman" w:eastAsia="仿宋_GB2312" w:cs="仿宋_GB2312"/>
          <w:bCs/>
          <w:kern w:val="0"/>
          <w:sz w:val="32"/>
          <w:szCs w:val="32"/>
          <w:lang w:val="en-US" w:eastAsia="zh-CN" w:bidi="ar"/>
        </w:rPr>
        <w:t>广泛分布于各种水、空气、正常人的皮肤、呼吸道和肠道等，易在潮湿的环境存活。如果桶装水的消费周期较长，营养要求较低的铜绿假单胞菌可生长繁殖，可能会引起味道、气味和浊度的改变。检出的原因主要是水源带入或者是生产过程中工艺控制不严，还有是包装材料清洗消毒有缺陷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40" w:firstLineChars="200"/>
        <w:jc w:val="both"/>
        <w:outlineLvl w:val="0"/>
        <w:rPr>
          <w:rFonts w:eastAsia="黑体"/>
          <w:bCs/>
          <w:kern w:val="0"/>
          <w:szCs w:val="32"/>
          <w:lang w:val="en-US"/>
        </w:rPr>
      </w:pPr>
      <w:r>
        <w:rPr>
          <w:rFonts w:hint="eastAsia" w:ascii="Times New Roman" w:hAnsi="Times New Roman" w:eastAsia="黑体" w:cs="黑体"/>
          <w:bCs/>
          <w:kern w:val="0"/>
          <w:sz w:val="32"/>
          <w:szCs w:val="32"/>
          <w:lang w:val="en-US" w:eastAsia="zh-CN" w:bidi="ar"/>
        </w:rPr>
        <w:t>八、脱氢乙酸及其钠盐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40" w:firstLineChars="200"/>
        <w:jc w:val="both"/>
        <w:rPr>
          <w:bCs/>
          <w:kern w:val="0"/>
          <w:szCs w:val="32"/>
          <w:lang w:val="en-US"/>
        </w:rPr>
      </w:pPr>
      <w:r>
        <w:rPr>
          <w:rFonts w:hint="eastAsia" w:ascii="Times New Roman" w:hAnsi="Times New Roman" w:eastAsia="仿宋_GB2312" w:cs="仿宋_GB2312"/>
          <w:bCs/>
          <w:kern w:val="0"/>
          <w:sz w:val="32"/>
          <w:szCs w:val="32"/>
          <w:lang w:val="en-US" w:eastAsia="zh-CN" w:bidi="ar"/>
        </w:rPr>
        <w:t>脱氢乙酸及其钠盐作为食品添加剂，广泛用作防腐剂，对霉菌具有较强的抑制作用。脱氢乙酸及其钠盐不合格的原因可能是商家为防止面制品腐败变质，使用了该添加剂，或者使用的复配添加剂中含有该添加剂使得重复使用而超限量。长期大量食用脱氢乙酸及其钠盐的面制品，可能对人体健康产生一定影响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eastAsia="黑体"/>
          <w:lang w:val="en-US"/>
        </w:rPr>
      </w:pPr>
      <w:r>
        <w:rPr>
          <w:rFonts w:hint="eastAsia" w:ascii="Times New Roman" w:hAnsi="Times New Roman" w:eastAsia="黑体" w:cs="黑体"/>
          <w:kern w:val="2"/>
          <w:sz w:val="32"/>
          <w:szCs w:val="24"/>
          <w:lang w:val="en-US" w:eastAsia="zh-CN" w:bidi="ar"/>
        </w:rPr>
        <w:t>九、</w:t>
      </w:r>
      <w:r>
        <w:rPr>
          <w:rFonts w:hint="eastAsia" w:ascii="黑体" w:hAnsi="宋体" w:eastAsia="黑体" w:cs="黑体"/>
          <w:kern w:val="2"/>
          <w:sz w:val="32"/>
          <w:szCs w:val="24"/>
          <w:lang w:val="en-US" w:eastAsia="zh-CN" w:bidi="ar"/>
        </w:rPr>
        <w:t>氯霉素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40" w:firstLineChars="200"/>
        <w:jc w:val="both"/>
        <w:rPr>
          <w:bCs/>
          <w:kern w:val="0"/>
          <w:szCs w:val="32"/>
          <w:lang w:val="en-US"/>
        </w:rPr>
      </w:pPr>
      <w:r>
        <w:rPr>
          <w:rFonts w:hint="eastAsia" w:ascii="Times New Roman" w:hAnsi="Times New Roman" w:eastAsia="仿宋_GB2312" w:cs="仿宋_GB2312"/>
          <w:kern w:val="2"/>
          <w:sz w:val="32"/>
          <w:szCs w:val="24"/>
          <w:shd w:val="clear" w:fill="FFFFFF"/>
          <w:lang w:val="en-US" w:eastAsia="zh-CN" w:bidi="ar"/>
        </w:rPr>
        <w:t>氯霉素是酰胺醇类抗生素，对革兰氏阳性菌和革兰氏阴性菌均有较好的抑制作用。氯霉素残留一般不会导致对人体的急性毒性作用；长期大量摄入氯霉素残留超标的食品，可能在人体内蓄积，产生耐药并对同类药物有交叉耐药，引起胃肠道症状、肝功能异常、血液系统异常等。《食品动物中禁止使用的药品及其他化合物清单》（农业农村部公告第</w:t>
      </w:r>
      <w:r>
        <w:rPr>
          <w:rFonts w:hint="default" w:ascii="Times New Roman" w:hAnsi="Times New Roman" w:eastAsia="仿宋_GB2312" w:cs="Times New Roman"/>
          <w:kern w:val="2"/>
          <w:sz w:val="32"/>
          <w:szCs w:val="24"/>
          <w:shd w:val="clear" w:fill="FFFFFF"/>
          <w:lang w:val="en-US" w:eastAsia="zh-CN" w:bidi="ar"/>
        </w:rPr>
        <w:t>250</w:t>
      </w:r>
      <w:r>
        <w:rPr>
          <w:rFonts w:hint="eastAsia" w:ascii="Times New Roman" w:hAnsi="Times New Roman" w:eastAsia="仿宋_GB2312" w:cs="仿宋_GB2312"/>
          <w:kern w:val="2"/>
          <w:sz w:val="32"/>
          <w:szCs w:val="24"/>
          <w:shd w:val="clear" w:fill="FFFFFF"/>
          <w:lang w:val="en-US" w:eastAsia="zh-CN" w:bidi="ar"/>
        </w:rPr>
        <w:t>号）中将氯霉素列为在食品动物中禁止使用的药品及其他化合物，在食品动物中不得检出。鸡肉中检出氯霉素的原因，可能是在养殖过程中违规使用。</w:t>
      </w:r>
    </w:p>
    <w:p/>
    <w:sectPr>
      <w:pgSz w:w="12240" w:h="15840"/>
      <w:pgMar w:top="1440" w:right="1800" w:bottom="1440" w:left="1800" w:header="720" w:footer="720" w:gutter="0"/>
      <w:paperSrc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fixed"/>
    <w:sig w:usb0="800002BF" w:usb1="38CF7CFA" w:usb2="00000016" w:usb3="00000000" w:csb0="00040001" w:csb1="00000000"/>
  </w:font>
  <w:font w:name="@黑体">
    <w:panose1 w:val="02010609060101010101"/>
    <w:charset w:val="86"/>
    <w:family w:val="auto"/>
    <w:pitch w:val="fixed"/>
    <w:sig w:usb0="800002BF" w:usb1="38CF7CFA" w:usb2="00000016" w:usb3="00000000" w:csb0="00040001" w:csb1="00000000"/>
  </w:font>
  <w:font w:name="Cambria Math">
    <w:panose1 w:val="02040503050406030204"/>
    <w:charset w:val="00"/>
    <w:family w:val="auto"/>
    <w:pitch w:val="variable"/>
    <w:sig w:usb0="E00002FF" w:usb1="420024FF" w:usb2="00000000" w:usb3="00000000" w:csb0="2000019F" w:csb1="00000000"/>
  </w:font>
  <w:font w:name="仿宋_GB2312">
    <w:panose1 w:val="02010609030101010101"/>
    <w:charset w:val="86"/>
    <w:family w:val="auto"/>
    <w:pitch w:val="fixed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@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@仿宋">
    <w:panose1 w:val="02010609060101010101"/>
    <w:charset w:val="86"/>
    <w:family w:val="auto"/>
    <w:pitch w:val="fixed"/>
    <w:sig w:usb0="800002BF" w:usb1="38CF7CFA" w:usb2="00000016" w:usb3="00000000" w:csb0="00040001" w:csb1="00000000"/>
  </w:font>
  <w:font w:name="@仿宋_GB2312">
    <w:panose1 w:val="02010609030101010101"/>
    <w:charset w:val="86"/>
    <w:family w:val="auto"/>
    <w:pitch w:val="fixed"/>
    <w:sig w:usb0="00000001" w:usb1="080E0000" w:usb2="00000000" w:usb3="00000000" w:csb0="00040000" w:csb1="00000000"/>
  </w:font>
  <w:font w:name="@宋体">
    <w:panose1 w:val="02010600030101010101"/>
    <w:charset w:val="86"/>
    <w:family w:val="auto"/>
    <w:pitch w:val="variable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D21868"/>
    <w:rsid w:val="7BD2186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2023-02-16T08:25:00Z</dcterms:created>
  <dc:creator>罗钰珊</dc:creator>
  <cp:lastModifiedBy>罗钰珊</cp:lastModifiedBy>
  <dcterms:modified xsi:type="dcterms:W3CDTF">2023-02-16T08:26:37Z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60C6BDC4E5EC45DC8C4A680188F52186</vt:lpwstr>
  </property>
</Properties>
</file>