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90" w:lineRule="exact"/>
        <w:ind w:left="0" w:right="0"/>
        <w:jc w:val="both"/>
        <w:rPr>
          <w:lang w:val="en-US"/>
        </w:rPr>
      </w:pPr>
      <w:bookmarkStart w:id="0" w:name="_GoBack"/>
      <w:bookmarkEnd w:id="0"/>
      <w:r>
        <w:rPr>
          <w:rFonts w:hint="eastAsia" w:ascii="Times New Roman" w:hAnsi="Times New Roman" w:eastAsia="黑体" w:cs="黑体"/>
          <w:kern w:val="2"/>
          <w:sz w:val="32"/>
          <w:szCs w:val="24"/>
          <w:lang w:val="en-US" w:eastAsia="zh-CN" w:bidi="ar"/>
        </w:rPr>
        <w:t>附件</w:t>
      </w:r>
      <w:r>
        <w:rPr>
          <w:rFonts w:hint="default" w:ascii="Times New Roman" w:hAnsi="Times New Roman" w:eastAsia="黑体" w:cs="Times New Roman"/>
          <w:kern w:val="2"/>
          <w:sz w:val="32"/>
          <w:szCs w:val="24"/>
          <w:lang w:val="en-US" w:eastAsia="zh-CN" w:bidi="ar"/>
        </w:rPr>
        <w:t>16</w:t>
      </w:r>
    </w:p>
    <w:p>
      <w:pPr>
        <w:keepNext w:val="0"/>
        <w:keepLines w:val="0"/>
        <w:widowControl/>
        <w:suppressLineNumbers w:val="0"/>
        <w:shd w:val="clear" w:fill="FFFFFF"/>
        <w:snapToGrid w:val="0"/>
        <w:spacing w:before="0" w:beforeAutospacing="0" w:after="0" w:afterAutospacing="0" w:line="590" w:lineRule="exact"/>
        <w:ind w:left="0" w:right="0"/>
        <w:jc w:val="center"/>
        <w:rPr>
          <w:rFonts w:hint="eastAsia" w:ascii="方正小标宋简体" w:hAnsi="仿宋" w:eastAsia="方正小标宋简体" w:cs="仿宋"/>
          <w:sz w:val="44"/>
          <w:szCs w:val="44"/>
          <w:shd w:val="clear" w:fill="FFFFFF"/>
          <w:lang w:val="en-US"/>
        </w:rPr>
      </w:pPr>
      <w:r>
        <w:rPr>
          <w:rFonts w:hint="eastAsia" w:ascii="方正小标宋简体" w:hAnsi="仿宋" w:eastAsia="方正小标宋简体" w:cs="仿宋"/>
          <w:kern w:val="2"/>
          <w:sz w:val="44"/>
          <w:szCs w:val="44"/>
          <w:shd w:val="clear" w:fill="FFFFFF"/>
          <w:lang w:val="en-US" w:eastAsia="zh-CN" w:bidi="ar"/>
        </w:rPr>
        <w:t>关于部分抽检项目的说明</w:t>
      </w:r>
    </w:p>
    <w:p>
      <w:pPr>
        <w:keepNext w:val="0"/>
        <w:keepLines w:val="0"/>
        <w:widowControl/>
        <w:suppressLineNumbers w:val="0"/>
        <w:shd w:val="clear" w:fill="FFFFFF"/>
        <w:snapToGrid w:val="0"/>
        <w:spacing w:before="0" w:beforeAutospacing="0" w:after="0" w:afterAutospacing="0" w:line="590" w:lineRule="exact"/>
        <w:ind w:left="0" w:right="0"/>
        <w:jc w:val="both"/>
        <w:rPr>
          <w:shd w:val="clear" w:fill="FFFFFF"/>
          <w:lang w:val="en-US"/>
        </w:rPr>
      </w:pPr>
    </w:p>
    <w:p>
      <w:pPr>
        <w:keepNext w:val="0"/>
        <w:keepLines w:val="0"/>
        <w:widowControl w:val="0"/>
        <w:suppressLineNumbers w:val="0"/>
        <w:spacing w:before="0" w:beforeAutospacing="0" w:after="0" w:afterAutospacing="0" w:line="600" w:lineRule="exact"/>
        <w:ind w:left="0" w:right="0" w:firstLine="640" w:firstLineChars="200"/>
        <w:jc w:val="both"/>
        <w:rPr>
          <w:rFonts w:eastAsia="黑体"/>
          <w:lang w:val="en-US"/>
        </w:rPr>
      </w:pPr>
      <w:r>
        <w:rPr>
          <w:rFonts w:hint="eastAsia" w:ascii="Times New Roman" w:hAnsi="Times New Roman" w:eastAsia="黑体" w:cs="黑体"/>
          <w:kern w:val="2"/>
          <w:sz w:val="32"/>
          <w:szCs w:val="24"/>
          <w:lang w:val="en-US" w:eastAsia="zh-CN" w:bidi="ar"/>
        </w:rPr>
        <w:t>一、</w:t>
      </w:r>
      <w:r>
        <w:rPr>
          <w:rFonts w:hint="eastAsia" w:ascii="黑体" w:hAnsi="宋体" w:eastAsia="黑体" w:cs="黑体"/>
          <w:kern w:val="2"/>
          <w:sz w:val="32"/>
          <w:szCs w:val="24"/>
          <w:lang w:val="en-US" w:eastAsia="zh-CN" w:bidi="ar"/>
        </w:rPr>
        <w:t>噻虫胺</w:t>
      </w:r>
    </w:p>
    <w:p>
      <w:pPr>
        <w:keepNext w:val="0"/>
        <w:keepLines w:val="0"/>
        <w:widowControl/>
        <w:suppressLineNumbers w:val="0"/>
        <w:shd w:val="clear" w:fill="FFFFFF"/>
        <w:snapToGrid w:val="0"/>
        <w:spacing w:before="0" w:beforeAutospacing="0" w:after="0" w:afterAutospacing="0" w:line="590" w:lineRule="exact"/>
        <w:ind w:left="0" w:right="0" w:firstLine="640" w:firstLineChars="200"/>
        <w:jc w:val="both"/>
        <w:rPr>
          <w:shd w:val="clear" w:fill="FFFFFF"/>
          <w:lang w:val="en-US"/>
        </w:rPr>
      </w:pPr>
      <w:r>
        <w:rPr>
          <w:rFonts w:hint="eastAsia" w:ascii="Times New Roman" w:hAnsi="Times New Roman" w:eastAsia="仿宋_GB2312" w:cs="仿宋_GB2312"/>
          <w:kern w:val="2"/>
          <w:sz w:val="32"/>
          <w:szCs w:val="24"/>
          <w:shd w:val="clear" w:fill="FFFFFF"/>
          <w:lang w:val="en-US" w:eastAsia="zh-CN" w:bidi="ar"/>
        </w:rPr>
        <w:t>噻虫胺是新烟碱类中的一种杀虫剂，具有高效、广谱、用量少、毒性低、药效持效期长、对作物无药害、使用安全、与常规农药无交互抗性等优点，有卓越的内吸和渗透作用，是替代高毒有机磷农药的又一品种。噻虫胺超标原因可能是为快速控制虫害加大用药量或未遵守采摘间隔期规定，致使上市销售时产品中的药物残留量未降解至标准限量以下。</w:t>
      </w:r>
    </w:p>
    <w:p>
      <w:pPr>
        <w:keepNext w:val="0"/>
        <w:keepLines w:val="0"/>
        <w:widowControl w:val="0"/>
        <w:suppressLineNumbers w:val="0"/>
        <w:spacing w:before="0" w:beforeAutospacing="0" w:after="0" w:afterAutospacing="0" w:line="600" w:lineRule="exact"/>
        <w:ind w:left="0" w:right="0" w:firstLine="640" w:firstLineChars="200"/>
        <w:jc w:val="both"/>
        <w:rPr>
          <w:rFonts w:eastAsia="黑体"/>
          <w:lang w:val="en-US"/>
        </w:rPr>
      </w:pPr>
      <w:r>
        <w:rPr>
          <w:rFonts w:hint="eastAsia" w:ascii="Times New Roman" w:hAnsi="Times New Roman" w:eastAsia="黑体" w:cs="黑体"/>
          <w:kern w:val="2"/>
          <w:sz w:val="32"/>
          <w:szCs w:val="24"/>
          <w:lang w:val="en-US" w:eastAsia="zh-CN" w:bidi="ar"/>
        </w:rPr>
        <w:t>二、噻虫嗪</w:t>
      </w:r>
    </w:p>
    <w:p>
      <w:pPr>
        <w:keepNext w:val="0"/>
        <w:keepLines w:val="0"/>
        <w:widowControl/>
        <w:suppressLineNumbers w:val="0"/>
        <w:shd w:val="clear" w:fill="FFFFFF"/>
        <w:snapToGrid w:val="0"/>
        <w:spacing w:before="0" w:beforeAutospacing="0" w:after="0" w:afterAutospacing="0" w:line="590" w:lineRule="exact"/>
        <w:ind w:left="0" w:right="0" w:firstLine="640" w:firstLineChars="200"/>
        <w:jc w:val="both"/>
        <w:rPr>
          <w:shd w:val="clear" w:fill="FFFFFF"/>
          <w:lang w:val="en-US"/>
        </w:rPr>
      </w:pPr>
      <w:r>
        <w:rPr>
          <w:rFonts w:hint="eastAsia" w:ascii="Times New Roman" w:hAnsi="Times New Roman" w:eastAsia="仿宋_GB2312" w:cs="仿宋_GB2312"/>
          <w:kern w:val="2"/>
          <w:sz w:val="32"/>
          <w:szCs w:val="32"/>
          <w:shd w:val="clear" w:fill="FFFFFF"/>
          <w:lang w:val="en-US" w:eastAsia="zh-CN" w:bidi="ar"/>
        </w:rPr>
        <w:t>噻虫嗪是烟碱类杀虫剂，具有胃毒、触杀和内吸作用，对蚜虫等有较好防效。少量的残留不会引起人体急性中毒，但长期食用噻虫嗪超标的食品，对人体健康可能有一定影响。《食品安全国家标准</w:t>
      </w:r>
      <w:r>
        <w:rPr>
          <w:rFonts w:hint="default" w:ascii="Times New Roman" w:hAnsi="Times New Roman" w:eastAsia="仿宋_GB2312" w:cs="Times New Roman"/>
          <w:kern w:val="2"/>
          <w:sz w:val="32"/>
          <w:szCs w:val="32"/>
          <w:shd w:val="clear" w:fill="FFFFFF"/>
          <w:lang w:val="en-US" w:eastAsia="zh-CN" w:bidi="ar"/>
        </w:rPr>
        <w:t xml:space="preserve"> </w:t>
      </w:r>
      <w:r>
        <w:rPr>
          <w:rFonts w:hint="eastAsia" w:ascii="Times New Roman" w:hAnsi="Times New Roman" w:eastAsia="仿宋_GB2312" w:cs="仿宋_GB2312"/>
          <w:kern w:val="2"/>
          <w:sz w:val="32"/>
          <w:szCs w:val="32"/>
          <w:shd w:val="clear" w:fill="FFFFFF"/>
          <w:lang w:val="en-US" w:eastAsia="zh-CN" w:bidi="ar"/>
        </w:rPr>
        <w:t>食品中农药最大残留限量》（</w:t>
      </w:r>
      <w:r>
        <w:rPr>
          <w:rFonts w:hint="default" w:ascii="Times New Roman" w:hAnsi="Times New Roman" w:eastAsia="仿宋_GB2312" w:cs="Times New Roman"/>
          <w:kern w:val="2"/>
          <w:sz w:val="32"/>
          <w:szCs w:val="32"/>
          <w:shd w:val="clear" w:fill="FFFFFF"/>
          <w:lang w:val="en-US" w:eastAsia="zh-CN" w:bidi="ar"/>
        </w:rPr>
        <w:t>GB 2763-2021</w:t>
      </w:r>
      <w:r>
        <w:rPr>
          <w:rFonts w:hint="eastAsia" w:ascii="Times New Roman" w:hAnsi="Times New Roman" w:eastAsia="仿宋_GB2312" w:cs="仿宋_GB2312"/>
          <w:kern w:val="2"/>
          <w:sz w:val="32"/>
          <w:szCs w:val="32"/>
          <w:shd w:val="clear" w:fill="FFFFFF"/>
          <w:lang w:val="en-US" w:eastAsia="zh-CN" w:bidi="ar"/>
        </w:rPr>
        <w:t>）中规定，噻虫嗪在豆类蔬菜中的最大残留限量值为</w:t>
      </w:r>
      <w:r>
        <w:rPr>
          <w:rFonts w:hint="default" w:ascii="Times New Roman" w:hAnsi="Times New Roman" w:eastAsia="仿宋_GB2312" w:cs="Times New Roman"/>
          <w:kern w:val="2"/>
          <w:sz w:val="32"/>
          <w:szCs w:val="32"/>
          <w:shd w:val="clear" w:fill="FFFFFF"/>
          <w:lang w:val="en-US" w:eastAsia="zh-CN" w:bidi="ar"/>
        </w:rPr>
        <w:t>0.3mg/kg</w:t>
      </w:r>
      <w:r>
        <w:rPr>
          <w:rFonts w:hint="eastAsia" w:ascii="Times New Roman" w:hAnsi="Times New Roman" w:eastAsia="仿宋_GB2312" w:cs="仿宋_GB2312"/>
          <w:kern w:val="2"/>
          <w:sz w:val="32"/>
          <w:szCs w:val="32"/>
          <w:shd w:val="clear" w:fill="FFFFFF"/>
          <w:lang w:val="en-US" w:eastAsia="zh-CN" w:bidi="ar"/>
        </w:rPr>
        <w:t>。豇豆中噻虫嗪残留量超标的原因，可能是为快速控制虫害，加大用药量或未遵守采摘间隔期规定，致使上市销售的产品中残留量超标</w:t>
      </w:r>
      <w:r>
        <w:rPr>
          <w:rFonts w:hint="eastAsia" w:ascii="Times New Roman" w:hAnsi="Times New Roman" w:eastAsia="仿宋_GB2312" w:cs="仿宋_GB2312"/>
          <w:kern w:val="2"/>
          <w:sz w:val="32"/>
          <w:szCs w:val="24"/>
          <w:shd w:val="clear" w:fill="FFFFFF"/>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rPr>
          <w:rFonts w:eastAsia="黑体"/>
          <w:lang w:val="en-US"/>
        </w:rPr>
      </w:pPr>
      <w:r>
        <w:rPr>
          <w:rFonts w:hint="eastAsia" w:ascii="Times New Roman" w:hAnsi="Times New Roman" w:eastAsia="黑体" w:cs="黑体"/>
          <w:kern w:val="2"/>
          <w:sz w:val="32"/>
          <w:szCs w:val="24"/>
          <w:lang w:val="en-US" w:eastAsia="zh-CN" w:bidi="ar"/>
        </w:rPr>
        <w:t>三、</w:t>
      </w:r>
      <w:r>
        <w:rPr>
          <w:rFonts w:hint="eastAsia" w:ascii="黑体" w:hAnsi="宋体" w:eastAsia="黑体" w:cs="黑体"/>
          <w:kern w:val="2"/>
          <w:sz w:val="32"/>
          <w:szCs w:val="24"/>
          <w:lang w:val="en-US" w:eastAsia="zh-CN" w:bidi="ar"/>
        </w:rPr>
        <w:t>铝的残留量</w:t>
      </w:r>
    </w:p>
    <w:p>
      <w:pPr>
        <w:keepNext w:val="0"/>
        <w:keepLines w:val="0"/>
        <w:widowControl/>
        <w:suppressLineNumbers w:val="0"/>
        <w:shd w:val="clear" w:fill="FFFFFF"/>
        <w:snapToGrid w:val="0"/>
        <w:spacing w:before="0" w:beforeAutospacing="0" w:after="0" w:afterAutospacing="0" w:line="590" w:lineRule="exact"/>
        <w:ind w:left="0" w:right="0" w:firstLine="640" w:firstLineChars="200"/>
        <w:jc w:val="both"/>
        <w:rPr>
          <w:shd w:val="clear" w:fill="FFFFFF"/>
          <w:lang w:val="en-US"/>
        </w:rPr>
      </w:pPr>
      <w:r>
        <w:rPr>
          <w:rFonts w:hint="eastAsia" w:ascii="Times New Roman" w:hAnsi="Times New Roman" w:eastAsia="仿宋_GB2312" w:cs="仿宋_GB2312"/>
          <w:kern w:val="2"/>
          <w:sz w:val="32"/>
          <w:szCs w:val="24"/>
          <w:shd w:val="clear" w:fill="FFFFFF"/>
          <w:lang w:val="en-US" w:eastAsia="zh-CN" w:bidi="ar"/>
        </w:rPr>
        <w:t>含铝食品添加剂，比如硫酸铝钾（又名钾明矾）、硫酸铝铵（又名铵明矾）等，在食品中作为膨松剂、稳定剂使用，使用后会产生铝残留。豆类制品中铝的最大残留限量值（干样品，以</w:t>
      </w:r>
      <w:r>
        <w:rPr>
          <w:rFonts w:hint="default" w:ascii="Times New Roman" w:hAnsi="Times New Roman" w:eastAsia="仿宋_GB2312" w:cs="Times New Roman"/>
          <w:kern w:val="2"/>
          <w:sz w:val="32"/>
          <w:szCs w:val="24"/>
          <w:shd w:val="clear" w:fill="FFFFFF"/>
          <w:lang w:val="en-US" w:eastAsia="zh-CN" w:bidi="ar"/>
        </w:rPr>
        <w:t>Al</w:t>
      </w:r>
      <w:r>
        <w:rPr>
          <w:rFonts w:hint="eastAsia" w:ascii="Times New Roman" w:hAnsi="Times New Roman" w:eastAsia="仿宋_GB2312" w:cs="仿宋_GB2312"/>
          <w:kern w:val="2"/>
          <w:sz w:val="32"/>
          <w:szCs w:val="24"/>
          <w:shd w:val="clear" w:fill="FFFFFF"/>
          <w:lang w:val="en-US" w:eastAsia="zh-CN" w:bidi="ar"/>
        </w:rPr>
        <w:t>计）为</w:t>
      </w:r>
      <w:r>
        <w:rPr>
          <w:rFonts w:hint="default" w:ascii="Times New Roman" w:hAnsi="Times New Roman" w:eastAsia="仿宋_GB2312" w:cs="Times New Roman"/>
          <w:kern w:val="2"/>
          <w:sz w:val="32"/>
          <w:szCs w:val="24"/>
          <w:shd w:val="clear" w:fill="FFFFFF"/>
          <w:lang w:val="en-US" w:eastAsia="zh-CN" w:bidi="ar"/>
        </w:rPr>
        <w:t>100mg/kg</w:t>
      </w:r>
      <w:r>
        <w:rPr>
          <w:rFonts w:hint="eastAsia" w:ascii="Times New Roman" w:hAnsi="Times New Roman" w:eastAsia="仿宋_GB2312" w:cs="仿宋_GB2312"/>
          <w:kern w:val="2"/>
          <w:sz w:val="32"/>
          <w:szCs w:val="24"/>
          <w:shd w:val="clear" w:fill="FFFFFF"/>
          <w:lang w:val="en-US" w:eastAsia="zh-CN" w:bidi="ar"/>
        </w:rPr>
        <w:t>。含铝食品添加剂按标准使用不会对健康造成危害，但长期食用铝超标的食品会导致运动和学习记忆能力下降，影响儿童智力发育。</w:t>
      </w:r>
    </w:p>
    <w:p>
      <w:pPr>
        <w:keepNext w:val="0"/>
        <w:keepLines w:val="0"/>
        <w:widowControl w:val="0"/>
        <w:suppressLineNumbers w:val="0"/>
        <w:spacing w:before="0" w:beforeAutospacing="0" w:after="0" w:afterAutospacing="0" w:line="600" w:lineRule="exact"/>
        <w:ind w:left="0" w:right="0" w:firstLine="640" w:firstLineChars="200"/>
        <w:jc w:val="both"/>
        <w:rPr>
          <w:rFonts w:eastAsia="黑体"/>
          <w:lang w:val="en-US"/>
        </w:rPr>
      </w:pPr>
      <w:r>
        <w:rPr>
          <w:rFonts w:hint="eastAsia" w:ascii="Times New Roman" w:hAnsi="Times New Roman" w:eastAsia="黑体" w:cs="黑体"/>
          <w:kern w:val="2"/>
          <w:sz w:val="32"/>
          <w:szCs w:val="24"/>
          <w:lang w:val="en-US" w:eastAsia="zh-CN" w:bidi="ar"/>
        </w:rPr>
        <w:t>四、</w:t>
      </w:r>
      <w:r>
        <w:rPr>
          <w:rFonts w:hint="eastAsia" w:ascii="黑体" w:hAnsi="宋体" w:eastAsia="黑体" w:cs="黑体"/>
          <w:kern w:val="2"/>
          <w:sz w:val="32"/>
          <w:szCs w:val="24"/>
          <w:lang w:val="en-US" w:eastAsia="zh-CN" w:bidi="ar"/>
        </w:rPr>
        <w:t>克百威</w:t>
      </w:r>
    </w:p>
    <w:p>
      <w:pPr>
        <w:keepNext w:val="0"/>
        <w:keepLines w:val="0"/>
        <w:widowControl/>
        <w:suppressLineNumbers w:val="0"/>
        <w:shd w:val="clear" w:fill="FFFFFF"/>
        <w:snapToGrid w:val="0"/>
        <w:spacing w:before="0" w:beforeAutospacing="0" w:after="0" w:afterAutospacing="0" w:line="590" w:lineRule="exact"/>
        <w:ind w:left="0" w:right="0" w:firstLine="640" w:firstLineChars="200"/>
        <w:jc w:val="both"/>
        <w:rPr>
          <w:rFonts w:eastAsia="黑体"/>
          <w:bCs/>
          <w:kern w:val="0"/>
          <w:szCs w:val="32"/>
          <w:shd w:val="clear" w:fill="FFFFFF"/>
          <w:lang w:val="en-US"/>
        </w:rPr>
      </w:pPr>
      <w:r>
        <w:rPr>
          <w:rFonts w:hint="eastAsia" w:ascii="Times New Roman" w:hAnsi="Times New Roman" w:eastAsia="仿宋_GB2312" w:cs="仿宋_GB2312"/>
          <w:kern w:val="2"/>
          <w:sz w:val="32"/>
          <w:szCs w:val="24"/>
          <w:shd w:val="clear" w:fill="FFFFFF"/>
          <w:lang w:val="en-US" w:eastAsia="zh-CN" w:bidi="ar"/>
        </w:rPr>
        <w:t>克百威又名呋喃丹，是氨基甲酸酯类农药中常见的一种杀虫剂、杀螨、杀线虫剂。少量的农药残留不会引起人体急性中毒，但长期食用克百威超标的食品，可能对人体健康有一定影响。《食品安全国家标准</w:t>
      </w:r>
      <w:r>
        <w:rPr>
          <w:rFonts w:hint="default" w:ascii="Times New Roman" w:hAnsi="Times New Roman" w:eastAsia="仿宋_GB2312" w:cs="Times New Roman"/>
          <w:snapToGrid w:val="0"/>
          <w:kern w:val="2"/>
          <w:sz w:val="32"/>
          <w:szCs w:val="24"/>
          <w:shd w:val="clear" w:fill="FFFFFF"/>
          <w:lang w:val="en-US" w:eastAsia="zh-CN" w:bidi="ar"/>
        </w:rPr>
        <w:t xml:space="preserve"> </w:t>
      </w:r>
      <w:r>
        <w:rPr>
          <w:rFonts w:hint="eastAsia" w:ascii="Times New Roman" w:hAnsi="Times New Roman" w:eastAsia="仿宋_GB2312" w:cs="仿宋_GB2312"/>
          <w:kern w:val="2"/>
          <w:sz w:val="32"/>
          <w:szCs w:val="24"/>
          <w:shd w:val="clear" w:fill="FFFFFF"/>
          <w:lang w:val="en-US" w:eastAsia="zh-CN" w:bidi="ar"/>
        </w:rPr>
        <w:t>食品中农药最大残留限量》（</w:t>
      </w:r>
      <w:r>
        <w:rPr>
          <w:rFonts w:hint="default" w:ascii="Times New Roman" w:hAnsi="Times New Roman" w:eastAsia="仿宋_GB2312" w:cs="Times New Roman"/>
          <w:kern w:val="2"/>
          <w:sz w:val="32"/>
          <w:szCs w:val="24"/>
          <w:shd w:val="clear" w:fill="FFFFFF"/>
          <w:lang w:val="en-US" w:eastAsia="zh-CN" w:bidi="ar"/>
        </w:rPr>
        <w:t>GB 2763-2021</w:t>
      </w:r>
      <w:r>
        <w:rPr>
          <w:rFonts w:hint="eastAsia" w:ascii="Times New Roman" w:hAnsi="Times New Roman" w:eastAsia="仿宋_GB2312" w:cs="仿宋_GB2312"/>
          <w:kern w:val="2"/>
          <w:sz w:val="32"/>
          <w:szCs w:val="24"/>
          <w:shd w:val="clear" w:fill="FFFFFF"/>
          <w:lang w:val="en-US" w:eastAsia="zh-CN" w:bidi="ar"/>
        </w:rPr>
        <w:t>）中规定，克百威在豆类蔬菜中的最大残留限量值为</w:t>
      </w:r>
      <w:r>
        <w:rPr>
          <w:rFonts w:hint="default" w:ascii="Times New Roman" w:hAnsi="Times New Roman" w:eastAsia="仿宋_GB2312" w:cs="Times New Roman"/>
          <w:kern w:val="2"/>
          <w:sz w:val="32"/>
          <w:szCs w:val="24"/>
          <w:shd w:val="clear" w:fill="FFFFFF"/>
          <w:lang w:val="en-US" w:eastAsia="zh-CN" w:bidi="ar"/>
        </w:rPr>
        <w:t>0.02mg/kg</w:t>
      </w:r>
      <w:r>
        <w:rPr>
          <w:rFonts w:hint="eastAsia" w:ascii="Times New Roman" w:hAnsi="Times New Roman" w:eastAsia="仿宋_GB2312" w:cs="仿宋_GB2312"/>
          <w:kern w:val="2"/>
          <w:sz w:val="32"/>
          <w:szCs w:val="24"/>
          <w:shd w:val="clear" w:fill="FFFFFF"/>
          <w:lang w:val="en-US" w:eastAsia="zh-CN" w:bidi="ar"/>
        </w:rPr>
        <w:t>。豇豆中克百威超标的原因，可能是菜农为控制病情不遵守休药期规定，致使上市销售时产品中的药物残留量未降解至标准限量以下。</w:t>
      </w:r>
    </w:p>
    <w:p>
      <w:pPr>
        <w:keepNext w:val="0"/>
        <w:keepLines w:val="0"/>
        <w:widowControl w:val="0"/>
        <w:suppressLineNumbers w:val="0"/>
        <w:spacing w:before="0" w:beforeAutospacing="0" w:after="0" w:afterAutospacing="0"/>
        <w:ind w:left="0" w:right="0" w:firstLine="640" w:firstLineChars="200"/>
        <w:jc w:val="both"/>
        <w:outlineLvl w:val="0"/>
        <w:rPr>
          <w:rFonts w:eastAsia="黑体"/>
          <w:bCs/>
          <w:kern w:val="0"/>
          <w:szCs w:val="32"/>
          <w:lang w:val="en-US"/>
        </w:rPr>
      </w:pPr>
      <w:r>
        <w:rPr>
          <w:rFonts w:hint="eastAsia" w:ascii="Times New Roman" w:hAnsi="Times New Roman" w:eastAsia="黑体" w:cs="黑体"/>
          <w:bCs/>
          <w:kern w:val="0"/>
          <w:sz w:val="32"/>
          <w:szCs w:val="32"/>
          <w:lang w:val="en-US" w:eastAsia="zh-CN" w:bidi="ar"/>
        </w:rPr>
        <w:t>五、恩诺沙星</w:t>
      </w:r>
    </w:p>
    <w:p>
      <w:pPr>
        <w:keepNext w:val="0"/>
        <w:keepLines w:val="0"/>
        <w:widowControl w:val="0"/>
        <w:suppressLineNumbers w:val="0"/>
        <w:spacing w:before="0" w:beforeAutospacing="0" w:after="0" w:afterAutospacing="0"/>
        <w:ind w:left="0" w:right="0" w:firstLine="640" w:firstLineChars="200"/>
        <w:jc w:val="both"/>
        <w:rPr>
          <w:bCs/>
          <w:kern w:val="0"/>
          <w:szCs w:val="32"/>
          <w:lang w:val="en-US"/>
        </w:rPr>
      </w:pPr>
      <w:r>
        <w:rPr>
          <w:rFonts w:hint="eastAsia" w:ascii="Times New Roman" w:hAnsi="Times New Roman" w:eastAsia="仿宋_GB2312" w:cs="仿宋_GB2312"/>
          <w:bCs/>
          <w:kern w:val="0"/>
          <w:sz w:val="32"/>
          <w:szCs w:val="32"/>
          <w:lang w:val="en-US" w:eastAsia="zh-CN" w:bidi="ar"/>
        </w:rPr>
        <w:t>恩诺沙星属第三代喹诺酮类药物，是一类人工合成的广谱抗菌药，用于治疗动物的皮肤感染、呼吸道感染等，是动物专属用药。长期食用恩诺沙星残留超标的食品，可能在人体中蓄积，进而对人体机能产生危害，还可能使人体产生耐药性菌株。《食品安全国家标准</w:t>
      </w:r>
      <w:r>
        <w:rPr>
          <w:rFonts w:hint="default" w:ascii="Times New Roman" w:hAnsi="Times New Roman" w:eastAsia="仿宋_GB2312" w:cs="Times New Roman"/>
          <w:bCs/>
          <w:kern w:val="0"/>
          <w:sz w:val="32"/>
          <w:szCs w:val="32"/>
          <w:lang w:val="en-US" w:eastAsia="zh-CN" w:bidi="ar"/>
        </w:rPr>
        <w:t xml:space="preserve"> </w:t>
      </w:r>
      <w:r>
        <w:rPr>
          <w:rFonts w:hint="eastAsia" w:ascii="Times New Roman" w:hAnsi="Times New Roman" w:eastAsia="仿宋_GB2312" w:cs="仿宋_GB2312"/>
          <w:bCs/>
          <w:kern w:val="0"/>
          <w:sz w:val="32"/>
          <w:szCs w:val="32"/>
          <w:lang w:val="en-US" w:eastAsia="zh-CN" w:bidi="ar"/>
        </w:rPr>
        <w:t>食品中兽药最大残留限量》（</w:t>
      </w:r>
      <w:r>
        <w:rPr>
          <w:rFonts w:hint="default" w:ascii="Times New Roman" w:hAnsi="Times New Roman" w:eastAsia="仿宋_GB2312" w:cs="Times New Roman"/>
          <w:bCs/>
          <w:kern w:val="0"/>
          <w:sz w:val="32"/>
          <w:szCs w:val="32"/>
          <w:lang w:val="en-US" w:eastAsia="zh-CN" w:bidi="ar"/>
        </w:rPr>
        <w:t>GB 31650-2019</w:t>
      </w:r>
      <w:r>
        <w:rPr>
          <w:rFonts w:hint="eastAsia" w:ascii="Times New Roman" w:hAnsi="Times New Roman" w:eastAsia="仿宋_GB2312" w:cs="仿宋_GB2312"/>
          <w:bCs/>
          <w:kern w:val="0"/>
          <w:sz w:val="32"/>
          <w:szCs w:val="32"/>
          <w:lang w:val="en-US" w:eastAsia="zh-CN" w:bidi="ar"/>
        </w:rPr>
        <w:t>）中规定，恩诺沙星（以恩诺沙星和环丙沙星之和计）可用于牛、羊、猪、兔、禽等食用畜禽及其他动物，在牛、禽和其他动物的肌肉中的最大残留限量值为</w:t>
      </w:r>
      <w:r>
        <w:rPr>
          <w:rFonts w:hint="default" w:ascii="Times New Roman" w:hAnsi="Times New Roman" w:eastAsia="仿宋_GB2312" w:cs="Times New Roman"/>
          <w:bCs/>
          <w:kern w:val="0"/>
          <w:sz w:val="32"/>
          <w:szCs w:val="32"/>
          <w:lang w:val="en-US" w:eastAsia="zh-CN" w:bidi="ar"/>
        </w:rPr>
        <w:t>100μg/kg</w:t>
      </w:r>
      <w:r>
        <w:rPr>
          <w:rFonts w:hint="eastAsia" w:ascii="Times New Roman" w:hAnsi="Times New Roman" w:eastAsia="仿宋_GB2312" w:cs="仿宋_GB2312"/>
          <w:bCs/>
          <w:kern w:val="0"/>
          <w:sz w:val="32"/>
          <w:szCs w:val="32"/>
          <w:lang w:val="en-US" w:eastAsia="zh-CN" w:bidi="ar"/>
        </w:rPr>
        <w:t>。恩诺沙星超标的原因可能是养殖户在养殖过程中违规使用相关兽药。</w:t>
      </w:r>
    </w:p>
    <w:p>
      <w:pPr>
        <w:keepNext w:val="0"/>
        <w:keepLines w:val="0"/>
        <w:widowControl w:val="0"/>
        <w:suppressLineNumbers w:val="0"/>
        <w:spacing w:before="0" w:beforeAutospacing="0" w:after="0" w:afterAutospacing="0"/>
        <w:ind w:left="0" w:right="0" w:firstLine="640" w:firstLineChars="200"/>
        <w:jc w:val="both"/>
        <w:outlineLvl w:val="0"/>
        <w:rPr>
          <w:rFonts w:eastAsia="黑体"/>
          <w:bCs/>
          <w:kern w:val="0"/>
          <w:szCs w:val="32"/>
          <w:lang w:val="en-US"/>
        </w:rPr>
      </w:pPr>
      <w:r>
        <w:rPr>
          <w:rFonts w:hint="eastAsia" w:ascii="Times New Roman" w:hAnsi="Times New Roman" w:eastAsia="黑体" w:cs="黑体"/>
          <w:bCs/>
          <w:kern w:val="0"/>
          <w:sz w:val="32"/>
          <w:szCs w:val="32"/>
          <w:lang w:val="en-US" w:eastAsia="zh-CN" w:bidi="ar"/>
        </w:rPr>
        <w:t>六、</w:t>
      </w:r>
      <w:r>
        <w:rPr>
          <w:rFonts w:hint="eastAsia" w:ascii="黑体" w:hAnsi="宋体" w:eastAsia="黑体" w:cs="黑体"/>
          <w:kern w:val="2"/>
          <w:sz w:val="32"/>
          <w:szCs w:val="32"/>
          <w:lang w:val="en-US" w:eastAsia="zh-CN" w:bidi="ar"/>
        </w:rPr>
        <w:t>镉</w:t>
      </w:r>
    </w:p>
    <w:p>
      <w:pPr>
        <w:keepNext w:val="0"/>
        <w:keepLines w:val="0"/>
        <w:widowControl w:val="0"/>
        <w:suppressLineNumbers w:val="0"/>
        <w:spacing w:before="0" w:beforeAutospacing="0" w:after="0" w:afterAutospacing="0"/>
        <w:ind w:left="0" w:right="0" w:firstLine="640" w:firstLineChars="200"/>
        <w:jc w:val="both"/>
        <w:rPr>
          <w:bCs/>
          <w:kern w:val="0"/>
          <w:szCs w:val="32"/>
          <w:lang w:val="en-US"/>
        </w:rPr>
      </w:pPr>
      <w:r>
        <w:rPr>
          <w:rFonts w:hint="eastAsia" w:ascii="Times New Roman" w:hAnsi="Times New Roman" w:eastAsia="仿宋_GB2312" w:cs="仿宋_GB2312"/>
          <w:bCs/>
          <w:kern w:val="0"/>
          <w:sz w:val="32"/>
          <w:szCs w:val="32"/>
          <w:lang w:val="en-US" w:eastAsia="zh-CN" w:bidi="ar"/>
        </w:rPr>
        <w:t>镉是最常见的重金属元素污染物之一。镉对人体的危害主要是慢性蓄积性，长期大量摄入镉含量超标的食品可能导致肾和骨骼损伤等。水产品中镉超标的原因，可能是水产品在养殖过程中对水源等环境中镉元素的富集。</w:t>
      </w:r>
    </w:p>
    <w:p>
      <w:pPr>
        <w:keepNext w:val="0"/>
        <w:keepLines w:val="0"/>
        <w:widowControl w:val="0"/>
        <w:suppressLineNumbers w:val="0"/>
        <w:spacing w:before="0" w:beforeAutospacing="0" w:after="0" w:afterAutospacing="0"/>
        <w:ind w:left="0" w:right="0" w:firstLine="640" w:firstLineChars="200"/>
        <w:jc w:val="both"/>
        <w:outlineLvl w:val="0"/>
        <w:rPr>
          <w:rFonts w:eastAsia="黑体"/>
          <w:bCs/>
          <w:kern w:val="0"/>
          <w:szCs w:val="32"/>
          <w:lang w:val="en-US"/>
        </w:rPr>
      </w:pPr>
      <w:r>
        <w:rPr>
          <w:rFonts w:hint="eastAsia" w:ascii="Times New Roman" w:hAnsi="Times New Roman" w:eastAsia="黑体" w:cs="黑体"/>
          <w:bCs/>
          <w:kern w:val="0"/>
          <w:sz w:val="32"/>
          <w:szCs w:val="32"/>
          <w:lang w:val="en-US" w:eastAsia="zh-CN" w:bidi="ar"/>
        </w:rPr>
        <w:t>七、过氧化值</w:t>
      </w:r>
    </w:p>
    <w:p>
      <w:pPr>
        <w:keepNext w:val="0"/>
        <w:keepLines w:val="0"/>
        <w:widowControl w:val="0"/>
        <w:suppressLineNumbers w:val="0"/>
        <w:spacing w:before="0" w:beforeAutospacing="0" w:after="0" w:afterAutospacing="0"/>
        <w:ind w:left="0" w:right="0" w:firstLine="640" w:firstLineChars="200"/>
        <w:jc w:val="both"/>
        <w:rPr>
          <w:bCs/>
          <w:kern w:val="0"/>
          <w:szCs w:val="32"/>
          <w:lang w:val="en-US"/>
        </w:rPr>
      </w:pPr>
      <w:r>
        <w:rPr>
          <w:rFonts w:hint="eastAsia" w:ascii="Times New Roman" w:hAnsi="Times New Roman" w:eastAsia="仿宋_GB2312" w:cs="仿宋_GB2312"/>
          <w:bCs/>
          <w:kern w:val="0"/>
          <w:sz w:val="32"/>
          <w:szCs w:val="32"/>
          <w:lang w:val="en-US" w:eastAsia="zh-CN" w:bidi="ar"/>
        </w:rPr>
        <w:t>过氧化值是衡量含油脂食品氧化酸败程度的重要卫生指标，过氧化值超标的原因可能是油脂原料保存不当、存放过久导致原料中的油脂发生氧化或生产过程中操作工艺控制不当，加工温度过高，持续时间久，导致含有的油脂加速氧化；也可能是产品包装不符合要求，受温度、湿度、空气、光线等影响促使油脂氧化加速，导致产品过氧化值超标。</w:t>
      </w:r>
    </w:p>
    <w:p>
      <w:pPr>
        <w:keepNext w:val="0"/>
        <w:keepLines w:val="0"/>
        <w:widowControl/>
        <w:suppressLineNumbers w:val="0"/>
        <w:jc w:val="left"/>
      </w:pPr>
      <w:r>
        <w:rPr>
          <w:rFonts w:hint="eastAsia" w:ascii="Times New Roman" w:hAnsi="Times New Roman" w:eastAsia="仿宋_GB2312" w:cs="Times New Roman"/>
          <w:bCs/>
          <w:kern w:val="2"/>
          <w:sz w:val="32"/>
          <w:szCs w:val="32"/>
          <w:lang w:val="en-US" w:eastAsia="zh-CN" w:bidi="ar"/>
        </w:rPr>
        <w:t>油脂的氧化分解会使油脂分解产生脂肪酸、醛类和酮类等物质，不仅使产品的色、香、味发生改变，而且氧化产物如醛、酮等具有一定的毒性，会影响人体健康。</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黑体">
    <w:panose1 w:val="02010609060101010101"/>
    <w:charset w:val="86"/>
    <w:family w:val="auto"/>
    <w:pitch w:val="fixed"/>
    <w:sig w:usb0="800002BF" w:usb1="38CF7CFA" w:usb2="00000016" w:usb3="00000000" w:csb0="00040001" w:csb1="00000000"/>
  </w:font>
  <w:font w:name="Cambria Math">
    <w:panose1 w:val="02040503050406030204"/>
    <w:charset w:val="01"/>
    <w:family w:val="auto"/>
    <w:pitch w:val="variable"/>
    <w:sig w:usb0="E00002FF" w:usb1="420024FF" w:usb2="00000000" w:usb3="00000000" w:csb0="2000019F"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auto"/>
    <w:pitch w:val="fixed"/>
    <w:sig w:usb0="800002BF" w:usb1="38CF7CFA" w:usb2="00000016" w:usb3="00000000" w:csb0="00040001" w:csb1="00000000"/>
  </w:font>
  <w:font w:name="仿宋_GB2312">
    <w:panose1 w:val="02010609030101010101"/>
    <w:charset w:val="86"/>
    <w:family w:val="auto"/>
    <w:pitch w:val="fixed"/>
    <w:sig w:usb0="00000001" w:usb1="080E0000" w:usb2="0000000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auto"/>
    <w:pitch w:val="fixed"/>
    <w:sig w:usb0="800002BF" w:usb1="38CF7CFA" w:usb2="00000016" w:usb3="00000000" w:csb0="00040001" w:csb1="00000000"/>
  </w:font>
  <w:font w:name="@仿宋_GB2312">
    <w:panose1 w:val="02010609030101010101"/>
    <w:charset w:val="86"/>
    <w:family w:val="auto"/>
    <w:pitch w:val="fixed"/>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D6397"/>
    <w:rsid w:val="47BD63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2023-02-01T06:15:00Z</dcterms:created>
  <dc:creator>罗钰珊</dc:creator>
  <cp:lastModifiedBy>罗钰珊</cp:lastModifiedBy>
  <dcterms:modified xsi:type="dcterms:W3CDTF">2023-02-01T06:17:15Z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FA53BCEBA4364DF78D7D6A986500E14A</vt:lpwstr>
  </property>
</Properties>
</file>