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uppressAutoHyphens/>
        <w:rPr>
          <w:rFonts w:hint="eastAsia" w:ascii="黑体" w:hAnsi="黑体" w:eastAsia="黑体"/>
          <w:sz w:val="32"/>
          <w:szCs w:val="32"/>
          <w:lang w:val="en-US" w:eastAsia="zh-CN"/>
        </w:rPr>
      </w:pPr>
      <w:r>
        <w:rPr>
          <w:rFonts w:ascii="黑体" w:hAnsi="黑体" w:eastAsia="黑体"/>
          <w:sz w:val="32"/>
          <w:szCs w:val="32"/>
        </w:rPr>
        <w:t>附件</w:t>
      </w:r>
      <w:r>
        <w:rPr>
          <w:rFonts w:hint="eastAsia" w:ascii="黑体" w:hAnsi="黑体" w:eastAsia="黑体"/>
          <w:sz w:val="32"/>
          <w:szCs w:val="32"/>
          <w:lang w:val="en-US" w:eastAsia="zh-CN"/>
        </w:rPr>
        <w:t>2</w:t>
      </w:r>
    </w:p>
    <w:p>
      <w:pPr>
        <w:suppressAutoHyphens/>
        <w:spacing w:line="640" w:lineRule="exact"/>
        <w:ind w:firstLine="2200" w:firstLineChars="500"/>
        <w:rPr>
          <w:rFonts w:hint="eastAsia" w:ascii="方正小标宋简体" w:hAnsi="方正小标宋简体" w:eastAsia="方正小标宋简体" w:cs="方正小标宋简体"/>
          <w:bCs/>
          <w:kern w:val="0"/>
          <w:sz w:val="44"/>
          <w:szCs w:val="44"/>
        </w:rPr>
      </w:pPr>
      <w:r>
        <w:rPr>
          <w:rFonts w:hint="eastAsia" w:ascii="方正小标宋简体" w:hAnsi="方正小标宋简体" w:eastAsia="方正小标宋简体" w:cs="方正小标宋简体"/>
          <w:bCs/>
          <w:kern w:val="0"/>
          <w:sz w:val="44"/>
          <w:szCs w:val="44"/>
        </w:rPr>
        <w:t>2022年来宾市食品安全监督抽检品种及检验项目表</w:t>
      </w:r>
    </w:p>
    <w:p>
      <w:pPr>
        <w:pStyle w:val="2"/>
        <w:rPr>
          <w:rFonts w:hint="eastAsia"/>
          <w:lang w:val="en-US" w:eastAsia="zh-CN"/>
        </w:rPr>
      </w:pPr>
    </w:p>
    <w:p>
      <w:pPr>
        <w:pStyle w:val="2"/>
        <w:rPr>
          <w:rFonts w:hint="eastAsia"/>
          <w:lang w:val="en-US" w:eastAsia="zh-CN"/>
        </w:rPr>
      </w:pPr>
    </w:p>
    <w:tbl>
      <w:tblPr>
        <w:tblStyle w:val="8"/>
        <w:tblW w:w="0" w:type="auto"/>
        <w:tblInd w:w="-4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2"/>
        <w:gridCol w:w="1325"/>
        <w:gridCol w:w="1129"/>
        <w:gridCol w:w="1545"/>
        <w:gridCol w:w="2263"/>
        <w:gridCol w:w="835"/>
        <w:gridCol w:w="65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562" w:type="dxa"/>
            <w:vMerge w:val="restart"/>
            <w:vAlign w:val="center"/>
          </w:tcPr>
          <w:p>
            <w:pPr>
              <w:keepNext w:val="0"/>
              <w:keepLines w:val="0"/>
              <w:widowControl/>
              <w:suppressLineNumbers w:val="0"/>
              <w:spacing w:before="0" w:beforeAutospacing="0" w:after="0" w:afterAutospacing="0" w:line="300" w:lineRule="exact"/>
              <w:ind w:left="0" w:right="0"/>
              <w:jc w:val="center"/>
              <w:rPr>
                <w:rFonts w:hint="default" w:ascii="Times New Roman" w:hAnsi="Times New Roman" w:eastAsia="仿宋_GB2312"/>
                <w:color w:val="000000"/>
                <w:kern w:val="0"/>
                <w:szCs w:val="21"/>
              </w:rPr>
            </w:pPr>
            <w:r>
              <w:rPr>
                <w:rFonts w:hint="default" w:ascii="Times New Roman" w:hAnsi="Times New Roman" w:eastAsia="仿宋_GB2312"/>
                <w:color w:val="000000"/>
                <w:kern w:val="0"/>
                <w:szCs w:val="21"/>
              </w:rPr>
              <w:t>29</w:t>
            </w:r>
          </w:p>
        </w:tc>
        <w:tc>
          <w:tcPr>
            <w:tcW w:w="1325" w:type="dxa"/>
            <w:vMerge w:val="restart"/>
            <w:vAlign w:val="center"/>
          </w:tcPr>
          <w:p>
            <w:pPr>
              <w:keepNext w:val="0"/>
              <w:keepLines w:val="0"/>
              <w:widowControl/>
              <w:suppressLineNumbers w:val="0"/>
              <w:spacing w:before="0" w:beforeAutospacing="0" w:after="0" w:afterAutospacing="0" w:line="300" w:lineRule="exact"/>
              <w:ind w:left="0" w:right="0"/>
              <w:jc w:val="center"/>
              <w:rPr>
                <w:rFonts w:hint="default" w:ascii="Times New Roman" w:hAnsi="Times New Roman" w:eastAsia="仿宋_GB2312"/>
                <w:color w:val="000000"/>
                <w:kern w:val="0"/>
                <w:szCs w:val="21"/>
              </w:rPr>
            </w:pPr>
            <w:r>
              <w:rPr>
                <w:rFonts w:hint="default" w:ascii="Times New Roman" w:hAnsi="Times New Roman" w:eastAsia="仿宋_GB2312"/>
                <w:color w:val="000000"/>
                <w:kern w:val="0"/>
                <w:szCs w:val="21"/>
              </w:rPr>
              <w:t>餐饮食品</w:t>
            </w:r>
          </w:p>
        </w:tc>
        <w:tc>
          <w:tcPr>
            <w:tcW w:w="1129" w:type="dxa"/>
            <w:vMerge w:val="restart"/>
            <w:vAlign w:val="center"/>
          </w:tcPr>
          <w:p>
            <w:pPr>
              <w:keepNext w:val="0"/>
              <w:keepLines w:val="0"/>
              <w:widowControl/>
              <w:suppressLineNumbers w:val="0"/>
              <w:spacing w:before="0" w:beforeAutospacing="0" w:after="0" w:afterAutospacing="0" w:line="300" w:lineRule="exact"/>
              <w:ind w:left="0" w:right="0"/>
              <w:jc w:val="center"/>
              <w:rPr>
                <w:rFonts w:hint="default" w:ascii="Times New Roman" w:hAnsi="Times New Roman" w:eastAsia="仿宋_GB2312"/>
                <w:color w:val="000000"/>
                <w:kern w:val="0"/>
                <w:szCs w:val="21"/>
              </w:rPr>
            </w:pPr>
            <w:r>
              <w:rPr>
                <w:rFonts w:hint="default" w:ascii="Times New Roman" w:hAnsi="Times New Roman" w:eastAsia="仿宋_GB2312"/>
                <w:color w:val="000000"/>
                <w:kern w:val="0"/>
                <w:szCs w:val="21"/>
              </w:rPr>
              <w:t>米面及其制品(自制)</w:t>
            </w:r>
          </w:p>
        </w:tc>
        <w:tc>
          <w:tcPr>
            <w:tcW w:w="1545" w:type="dxa"/>
            <w:vMerge w:val="restart"/>
            <w:vAlign w:val="center"/>
          </w:tcPr>
          <w:p>
            <w:pPr>
              <w:keepNext w:val="0"/>
              <w:keepLines w:val="0"/>
              <w:widowControl/>
              <w:suppressLineNumbers w:val="0"/>
              <w:spacing w:before="0" w:beforeAutospacing="0" w:after="0" w:afterAutospacing="0" w:line="300" w:lineRule="exact"/>
              <w:ind w:left="0" w:right="0"/>
              <w:jc w:val="center"/>
              <w:rPr>
                <w:rFonts w:hint="default" w:ascii="Times New Roman" w:hAnsi="Times New Roman" w:eastAsia="仿宋_GB2312"/>
                <w:color w:val="000000"/>
                <w:kern w:val="0"/>
                <w:szCs w:val="21"/>
              </w:rPr>
            </w:pPr>
            <w:r>
              <w:rPr>
                <w:rFonts w:hint="default" w:ascii="Times New Roman" w:hAnsi="Times New Roman" w:eastAsia="仿宋_GB2312"/>
                <w:color w:val="000000"/>
                <w:kern w:val="0"/>
                <w:szCs w:val="21"/>
              </w:rPr>
              <w:t>小麦粉制品(自制)</w:t>
            </w:r>
          </w:p>
        </w:tc>
        <w:tc>
          <w:tcPr>
            <w:tcW w:w="2263" w:type="dxa"/>
            <w:vAlign w:val="center"/>
          </w:tcPr>
          <w:p>
            <w:pPr>
              <w:keepNext w:val="0"/>
              <w:keepLines w:val="0"/>
              <w:widowControl/>
              <w:suppressLineNumbers w:val="0"/>
              <w:spacing w:before="0" w:beforeAutospacing="0" w:after="0" w:afterAutospacing="0" w:line="300" w:lineRule="exact"/>
              <w:ind w:left="0" w:right="0"/>
              <w:jc w:val="center"/>
              <w:rPr>
                <w:rFonts w:hint="default" w:ascii="Times New Roman" w:hAnsi="Times New Roman" w:eastAsia="仿宋_GB2312"/>
                <w:color w:val="000000"/>
                <w:kern w:val="0"/>
                <w:szCs w:val="21"/>
              </w:rPr>
            </w:pPr>
            <w:r>
              <w:rPr>
                <w:rFonts w:hint="default" w:ascii="Times New Roman" w:hAnsi="Times New Roman" w:eastAsia="仿宋_GB2312"/>
                <w:color w:val="000000"/>
                <w:kern w:val="0"/>
                <w:szCs w:val="21"/>
              </w:rPr>
              <w:t>发酵面制品(自制)</w:t>
            </w:r>
          </w:p>
        </w:tc>
        <w:tc>
          <w:tcPr>
            <w:tcW w:w="835" w:type="dxa"/>
            <w:vAlign w:val="center"/>
          </w:tcPr>
          <w:p>
            <w:pPr>
              <w:keepNext w:val="0"/>
              <w:keepLines w:val="0"/>
              <w:widowControl/>
              <w:suppressLineNumbers w:val="0"/>
              <w:spacing w:before="0" w:beforeAutospacing="0" w:after="0" w:afterAutospacing="0" w:line="300" w:lineRule="exact"/>
              <w:ind w:left="0" w:right="0"/>
              <w:jc w:val="center"/>
              <w:rPr>
                <w:rFonts w:hint="default" w:ascii="Times New Roman" w:hAnsi="Times New Roman" w:eastAsia="仿宋_GB2312"/>
                <w:color w:val="000000"/>
                <w:kern w:val="0"/>
                <w:szCs w:val="21"/>
              </w:rPr>
            </w:pPr>
            <w:r>
              <w:rPr>
                <w:rFonts w:hint="default" w:ascii="Times New Roman" w:hAnsi="Times New Roman" w:eastAsia="仿宋_GB2312"/>
                <w:color w:val="000000"/>
                <w:kern w:val="0"/>
                <w:szCs w:val="21"/>
              </w:rPr>
              <w:t>较高</w:t>
            </w:r>
          </w:p>
        </w:tc>
        <w:tc>
          <w:tcPr>
            <w:tcW w:w="6529" w:type="dxa"/>
            <w:vAlign w:val="center"/>
          </w:tcPr>
          <w:p>
            <w:pPr>
              <w:keepNext w:val="0"/>
              <w:keepLines w:val="0"/>
              <w:widowControl/>
              <w:suppressLineNumbers w:val="0"/>
              <w:spacing w:before="0" w:beforeAutospacing="0" w:after="0" w:afterAutospacing="0" w:line="300" w:lineRule="exact"/>
              <w:ind w:left="0" w:right="0"/>
              <w:rPr>
                <w:rFonts w:hint="default" w:ascii="Times New Roman" w:hAnsi="Times New Roman" w:eastAsia="仿宋_GB2312"/>
                <w:color w:val="000000"/>
                <w:kern w:val="0"/>
                <w:szCs w:val="21"/>
              </w:rPr>
            </w:pPr>
            <w:r>
              <w:rPr>
                <w:rFonts w:hint="default" w:ascii="Times New Roman" w:hAnsi="Times New Roman" w:eastAsia="仿宋_GB2312"/>
                <w:color w:val="000000"/>
                <w:kern w:val="0"/>
                <w:szCs w:val="21"/>
              </w:rPr>
              <w:t>苯甲酸及其钠盐（以苯甲酸计）、山梨酸及其钾盐（以山梨酸计）、糖精钠（以糖精计）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 w:hRule="atLeast"/>
        </w:trPr>
        <w:tc>
          <w:tcPr>
            <w:tcW w:w="562" w:type="dxa"/>
            <w:vMerge w:val="continue"/>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olor w:val="000000"/>
                <w:kern w:val="0"/>
                <w:szCs w:val="21"/>
              </w:rPr>
            </w:pPr>
          </w:p>
        </w:tc>
        <w:tc>
          <w:tcPr>
            <w:tcW w:w="1325" w:type="dxa"/>
            <w:vMerge w:val="continue"/>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olor w:val="000000"/>
                <w:kern w:val="0"/>
                <w:szCs w:val="21"/>
              </w:rPr>
            </w:pPr>
          </w:p>
        </w:tc>
        <w:tc>
          <w:tcPr>
            <w:tcW w:w="1129" w:type="dxa"/>
            <w:vMerge w:val="continue"/>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olor w:val="000000"/>
                <w:kern w:val="0"/>
                <w:szCs w:val="21"/>
              </w:rPr>
            </w:pPr>
          </w:p>
        </w:tc>
        <w:tc>
          <w:tcPr>
            <w:tcW w:w="1545" w:type="dxa"/>
            <w:vMerge w:val="continue"/>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olor w:val="000000"/>
                <w:kern w:val="0"/>
                <w:szCs w:val="21"/>
              </w:rPr>
            </w:pPr>
          </w:p>
        </w:tc>
        <w:tc>
          <w:tcPr>
            <w:tcW w:w="2263" w:type="dxa"/>
            <w:vAlign w:val="center"/>
          </w:tcPr>
          <w:p>
            <w:pPr>
              <w:keepNext w:val="0"/>
              <w:keepLines w:val="0"/>
              <w:widowControl/>
              <w:suppressLineNumbers w:val="0"/>
              <w:spacing w:before="0" w:beforeAutospacing="0" w:after="0" w:afterAutospacing="0" w:line="300" w:lineRule="exact"/>
              <w:ind w:left="0" w:right="0"/>
              <w:jc w:val="center"/>
              <w:rPr>
                <w:rFonts w:hint="default" w:ascii="Times New Roman" w:hAnsi="Times New Roman" w:eastAsia="仿宋_GB2312"/>
                <w:color w:val="000000"/>
                <w:kern w:val="0"/>
                <w:szCs w:val="21"/>
              </w:rPr>
            </w:pPr>
            <w:r>
              <w:rPr>
                <w:rFonts w:hint="default" w:ascii="Times New Roman" w:hAnsi="Times New Roman" w:eastAsia="仿宋_GB2312"/>
                <w:color w:val="000000"/>
                <w:kern w:val="0"/>
                <w:szCs w:val="21"/>
              </w:rPr>
              <w:t>油炸面制品(自制)</w:t>
            </w:r>
          </w:p>
        </w:tc>
        <w:tc>
          <w:tcPr>
            <w:tcW w:w="835" w:type="dxa"/>
            <w:vAlign w:val="center"/>
          </w:tcPr>
          <w:p>
            <w:pPr>
              <w:keepNext w:val="0"/>
              <w:keepLines w:val="0"/>
              <w:widowControl/>
              <w:suppressLineNumbers w:val="0"/>
              <w:spacing w:before="0" w:beforeAutospacing="0" w:after="0" w:afterAutospacing="0" w:line="300" w:lineRule="exact"/>
              <w:ind w:left="0" w:right="0"/>
              <w:jc w:val="center"/>
              <w:rPr>
                <w:rFonts w:hint="default" w:ascii="Times New Roman" w:hAnsi="Times New Roman" w:eastAsia="仿宋_GB2312"/>
                <w:color w:val="000000"/>
                <w:kern w:val="0"/>
                <w:szCs w:val="21"/>
              </w:rPr>
            </w:pPr>
            <w:r>
              <w:rPr>
                <w:rFonts w:hint="default" w:ascii="Times New Roman" w:hAnsi="Times New Roman" w:eastAsia="仿宋_GB2312"/>
                <w:color w:val="000000"/>
                <w:kern w:val="0"/>
                <w:szCs w:val="21"/>
              </w:rPr>
              <w:t>较高</w:t>
            </w:r>
          </w:p>
        </w:tc>
        <w:tc>
          <w:tcPr>
            <w:tcW w:w="6529" w:type="dxa"/>
            <w:vAlign w:val="center"/>
          </w:tcPr>
          <w:p>
            <w:pPr>
              <w:keepNext w:val="0"/>
              <w:keepLines w:val="0"/>
              <w:widowControl/>
              <w:suppressLineNumbers w:val="0"/>
              <w:spacing w:before="0" w:beforeAutospacing="0" w:after="0" w:afterAutospacing="0" w:line="300" w:lineRule="exact"/>
              <w:ind w:left="0" w:right="0"/>
              <w:rPr>
                <w:rFonts w:hint="default" w:ascii="Times New Roman" w:hAnsi="Times New Roman" w:eastAsia="仿宋_GB2312"/>
                <w:color w:val="000000"/>
                <w:kern w:val="0"/>
                <w:szCs w:val="21"/>
              </w:rPr>
            </w:pPr>
            <w:r>
              <w:rPr>
                <w:rFonts w:hint="default" w:ascii="Times New Roman" w:hAnsi="Times New Roman" w:eastAsia="仿宋_GB2312"/>
                <w:color w:val="000000"/>
                <w:kern w:val="0"/>
                <w:szCs w:val="21"/>
              </w:rPr>
              <w:t>铝的残留量（干样品，以Al计）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562" w:type="dxa"/>
            <w:vMerge w:val="continue"/>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olor w:val="000000"/>
                <w:kern w:val="0"/>
                <w:szCs w:val="21"/>
              </w:rPr>
            </w:pPr>
          </w:p>
        </w:tc>
        <w:tc>
          <w:tcPr>
            <w:tcW w:w="1325" w:type="dxa"/>
            <w:vMerge w:val="continue"/>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olor w:val="000000"/>
                <w:kern w:val="0"/>
                <w:szCs w:val="21"/>
              </w:rPr>
            </w:pPr>
          </w:p>
        </w:tc>
        <w:tc>
          <w:tcPr>
            <w:tcW w:w="1129" w:type="dxa"/>
            <w:vAlign w:val="center"/>
          </w:tcPr>
          <w:p>
            <w:pPr>
              <w:keepNext w:val="0"/>
              <w:keepLines w:val="0"/>
              <w:widowControl/>
              <w:suppressLineNumbers w:val="0"/>
              <w:spacing w:before="0" w:beforeAutospacing="0" w:after="0" w:afterAutospacing="0" w:line="300" w:lineRule="exact"/>
              <w:ind w:left="0" w:right="0"/>
              <w:jc w:val="center"/>
              <w:rPr>
                <w:rFonts w:hint="default" w:ascii="Times New Roman" w:hAnsi="Times New Roman" w:eastAsia="仿宋_GB2312"/>
                <w:color w:val="000000"/>
                <w:kern w:val="0"/>
                <w:szCs w:val="21"/>
              </w:rPr>
            </w:pPr>
            <w:r>
              <w:rPr>
                <w:rFonts w:hint="default" w:ascii="Times New Roman" w:hAnsi="Times New Roman" w:eastAsia="仿宋_GB2312"/>
                <w:color w:val="000000"/>
                <w:kern w:val="0"/>
                <w:szCs w:val="21"/>
              </w:rPr>
              <w:t>肉制品(自制)</w:t>
            </w:r>
          </w:p>
        </w:tc>
        <w:tc>
          <w:tcPr>
            <w:tcW w:w="1545" w:type="dxa"/>
            <w:vAlign w:val="center"/>
          </w:tcPr>
          <w:p>
            <w:pPr>
              <w:keepNext w:val="0"/>
              <w:keepLines w:val="0"/>
              <w:widowControl/>
              <w:suppressLineNumbers w:val="0"/>
              <w:spacing w:before="0" w:beforeAutospacing="0" w:after="0" w:afterAutospacing="0" w:line="300" w:lineRule="exact"/>
              <w:ind w:left="0" w:right="0"/>
              <w:jc w:val="center"/>
              <w:rPr>
                <w:rFonts w:hint="default" w:ascii="Times New Roman" w:hAnsi="Times New Roman" w:eastAsia="仿宋_GB2312"/>
                <w:color w:val="000000"/>
                <w:kern w:val="0"/>
                <w:szCs w:val="21"/>
              </w:rPr>
            </w:pPr>
            <w:r>
              <w:rPr>
                <w:rFonts w:hint="default" w:ascii="Times New Roman" w:hAnsi="Times New Roman" w:eastAsia="仿宋_GB2312"/>
                <w:color w:val="000000"/>
                <w:kern w:val="0"/>
                <w:szCs w:val="21"/>
              </w:rPr>
              <w:t>熟肉制品(自制)</w:t>
            </w:r>
          </w:p>
        </w:tc>
        <w:tc>
          <w:tcPr>
            <w:tcW w:w="2263" w:type="dxa"/>
            <w:vAlign w:val="center"/>
          </w:tcPr>
          <w:p>
            <w:pPr>
              <w:keepNext w:val="0"/>
              <w:keepLines w:val="0"/>
              <w:widowControl/>
              <w:suppressLineNumbers w:val="0"/>
              <w:spacing w:before="0" w:beforeAutospacing="0" w:after="0" w:afterAutospacing="0" w:line="300" w:lineRule="exact"/>
              <w:ind w:left="0" w:right="0"/>
              <w:jc w:val="center"/>
              <w:rPr>
                <w:rFonts w:hint="default" w:ascii="Times New Roman" w:hAnsi="Times New Roman" w:eastAsia="仿宋_GB2312"/>
                <w:color w:val="000000"/>
                <w:kern w:val="0"/>
                <w:szCs w:val="21"/>
              </w:rPr>
            </w:pPr>
            <w:r>
              <w:rPr>
                <w:rFonts w:hint="default" w:ascii="Times New Roman" w:hAnsi="Times New Roman" w:eastAsia="仿宋_GB2312"/>
                <w:color w:val="000000"/>
                <w:kern w:val="0"/>
                <w:szCs w:val="21"/>
              </w:rPr>
              <w:t>酱卤肉制品(自制)</w:t>
            </w:r>
          </w:p>
        </w:tc>
        <w:tc>
          <w:tcPr>
            <w:tcW w:w="835" w:type="dxa"/>
            <w:vAlign w:val="center"/>
          </w:tcPr>
          <w:p>
            <w:pPr>
              <w:keepNext w:val="0"/>
              <w:keepLines w:val="0"/>
              <w:widowControl/>
              <w:suppressLineNumbers w:val="0"/>
              <w:spacing w:before="0" w:beforeAutospacing="0" w:after="0" w:afterAutospacing="0" w:line="300" w:lineRule="exact"/>
              <w:ind w:left="0" w:right="0"/>
              <w:jc w:val="center"/>
              <w:rPr>
                <w:rFonts w:hint="default" w:ascii="Times New Roman" w:hAnsi="Times New Roman" w:eastAsia="仿宋_GB2312"/>
                <w:color w:val="000000"/>
                <w:kern w:val="0"/>
                <w:szCs w:val="21"/>
              </w:rPr>
            </w:pPr>
            <w:r>
              <w:rPr>
                <w:rFonts w:hint="default" w:ascii="Times New Roman" w:hAnsi="Times New Roman" w:eastAsia="仿宋_GB2312"/>
                <w:color w:val="000000"/>
                <w:kern w:val="0"/>
                <w:szCs w:val="21"/>
              </w:rPr>
              <w:t>高</w:t>
            </w:r>
          </w:p>
        </w:tc>
        <w:tc>
          <w:tcPr>
            <w:tcW w:w="6529" w:type="dxa"/>
            <w:vAlign w:val="center"/>
          </w:tcPr>
          <w:p>
            <w:pPr>
              <w:keepNext w:val="0"/>
              <w:keepLines w:val="0"/>
              <w:widowControl/>
              <w:suppressLineNumbers w:val="0"/>
              <w:spacing w:before="0" w:beforeAutospacing="0" w:after="0" w:afterAutospacing="0" w:line="300" w:lineRule="exact"/>
              <w:ind w:left="0" w:right="0"/>
              <w:rPr>
                <w:rFonts w:hint="default" w:ascii="Times New Roman" w:hAnsi="Times New Roman" w:eastAsia="仿宋_GB2312"/>
                <w:color w:val="000000"/>
                <w:kern w:val="0"/>
                <w:szCs w:val="21"/>
              </w:rPr>
            </w:pPr>
            <w:r>
              <w:rPr>
                <w:rFonts w:hint="default" w:ascii="Times New Roman" w:hAnsi="Times New Roman" w:eastAsia="仿宋_GB2312"/>
                <w:color w:val="000000"/>
                <w:kern w:val="0"/>
                <w:szCs w:val="21"/>
              </w:rPr>
              <w:t>胭脂红、苯甲酸及其钠盐（以苯甲酸计）、山梨酸及其钾盐（以山梨酸计）、糖精钠（以糖精计）、脱氢乙酸及其钠盐（以脱氢乙酸计）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 w:hRule="atLeast"/>
        </w:trPr>
        <w:tc>
          <w:tcPr>
            <w:tcW w:w="562" w:type="dxa"/>
            <w:vMerge w:val="continue"/>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olor w:val="000000"/>
                <w:kern w:val="0"/>
                <w:szCs w:val="21"/>
              </w:rPr>
            </w:pPr>
          </w:p>
        </w:tc>
        <w:tc>
          <w:tcPr>
            <w:tcW w:w="1325" w:type="dxa"/>
            <w:vMerge w:val="continue"/>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olor w:val="000000"/>
                <w:kern w:val="0"/>
                <w:szCs w:val="21"/>
              </w:rPr>
            </w:pPr>
          </w:p>
        </w:tc>
        <w:tc>
          <w:tcPr>
            <w:tcW w:w="1129" w:type="dxa"/>
            <w:vAlign w:val="center"/>
          </w:tcPr>
          <w:p>
            <w:pPr>
              <w:keepNext w:val="0"/>
              <w:keepLines w:val="0"/>
              <w:widowControl/>
              <w:suppressLineNumbers w:val="0"/>
              <w:spacing w:before="0" w:beforeAutospacing="0" w:after="0" w:afterAutospacing="0" w:line="300" w:lineRule="exact"/>
              <w:ind w:left="0" w:right="0"/>
              <w:jc w:val="center"/>
              <w:rPr>
                <w:rFonts w:hint="default" w:ascii="Times New Roman" w:hAnsi="Times New Roman" w:eastAsia="仿宋_GB2312"/>
                <w:color w:val="000000"/>
                <w:kern w:val="0"/>
                <w:szCs w:val="21"/>
              </w:rPr>
            </w:pPr>
            <w:r>
              <w:rPr>
                <w:rFonts w:hint="default" w:ascii="Times New Roman" w:hAnsi="Times New Roman" w:eastAsia="仿宋_GB2312"/>
                <w:color w:val="000000"/>
                <w:kern w:val="0"/>
                <w:szCs w:val="21"/>
              </w:rPr>
              <w:t>复合调味料(自制)</w:t>
            </w:r>
          </w:p>
        </w:tc>
        <w:tc>
          <w:tcPr>
            <w:tcW w:w="1545" w:type="dxa"/>
            <w:vAlign w:val="center"/>
          </w:tcPr>
          <w:p>
            <w:pPr>
              <w:keepNext w:val="0"/>
              <w:keepLines w:val="0"/>
              <w:widowControl/>
              <w:suppressLineNumbers w:val="0"/>
              <w:spacing w:before="0" w:beforeAutospacing="0" w:after="0" w:afterAutospacing="0" w:line="300" w:lineRule="exact"/>
              <w:ind w:left="0" w:right="0"/>
              <w:jc w:val="center"/>
              <w:rPr>
                <w:rFonts w:hint="default" w:ascii="Times New Roman" w:hAnsi="Times New Roman" w:eastAsia="仿宋_GB2312"/>
                <w:color w:val="000000"/>
                <w:kern w:val="0"/>
                <w:szCs w:val="21"/>
              </w:rPr>
            </w:pPr>
            <w:r>
              <w:rPr>
                <w:rFonts w:hint="default" w:ascii="Times New Roman" w:hAnsi="Times New Roman" w:eastAsia="仿宋_GB2312"/>
                <w:color w:val="000000"/>
                <w:kern w:val="0"/>
                <w:szCs w:val="21"/>
              </w:rPr>
              <w:t>半固态调味料(自制)</w:t>
            </w:r>
          </w:p>
        </w:tc>
        <w:tc>
          <w:tcPr>
            <w:tcW w:w="2263" w:type="dxa"/>
            <w:vAlign w:val="center"/>
          </w:tcPr>
          <w:p>
            <w:pPr>
              <w:keepNext w:val="0"/>
              <w:keepLines w:val="0"/>
              <w:widowControl/>
              <w:suppressLineNumbers w:val="0"/>
              <w:spacing w:before="0" w:beforeAutospacing="0" w:after="0" w:afterAutospacing="0" w:line="300" w:lineRule="exact"/>
              <w:ind w:left="0" w:right="0"/>
              <w:jc w:val="center"/>
              <w:rPr>
                <w:rFonts w:hint="default" w:ascii="Times New Roman" w:hAnsi="Times New Roman" w:eastAsia="仿宋_GB2312"/>
                <w:color w:val="000000"/>
                <w:kern w:val="0"/>
                <w:szCs w:val="21"/>
              </w:rPr>
            </w:pPr>
            <w:r>
              <w:rPr>
                <w:rFonts w:hint="default" w:ascii="Times New Roman" w:hAnsi="Times New Roman" w:eastAsia="仿宋_GB2312"/>
                <w:color w:val="000000"/>
                <w:kern w:val="0"/>
                <w:szCs w:val="21"/>
              </w:rPr>
              <w:t>火锅调味料(底料、蘸料)(自制)</w:t>
            </w:r>
          </w:p>
        </w:tc>
        <w:tc>
          <w:tcPr>
            <w:tcW w:w="835" w:type="dxa"/>
            <w:vAlign w:val="center"/>
          </w:tcPr>
          <w:p>
            <w:pPr>
              <w:keepNext w:val="0"/>
              <w:keepLines w:val="0"/>
              <w:widowControl/>
              <w:suppressLineNumbers w:val="0"/>
              <w:spacing w:before="0" w:beforeAutospacing="0" w:after="0" w:afterAutospacing="0" w:line="300" w:lineRule="exact"/>
              <w:ind w:left="0" w:right="0"/>
              <w:jc w:val="center"/>
              <w:rPr>
                <w:rFonts w:hint="default" w:ascii="Times New Roman" w:hAnsi="Times New Roman" w:eastAsia="仿宋_GB2312"/>
                <w:color w:val="000000"/>
                <w:kern w:val="0"/>
                <w:szCs w:val="21"/>
              </w:rPr>
            </w:pPr>
            <w:r>
              <w:rPr>
                <w:rFonts w:hint="default" w:ascii="Times New Roman" w:hAnsi="Times New Roman" w:eastAsia="仿宋_GB2312"/>
                <w:color w:val="000000"/>
                <w:kern w:val="0"/>
                <w:szCs w:val="21"/>
              </w:rPr>
              <w:t>较高</w:t>
            </w:r>
          </w:p>
        </w:tc>
        <w:tc>
          <w:tcPr>
            <w:tcW w:w="6529" w:type="dxa"/>
            <w:vAlign w:val="center"/>
          </w:tcPr>
          <w:p>
            <w:pPr>
              <w:keepNext w:val="0"/>
              <w:keepLines w:val="0"/>
              <w:widowControl/>
              <w:suppressLineNumbers w:val="0"/>
              <w:spacing w:before="0" w:beforeAutospacing="0" w:after="0" w:afterAutospacing="0" w:line="300" w:lineRule="exact"/>
              <w:ind w:left="0" w:right="0"/>
              <w:rPr>
                <w:rFonts w:hint="default" w:ascii="Times New Roman" w:hAnsi="Times New Roman" w:eastAsia="仿宋_GB2312"/>
                <w:color w:val="000000"/>
                <w:kern w:val="0"/>
                <w:szCs w:val="21"/>
              </w:rPr>
            </w:pPr>
            <w:r>
              <w:rPr>
                <w:rFonts w:hint="default" w:ascii="Times New Roman" w:hAnsi="Times New Roman" w:eastAsia="仿宋_GB2312"/>
                <w:color w:val="000000"/>
                <w:kern w:val="0"/>
                <w:szCs w:val="21"/>
              </w:rPr>
              <w:t>罂粟碱、吗啡、可待因、那可丁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trPr>
        <w:tc>
          <w:tcPr>
            <w:tcW w:w="562" w:type="dxa"/>
            <w:vMerge w:val="continue"/>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olor w:val="000000"/>
                <w:kern w:val="0"/>
                <w:szCs w:val="21"/>
              </w:rPr>
            </w:pPr>
          </w:p>
        </w:tc>
        <w:tc>
          <w:tcPr>
            <w:tcW w:w="1325" w:type="dxa"/>
            <w:vMerge w:val="continue"/>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olor w:val="000000"/>
                <w:kern w:val="0"/>
                <w:szCs w:val="21"/>
              </w:rPr>
            </w:pPr>
          </w:p>
        </w:tc>
        <w:tc>
          <w:tcPr>
            <w:tcW w:w="1129" w:type="dxa"/>
            <w:vAlign w:val="center"/>
          </w:tcPr>
          <w:p>
            <w:pPr>
              <w:keepNext w:val="0"/>
              <w:keepLines w:val="0"/>
              <w:widowControl/>
              <w:suppressLineNumbers w:val="0"/>
              <w:spacing w:before="0" w:beforeAutospacing="0" w:after="0" w:afterAutospacing="0" w:line="300" w:lineRule="exact"/>
              <w:ind w:left="0" w:right="0"/>
              <w:jc w:val="center"/>
              <w:rPr>
                <w:rFonts w:hint="default" w:ascii="Times New Roman" w:hAnsi="Times New Roman" w:eastAsia="仿宋_GB2312"/>
                <w:color w:val="000000"/>
                <w:kern w:val="0"/>
                <w:szCs w:val="21"/>
              </w:rPr>
            </w:pPr>
            <w:r>
              <w:rPr>
                <w:rFonts w:hint="default" w:ascii="Times New Roman" w:hAnsi="Times New Roman" w:eastAsia="仿宋_GB2312"/>
                <w:color w:val="000000"/>
                <w:kern w:val="0"/>
                <w:szCs w:val="21"/>
              </w:rPr>
              <w:t>水产及水产制品（餐饮）</w:t>
            </w:r>
          </w:p>
        </w:tc>
        <w:tc>
          <w:tcPr>
            <w:tcW w:w="1545" w:type="dxa"/>
            <w:vAlign w:val="center"/>
          </w:tcPr>
          <w:p>
            <w:pPr>
              <w:keepNext w:val="0"/>
              <w:keepLines w:val="0"/>
              <w:widowControl/>
              <w:suppressLineNumbers w:val="0"/>
              <w:spacing w:before="0" w:beforeAutospacing="0" w:after="0" w:afterAutospacing="0" w:line="300" w:lineRule="exact"/>
              <w:ind w:left="0" w:right="0"/>
              <w:jc w:val="center"/>
              <w:rPr>
                <w:rFonts w:hint="default" w:ascii="Times New Roman" w:hAnsi="Times New Roman" w:eastAsia="仿宋_GB2312"/>
                <w:color w:val="000000"/>
                <w:kern w:val="0"/>
                <w:szCs w:val="21"/>
              </w:rPr>
            </w:pPr>
            <w:r>
              <w:rPr>
                <w:rFonts w:hint="default" w:ascii="Times New Roman" w:hAnsi="Times New Roman" w:eastAsia="仿宋_GB2312"/>
                <w:color w:val="000000"/>
                <w:kern w:val="0"/>
                <w:szCs w:val="21"/>
              </w:rPr>
              <w:t>水产及水产制品（餐饮）</w:t>
            </w:r>
          </w:p>
        </w:tc>
        <w:tc>
          <w:tcPr>
            <w:tcW w:w="2263" w:type="dxa"/>
            <w:vAlign w:val="center"/>
          </w:tcPr>
          <w:p>
            <w:pPr>
              <w:keepNext w:val="0"/>
              <w:keepLines w:val="0"/>
              <w:widowControl/>
              <w:suppressLineNumbers w:val="0"/>
              <w:spacing w:before="0" w:beforeAutospacing="0" w:after="0" w:afterAutospacing="0" w:line="300" w:lineRule="exact"/>
              <w:ind w:left="0" w:right="0"/>
              <w:jc w:val="center"/>
              <w:rPr>
                <w:rFonts w:hint="default" w:ascii="Times New Roman" w:hAnsi="Times New Roman" w:eastAsia="仿宋_GB2312"/>
                <w:color w:val="000000"/>
                <w:kern w:val="0"/>
                <w:szCs w:val="21"/>
              </w:rPr>
            </w:pPr>
            <w:r>
              <w:rPr>
                <w:rFonts w:hint="default" w:ascii="Times New Roman" w:hAnsi="Times New Roman" w:eastAsia="仿宋_GB2312"/>
                <w:color w:val="000000"/>
                <w:kern w:val="0"/>
                <w:szCs w:val="21"/>
              </w:rPr>
              <w:t>生食动物性水产品（餐饮）</w:t>
            </w:r>
          </w:p>
        </w:tc>
        <w:tc>
          <w:tcPr>
            <w:tcW w:w="835" w:type="dxa"/>
            <w:vAlign w:val="center"/>
          </w:tcPr>
          <w:p>
            <w:pPr>
              <w:keepNext w:val="0"/>
              <w:keepLines w:val="0"/>
              <w:widowControl/>
              <w:suppressLineNumbers w:val="0"/>
              <w:spacing w:before="0" w:beforeAutospacing="0" w:after="0" w:afterAutospacing="0" w:line="300" w:lineRule="exact"/>
              <w:ind w:left="0" w:right="0"/>
              <w:jc w:val="center"/>
              <w:rPr>
                <w:rFonts w:hint="default" w:ascii="Times New Roman" w:hAnsi="Times New Roman" w:eastAsia="仿宋_GB2312"/>
                <w:color w:val="000000"/>
                <w:kern w:val="0"/>
                <w:szCs w:val="21"/>
              </w:rPr>
            </w:pPr>
            <w:r>
              <w:rPr>
                <w:rFonts w:hint="default" w:ascii="Times New Roman" w:hAnsi="Times New Roman" w:eastAsia="仿宋_GB2312"/>
                <w:color w:val="000000"/>
                <w:kern w:val="0"/>
                <w:szCs w:val="21"/>
              </w:rPr>
              <w:t>高</w:t>
            </w:r>
          </w:p>
        </w:tc>
        <w:tc>
          <w:tcPr>
            <w:tcW w:w="6529" w:type="dxa"/>
            <w:vAlign w:val="center"/>
          </w:tcPr>
          <w:p>
            <w:pPr>
              <w:keepNext w:val="0"/>
              <w:keepLines w:val="0"/>
              <w:widowControl/>
              <w:suppressLineNumbers w:val="0"/>
              <w:spacing w:before="0" w:beforeAutospacing="0" w:after="0" w:afterAutospacing="0" w:line="300" w:lineRule="exact"/>
              <w:ind w:left="0" w:right="0"/>
              <w:rPr>
                <w:rFonts w:hint="default" w:ascii="Times New Roman" w:hAnsi="Times New Roman" w:eastAsia="仿宋_GB2312"/>
                <w:color w:val="000000"/>
                <w:kern w:val="0"/>
                <w:szCs w:val="21"/>
              </w:rPr>
            </w:pPr>
            <w:r>
              <w:rPr>
                <w:rFonts w:hint="default" w:ascii="Times New Roman" w:hAnsi="Times New Roman" w:eastAsia="仿宋_GB2312"/>
                <w:color w:val="000000"/>
                <w:kern w:val="0"/>
                <w:szCs w:val="21"/>
              </w:rPr>
              <w:t>挥发性盐基氮、镉（以Cd计）、铝的残留量（以即食海蜇中Al计）、吸虫囊蚴、线虫幼虫、绦虫裂头蚴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trPr>
        <w:tc>
          <w:tcPr>
            <w:tcW w:w="562" w:type="dxa"/>
            <w:vMerge w:val="continue"/>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olor w:val="000000"/>
                <w:kern w:val="0"/>
                <w:szCs w:val="21"/>
              </w:rPr>
            </w:pPr>
          </w:p>
        </w:tc>
        <w:tc>
          <w:tcPr>
            <w:tcW w:w="1325" w:type="dxa"/>
            <w:vMerge w:val="continue"/>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olor w:val="000000"/>
                <w:kern w:val="0"/>
                <w:szCs w:val="21"/>
              </w:rPr>
            </w:pPr>
          </w:p>
        </w:tc>
        <w:tc>
          <w:tcPr>
            <w:tcW w:w="1129" w:type="dxa"/>
            <w:vAlign w:val="center"/>
          </w:tcPr>
          <w:p>
            <w:pPr>
              <w:keepNext w:val="0"/>
              <w:keepLines w:val="0"/>
              <w:widowControl/>
              <w:suppressLineNumbers w:val="0"/>
              <w:spacing w:before="0" w:beforeAutospacing="0" w:after="0" w:afterAutospacing="0" w:line="300" w:lineRule="exact"/>
              <w:ind w:left="0" w:right="0"/>
              <w:jc w:val="center"/>
              <w:rPr>
                <w:rFonts w:hint="default" w:ascii="Times New Roman" w:hAnsi="Times New Roman" w:eastAsia="仿宋_GB2312"/>
                <w:color w:val="000000"/>
                <w:kern w:val="0"/>
                <w:szCs w:val="21"/>
              </w:rPr>
            </w:pPr>
            <w:r>
              <w:rPr>
                <w:rFonts w:hint="default" w:ascii="Times New Roman" w:hAnsi="Times New Roman" w:eastAsia="仿宋_GB2312"/>
                <w:color w:val="000000"/>
                <w:kern w:val="0"/>
                <w:szCs w:val="21"/>
              </w:rPr>
              <w:t>坚果及籽类食品（餐饮）</w:t>
            </w:r>
          </w:p>
        </w:tc>
        <w:tc>
          <w:tcPr>
            <w:tcW w:w="1545" w:type="dxa"/>
            <w:vAlign w:val="center"/>
          </w:tcPr>
          <w:p>
            <w:pPr>
              <w:keepNext w:val="0"/>
              <w:keepLines w:val="0"/>
              <w:widowControl/>
              <w:suppressLineNumbers w:val="0"/>
              <w:spacing w:before="0" w:beforeAutospacing="0" w:after="0" w:afterAutospacing="0" w:line="300" w:lineRule="exact"/>
              <w:ind w:left="0" w:right="0"/>
              <w:jc w:val="center"/>
              <w:rPr>
                <w:rFonts w:hint="default" w:ascii="Times New Roman" w:hAnsi="Times New Roman" w:eastAsia="仿宋_GB2312"/>
                <w:color w:val="000000"/>
                <w:kern w:val="0"/>
                <w:szCs w:val="21"/>
              </w:rPr>
            </w:pPr>
            <w:r>
              <w:rPr>
                <w:rFonts w:hint="default" w:ascii="Times New Roman" w:hAnsi="Times New Roman" w:eastAsia="仿宋_GB2312"/>
                <w:color w:val="000000"/>
                <w:kern w:val="0"/>
                <w:szCs w:val="21"/>
              </w:rPr>
              <w:t>坚果及籽类食品（餐饮）</w:t>
            </w:r>
          </w:p>
        </w:tc>
        <w:tc>
          <w:tcPr>
            <w:tcW w:w="2263" w:type="dxa"/>
            <w:vAlign w:val="center"/>
          </w:tcPr>
          <w:p>
            <w:pPr>
              <w:keepNext w:val="0"/>
              <w:keepLines w:val="0"/>
              <w:widowControl/>
              <w:suppressLineNumbers w:val="0"/>
              <w:spacing w:before="0" w:beforeAutospacing="0" w:after="0" w:afterAutospacing="0" w:line="300" w:lineRule="exact"/>
              <w:ind w:left="0" w:right="0"/>
              <w:jc w:val="center"/>
              <w:rPr>
                <w:rFonts w:hint="default" w:ascii="Times New Roman" w:hAnsi="Times New Roman" w:eastAsia="仿宋_GB2312"/>
                <w:color w:val="000000"/>
                <w:kern w:val="0"/>
                <w:szCs w:val="21"/>
              </w:rPr>
            </w:pPr>
            <w:r>
              <w:rPr>
                <w:rFonts w:hint="default" w:ascii="Times New Roman" w:hAnsi="Times New Roman" w:eastAsia="仿宋_GB2312"/>
                <w:color w:val="000000"/>
                <w:kern w:val="0"/>
                <w:szCs w:val="21"/>
              </w:rPr>
              <w:t>花生及其制品（餐饮)</w:t>
            </w:r>
          </w:p>
        </w:tc>
        <w:tc>
          <w:tcPr>
            <w:tcW w:w="835" w:type="dxa"/>
            <w:vAlign w:val="center"/>
          </w:tcPr>
          <w:p>
            <w:pPr>
              <w:keepNext w:val="0"/>
              <w:keepLines w:val="0"/>
              <w:widowControl/>
              <w:suppressLineNumbers w:val="0"/>
              <w:spacing w:before="0" w:beforeAutospacing="0" w:after="0" w:afterAutospacing="0" w:line="300" w:lineRule="exact"/>
              <w:ind w:left="0" w:right="0"/>
              <w:jc w:val="center"/>
              <w:rPr>
                <w:rFonts w:hint="default" w:ascii="Times New Roman" w:hAnsi="Times New Roman" w:eastAsia="仿宋_GB2312"/>
                <w:color w:val="000000"/>
                <w:kern w:val="0"/>
                <w:szCs w:val="21"/>
              </w:rPr>
            </w:pPr>
            <w:r>
              <w:rPr>
                <w:rFonts w:hint="default" w:ascii="Times New Roman" w:hAnsi="Times New Roman" w:eastAsia="仿宋_GB2312"/>
                <w:color w:val="000000"/>
                <w:kern w:val="0"/>
                <w:szCs w:val="21"/>
              </w:rPr>
              <w:t>较高</w:t>
            </w:r>
          </w:p>
        </w:tc>
        <w:tc>
          <w:tcPr>
            <w:tcW w:w="6529" w:type="dxa"/>
            <w:vAlign w:val="center"/>
          </w:tcPr>
          <w:p>
            <w:pPr>
              <w:keepNext w:val="0"/>
              <w:keepLines w:val="0"/>
              <w:widowControl/>
              <w:suppressLineNumbers w:val="0"/>
              <w:spacing w:before="0" w:beforeAutospacing="0" w:after="0" w:afterAutospacing="0" w:line="300" w:lineRule="exact"/>
              <w:ind w:left="0" w:right="0"/>
              <w:rPr>
                <w:rFonts w:hint="default" w:ascii="Times New Roman" w:hAnsi="Times New Roman" w:eastAsia="仿宋_GB2312"/>
                <w:color w:val="000000"/>
                <w:kern w:val="0"/>
                <w:szCs w:val="21"/>
              </w:rPr>
            </w:pPr>
            <w:r>
              <w:rPr>
                <w:rFonts w:hint="default" w:ascii="Times New Roman" w:hAnsi="Times New Roman" w:eastAsia="仿宋_GB2312"/>
                <w:color w:val="000000"/>
                <w:kern w:val="0"/>
                <w:szCs w:val="21"/>
              </w:rPr>
              <w:t>黄曲霉毒素B</w:t>
            </w:r>
            <w:r>
              <w:rPr>
                <w:rFonts w:hint="default" w:ascii="Times New Roman" w:hAnsi="Times New Roman" w:eastAsia="仿宋_GB2312"/>
                <w:color w:val="000000"/>
                <w:kern w:val="0"/>
                <w:szCs w:val="21"/>
                <w:vertAlign w:val="subscript"/>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562" w:type="dxa"/>
            <w:vMerge w:val="continue"/>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olor w:val="000000"/>
                <w:kern w:val="0"/>
                <w:szCs w:val="21"/>
              </w:rPr>
            </w:pPr>
          </w:p>
        </w:tc>
        <w:tc>
          <w:tcPr>
            <w:tcW w:w="1325" w:type="dxa"/>
            <w:vMerge w:val="continue"/>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olor w:val="000000"/>
                <w:kern w:val="0"/>
                <w:szCs w:val="21"/>
              </w:rPr>
            </w:pPr>
          </w:p>
        </w:tc>
        <w:tc>
          <w:tcPr>
            <w:tcW w:w="1129" w:type="dxa"/>
            <w:vMerge w:val="restart"/>
            <w:vAlign w:val="center"/>
          </w:tcPr>
          <w:p>
            <w:pPr>
              <w:keepNext w:val="0"/>
              <w:keepLines w:val="0"/>
              <w:widowControl/>
              <w:suppressLineNumbers w:val="0"/>
              <w:spacing w:before="0" w:beforeAutospacing="0" w:after="0" w:afterAutospacing="0" w:line="300" w:lineRule="exact"/>
              <w:ind w:left="0" w:right="0"/>
              <w:jc w:val="center"/>
              <w:rPr>
                <w:rFonts w:hint="default" w:ascii="Times New Roman" w:hAnsi="Times New Roman" w:eastAsia="仿宋_GB2312"/>
                <w:color w:val="000000"/>
                <w:kern w:val="0"/>
                <w:szCs w:val="21"/>
              </w:rPr>
            </w:pPr>
            <w:r>
              <w:rPr>
                <w:rFonts w:hint="default" w:ascii="Times New Roman" w:hAnsi="Times New Roman" w:eastAsia="仿宋_GB2312"/>
                <w:color w:val="000000"/>
                <w:kern w:val="0"/>
                <w:szCs w:val="21"/>
              </w:rPr>
              <w:t>餐饮具</w:t>
            </w:r>
          </w:p>
        </w:tc>
        <w:tc>
          <w:tcPr>
            <w:tcW w:w="1545" w:type="dxa"/>
            <w:vMerge w:val="restart"/>
            <w:vAlign w:val="center"/>
          </w:tcPr>
          <w:p>
            <w:pPr>
              <w:keepNext w:val="0"/>
              <w:keepLines w:val="0"/>
              <w:widowControl/>
              <w:suppressLineNumbers w:val="0"/>
              <w:spacing w:before="0" w:beforeAutospacing="0" w:after="0" w:afterAutospacing="0" w:line="300" w:lineRule="exact"/>
              <w:ind w:left="0" w:right="0"/>
              <w:jc w:val="center"/>
              <w:rPr>
                <w:rFonts w:hint="default" w:ascii="Times New Roman" w:hAnsi="Times New Roman" w:eastAsia="仿宋_GB2312"/>
                <w:color w:val="000000"/>
                <w:kern w:val="0"/>
                <w:szCs w:val="21"/>
              </w:rPr>
            </w:pPr>
            <w:r>
              <w:rPr>
                <w:rFonts w:hint="default" w:ascii="Times New Roman" w:hAnsi="Times New Roman" w:eastAsia="仿宋_GB2312"/>
                <w:color w:val="000000"/>
                <w:kern w:val="0"/>
                <w:szCs w:val="21"/>
              </w:rPr>
              <w:t>复用餐饮具</w:t>
            </w:r>
          </w:p>
        </w:tc>
        <w:tc>
          <w:tcPr>
            <w:tcW w:w="2263" w:type="dxa"/>
            <w:vAlign w:val="center"/>
          </w:tcPr>
          <w:p>
            <w:pPr>
              <w:keepNext w:val="0"/>
              <w:keepLines w:val="0"/>
              <w:widowControl/>
              <w:suppressLineNumbers w:val="0"/>
              <w:spacing w:before="0" w:beforeAutospacing="0" w:after="0" w:afterAutospacing="0" w:line="300" w:lineRule="exact"/>
              <w:ind w:left="0" w:right="0"/>
              <w:jc w:val="center"/>
              <w:rPr>
                <w:rFonts w:hint="default" w:ascii="Times New Roman" w:hAnsi="Times New Roman" w:eastAsia="仿宋_GB2312"/>
                <w:color w:val="000000"/>
                <w:kern w:val="0"/>
                <w:szCs w:val="21"/>
              </w:rPr>
            </w:pPr>
            <w:r>
              <w:rPr>
                <w:rFonts w:hint="default" w:ascii="Times New Roman" w:hAnsi="Times New Roman" w:eastAsia="仿宋_GB2312"/>
                <w:color w:val="000000"/>
                <w:kern w:val="0"/>
                <w:szCs w:val="21"/>
              </w:rPr>
              <w:t>复用餐饮具（餐馆自行消毒）</w:t>
            </w:r>
          </w:p>
        </w:tc>
        <w:tc>
          <w:tcPr>
            <w:tcW w:w="835" w:type="dxa"/>
            <w:vAlign w:val="center"/>
          </w:tcPr>
          <w:p>
            <w:pPr>
              <w:keepNext w:val="0"/>
              <w:keepLines w:val="0"/>
              <w:widowControl/>
              <w:suppressLineNumbers w:val="0"/>
              <w:spacing w:before="0" w:beforeAutospacing="0" w:after="0" w:afterAutospacing="0" w:line="300" w:lineRule="exact"/>
              <w:ind w:left="0" w:right="0"/>
              <w:jc w:val="center"/>
              <w:rPr>
                <w:rFonts w:hint="default" w:ascii="Times New Roman" w:hAnsi="Times New Roman" w:eastAsia="仿宋_GB2312"/>
                <w:color w:val="000000"/>
                <w:kern w:val="0"/>
                <w:szCs w:val="21"/>
              </w:rPr>
            </w:pPr>
            <w:r>
              <w:rPr>
                <w:rFonts w:hint="default" w:ascii="Times New Roman" w:hAnsi="Times New Roman" w:eastAsia="仿宋_GB2312"/>
                <w:color w:val="000000"/>
                <w:kern w:val="0"/>
                <w:szCs w:val="21"/>
              </w:rPr>
              <w:t>较高</w:t>
            </w:r>
          </w:p>
        </w:tc>
        <w:tc>
          <w:tcPr>
            <w:tcW w:w="6529" w:type="dxa"/>
            <w:vAlign w:val="center"/>
          </w:tcPr>
          <w:p>
            <w:pPr>
              <w:keepNext w:val="0"/>
              <w:keepLines w:val="0"/>
              <w:widowControl/>
              <w:suppressLineNumbers w:val="0"/>
              <w:spacing w:before="0" w:beforeAutospacing="0" w:after="0" w:afterAutospacing="0" w:line="300" w:lineRule="exact"/>
              <w:ind w:left="0" w:right="0"/>
              <w:rPr>
                <w:rFonts w:hint="default" w:ascii="Times New Roman" w:hAnsi="Times New Roman" w:eastAsia="仿宋_GB2312"/>
                <w:color w:val="000000"/>
                <w:kern w:val="0"/>
                <w:szCs w:val="21"/>
              </w:rPr>
            </w:pPr>
            <w:r>
              <w:rPr>
                <w:rFonts w:hint="default" w:ascii="Times New Roman" w:hAnsi="Times New Roman" w:eastAsia="仿宋_GB2312"/>
                <w:color w:val="000000"/>
                <w:kern w:val="0"/>
                <w:szCs w:val="21"/>
              </w:rPr>
              <w:t>阴离子合成洗涤剂（以十二烷基苯磺酸钠计）、大肠菌群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562" w:type="dxa"/>
            <w:vMerge w:val="continue"/>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olor w:val="000000"/>
                <w:kern w:val="0"/>
                <w:szCs w:val="21"/>
              </w:rPr>
            </w:pPr>
          </w:p>
        </w:tc>
        <w:tc>
          <w:tcPr>
            <w:tcW w:w="1325" w:type="dxa"/>
            <w:vMerge w:val="continue"/>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olor w:val="000000"/>
                <w:kern w:val="0"/>
                <w:szCs w:val="21"/>
              </w:rPr>
            </w:pPr>
          </w:p>
        </w:tc>
        <w:tc>
          <w:tcPr>
            <w:tcW w:w="1129" w:type="dxa"/>
            <w:vMerge w:val="continue"/>
            <w:vAlign w:val="center"/>
          </w:tcPr>
          <w:p>
            <w:pPr>
              <w:keepNext w:val="0"/>
              <w:keepLines w:val="0"/>
              <w:widowControl/>
              <w:suppressLineNumbers w:val="0"/>
              <w:spacing w:before="0" w:beforeAutospacing="0" w:after="0" w:afterAutospacing="0" w:line="300" w:lineRule="exact"/>
              <w:ind w:left="0" w:right="0"/>
              <w:jc w:val="center"/>
              <w:rPr>
                <w:rFonts w:hint="default" w:ascii="Times New Roman" w:hAnsi="Times New Roman" w:eastAsia="仿宋_GB2312"/>
                <w:color w:val="000000"/>
                <w:kern w:val="0"/>
                <w:szCs w:val="21"/>
              </w:rPr>
            </w:pPr>
          </w:p>
        </w:tc>
        <w:tc>
          <w:tcPr>
            <w:tcW w:w="1545" w:type="dxa"/>
            <w:vMerge w:val="continue"/>
            <w:vAlign w:val="center"/>
          </w:tcPr>
          <w:p>
            <w:pPr>
              <w:keepNext w:val="0"/>
              <w:keepLines w:val="0"/>
              <w:widowControl/>
              <w:suppressLineNumbers w:val="0"/>
              <w:spacing w:before="0" w:beforeAutospacing="0" w:after="0" w:afterAutospacing="0" w:line="300" w:lineRule="exact"/>
              <w:ind w:left="0" w:right="0"/>
              <w:jc w:val="center"/>
              <w:rPr>
                <w:rFonts w:hint="default" w:ascii="Times New Roman" w:hAnsi="Times New Roman" w:eastAsia="仿宋_GB2312"/>
                <w:color w:val="000000"/>
                <w:kern w:val="0"/>
                <w:szCs w:val="21"/>
              </w:rPr>
            </w:pPr>
          </w:p>
        </w:tc>
        <w:tc>
          <w:tcPr>
            <w:tcW w:w="2263" w:type="dxa"/>
            <w:vAlign w:val="center"/>
          </w:tcPr>
          <w:p>
            <w:pPr>
              <w:keepNext w:val="0"/>
              <w:keepLines w:val="0"/>
              <w:widowControl/>
              <w:suppressLineNumbers w:val="0"/>
              <w:spacing w:before="0" w:beforeAutospacing="0" w:after="0" w:afterAutospacing="0" w:line="300" w:lineRule="exact"/>
              <w:ind w:left="0" w:right="0"/>
              <w:jc w:val="center"/>
              <w:rPr>
                <w:rFonts w:hint="default" w:ascii="Times New Roman" w:hAnsi="Times New Roman" w:eastAsia="仿宋_GB2312"/>
                <w:color w:val="000000"/>
                <w:kern w:val="0"/>
                <w:szCs w:val="21"/>
              </w:rPr>
            </w:pPr>
            <w:r>
              <w:rPr>
                <w:rFonts w:hint="default" w:ascii="Times New Roman" w:hAnsi="Times New Roman" w:eastAsia="仿宋_GB2312"/>
                <w:color w:val="000000"/>
                <w:kern w:val="0"/>
                <w:szCs w:val="21"/>
              </w:rPr>
              <w:t>复用餐饮具（集中清洗消毒服务单位消毒）</w:t>
            </w:r>
          </w:p>
        </w:tc>
        <w:tc>
          <w:tcPr>
            <w:tcW w:w="835" w:type="dxa"/>
            <w:vAlign w:val="center"/>
          </w:tcPr>
          <w:p>
            <w:pPr>
              <w:keepNext w:val="0"/>
              <w:keepLines w:val="0"/>
              <w:widowControl/>
              <w:suppressLineNumbers w:val="0"/>
              <w:spacing w:before="0" w:beforeAutospacing="0" w:after="0" w:afterAutospacing="0" w:line="300" w:lineRule="exact"/>
              <w:ind w:left="0" w:right="0"/>
              <w:jc w:val="center"/>
              <w:rPr>
                <w:rFonts w:hint="default" w:ascii="Times New Roman" w:hAnsi="Times New Roman" w:eastAsia="仿宋_GB2312"/>
                <w:color w:val="000000"/>
                <w:kern w:val="0"/>
                <w:szCs w:val="21"/>
              </w:rPr>
            </w:pPr>
            <w:r>
              <w:rPr>
                <w:rFonts w:hint="default" w:ascii="Times New Roman" w:hAnsi="Times New Roman" w:eastAsia="仿宋_GB2312"/>
                <w:color w:val="000000"/>
                <w:kern w:val="0"/>
                <w:szCs w:val="21"/>
              </w:rPr>
              <w:t>较高</w:t>
            </w:r>
          </w:p>
        </w:tc>
        <w:tc>
          <w:tcPr>
            <w:tcW w:w="6529" w:type="dxa"/>
            <w:vAlign w:val="center"/>
          </w:tcPr>
          <w:p>
            <w:pPr>
              <w:keepNext w:val="0"/>
              <w:keepLines w:val="0"/>
              <w:widowControl/>
              <w:suppressLineNumbers w:val="0"/>
              <w:spacing w:before="0" w:beforeAutospacing="0" w:after="0" w:afterAutospacing="0" w:line="300" w:lineRule="exact"/>
              <w:ind w:left="0" w:right="0"/>
              <w:rPr>
                <w:rFonts w:hint="default" w:ascii="Times New Roman" w:hAnsi="Times New Roman" w:eastAsia="仿宋_GB2312"/>
                <w:color w:val="000000"/>
                <w:kern w:val="0"/>
                <w:szCs w:val="21"/>
              </w:rPr>
            </w:pPr>
            <w:r>
              <w:rPr>
                <w:rFonts w:hint="default" w:ascii="Times New Roman" w:hAnsi="Times New Roman" w:eastAsia="仿宋_GB2312"/>
                <w:color w:val="000000"/>
                <w:kern w:val="0"/>
                <w:szCs w:val="21"/>
              </w:rPr>
              <w:t>阴离子合成洗涤剂（以十二烷基苯磺酸钠计）、大肠菌群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562" w:type="dxa"/>
            <w:vMerge w:val="continue"/>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olor w:val="000000"/>
                <w:kern w:val="0"/>
                <w:szCs w:val="21"/>
              </w:rPr>
            </w:pPr>
          </w:p>
        </w:tc>
        <w:tc>
          <w:tcPr>
            <w:tcW w:w="1325" w:type="dxa"/>
            <w:vMerge w:val="continue"/>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olor w:val="000000"/>
                <w:kern w:val="0"/>
                <w:szCs w:val="21"/>
              </w:rPr>
            </w:pPr>
          </w:p>
        </w:tc>
        <w:tc>
          <w:tcPr>
            <w:tcW w:w="1129" w:type="dxa"/>
            <w:vMerge w:val="restart"/>
            <w:vAlign w:val="center"/>
          </w:tcPr>
          <w:p>
            <w:pPr>
              <w:keepNext w:val="0"/>
              <w:keepLines w:val="0"/>
              <w:widowControl/>
              <w:suppressLineNumbers w:val="0"/>
              <w:spacing w:before="0" w:beforeAutospacing="0" w:after="0" w:afterAutospacing="0" w:line="300" w:lineRule="exact"/>
              <w:ind w:left="0" w:right="0"/>
              <w:jc w:val="center"/>
              <w:rPr>
                <w:rFonts w:hint="default" w:ascii="Times New Roman" w:hAnsi="Times New Roman" w:eastAsia="仿宋_GB2312"/>
                <w:color w:val="000000"/>
                <w:kern w:val="0"/>
                <w:szCs w:val="21"/>
              </w:rPr>
            </w:pPr>
            <w:r>
              <w:rPr>
                <w:rFonts w:hint="default" w:ascii="Times New Roman" w:hAnsi="Times New Roman" w:eastAsia="仿宋_GB2312"/>
                <w:color w:val="000000"/>
                <w:kern w:val="0"/>
                <w:szCs w:val="21"/>
              </w:rPr>
              <w:t>饮料（自制）</w:t>
            </w:r>
          </w:p>
        </w:tc>
        <w:tc>
          <w:tcPr>
            <w:tcW w:w="1545" w:type="dxa"/>
            <w:vMerge w:val="restart"/>
            <w:vAlign w:val="center"/>
          </w:tcPr>
          <w:p>
            <w:pPr>
              <w:keepNext w:val="0"/>
              <w:keepLines w:val="0"/>
              <w:widowControl/>
              <w:suppressLineNumbers w:val="0"/>
              <w:spacing w:before="0" w:beforeAutospacing="0" w:after="0" w:afterAutospacing="0" w:line="300" w:lineRule="exact"/>
              <w:ind w:left="0" w:right="0"/>
              <w:jc w:val="center"/>
              <w:rPr>
                <w:rFonts w:hint="default" w:ascii="Times New Roman" w:hAnsi="Times New Roman" w:eastAsia="仿宋_GB2312"/>
                <w:color w:val="000000"/>
                <w:kern w:val="0"/>
                <w:szCs w:val="21"/>
              </w:rPr>
            </w:pPr>
            <w:r>
              <w:rPr>
                <w:rFonts w:hint="default" w:ascii="Times New Roman" w:hAnsi="Times New Roman" w:eastAsia="仿宋_GB2312"/>
                <w:color w:val="000000"/>
                <w:kern w:val="0"/>
                <w:szCs w:val="21"/>
              </w:rPr>
              <w:t>饮料（自制）</w:t>
            </w:r>
          </w:p>
        </w:tc>
        <w:tc>
          <w:tcPr>
            <w:tcW w:w="2263" w:type="dxa"/>
            <w:vAlign w:val="center"/>
          </w:tcPr>
          <w:p>
            <w:pPr>
              <w:keepNext w:val="0"/>
              <w:keepLines w:val="0"/>
              <w:widowControl/>
              <w:suppressLineNumbers w:val="0"/>
              <w:spacing w:before="0" w:beforeAutospacing="0" w:after="0" w:afterAutospacing="0" w:line="300" w:lineRule="exact"/>
              <w:ind w:left="0" w:right="0"/>
              <w:jc w:val="center"/>
              <w:rPr>
                <w:rFonts w:hint="default" w:ascii="Times New Roman" w:hAnsi="Times New Roman" w:eastAsia="仿宋_GB2312"/>
                <w:color w:val="000000"/>
                <w:kern w:val="0"/>
                <w:szCs w:val="21"/>
              </w:rPr>
            </w:pPr>
            <w:r>
              <w:rPr>
                <w:rFonts w:hint="default" w:ascii="Times New Roman" w:hAnsi="Times New Roman" w:eastAsia="仿宋_GB2312"/>
                <w:color w:val="000000"/>
                <w:kern w:val="0"/>
                <w:szCs w:val="21"/>
              </w:rPr>
              <w:t>果蔬汁等饮料（自制）</w:t>
            </w:r>
          </w:p>
        </w:tc>
        <w:tc>
          <w:tcPr>
            <w:tcW w:w="835" w:type="dxa"/>
            <w:vAlign w:val="center"/>
          </w:tcPr>
          <w:p>
            <w:pPr>
              <w:keepNext w:val="0"/>
              <w:keepLines w:val="0"/>
              <w:widowControl/>
              <w:suppressLineNumbers w:val="0"/>
              <w:spacing w:before="0" w:beforeAutospacing="0" w:after="0" w:afterAutospacing="0" w:line="300" w:lineRule="exact"/>
              <w:ind w:left="0" w:right="0"/>
              <w:jc w:val="center"/>
              <w:rPr>
                <w:rFonts w:hint="default" w:ascii="Times New Roman" w:hAnsi="Times New Roman" w:eastAsia="仿宋_GB2312"/>
                <w:color w:val="000000"/>
                <w:kern w:val="0"/>
                <w:szCs w:val="21"/>
              </w:rPr>
            </w:pPr>
            <w:r>
              <w:rPr>
                <w:rFonts w:hint="default" w:ascii="Times New Roman" w:hAnsi="Times New Roman" w:eastAsia="仿宋_GB2312"/>
                <w:color w:val="000000"/>
                <w:kern w:val="0"/>
                <w:szCs w:val="21"/>
              </w:rPr>
              <w:t>较高</w:t>
            </w:r>
          </w:p>
        </w:tc>
        <w:tc>
          <w:tcPr>
            <w:tcW w:w="6529" w:type="dxa"/>
            <w:vAlign w:val="center"/>
          </w:tcPr>
          <w:p>
            <w:pPr>
              <w:keepNext w:val="0"/>
              <w:keepLines w:val="0"/>
              <w:widowControl/>
              <w:suppressLineNumbers w:val="0"/>
              <w:spacing w:before="0" w:beforeAutospacing="0" w:after="0" w:afterAutospacing="0" w:line="300" w:lineRule="exact"/>
              <w:ind w:left="0" w:right="0"/>
              <w:rPr>
                <w:rFonts w:hint="default" w:ascii="Times New Roman" w:hAnsi="Times New Roman" w:eastAsia="仿宋_GB2312"/>
                <w:color w:val="000000"/>
                <w:kern w:val="0"/>
                <w:szCs w:val="21"/>
              </w:rPr>
            </w:pPr>
            <w:bookmarkStart w:id="0" w:name="OLE_LINK3"/>
            <w:r>
              <w:rPr>
                <w:rFonts w:hint="default" w:ascii="Times New Roman" w:hAnsi="Times New Roman" w:eastAsia="仿宋_GB2312"/>
                <w:color w:val="000000"/>
                <w:kern w:val="0"/>
                <w:szCs w:val="21"/>
              </w:rPr>
              <w:t>苯甲酸及其钠盐（以苯甲酸计）、山梨酸及其钾盐（以山梨酸计）、脱氢乙酸及其钠盐（以脱氢乙酸计）、安赛蜜、甜蜜素（以环己基氨基磺酸计）、</w:t>
            </w:r>
            <w:bookmarkEnd w:id="0"/>
            <w:bookmarkStart w:id="1" w:name="OLE_LINK1"/>
            <w:r>
              <w:rPr>
                <w:rFonts w:hint="default" w:ascii="Times New Roman" w:hAnsi="Times New Roman" w:eastAsia="仿宋_GB2312"/>
                <w:color w:val="000000"/>
                <w:kern w:val="0"/>
                <w:szCs w:val="21"/>
              </w:rPr>
              <w:t>合成着色剂（苋菜红、胭脂红、柠檬黄、日落黄、亮蓝，视产品具体色泽而定）</w:t>
            </w:r>
            <w:bookmarkEnd w:id="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562" w:type="dxa"/>
            <w:vMerge w:val="continue"/>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olor w:val="000000"/>
                <w:kern w:val="0"/>
                <w:szCs w:val="21"/>
              </w:rPr>
            </w:pPr>
          </w:p>
        </w:tc>
        <w:tc>
          <w:tcPr>
            <w:tcW w:w="1325" w:type="dxa"/>
            <w:vMerge w:val="continue"/>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olor w:val="000000"/>
                <w:kern w:val="0"/>
                <w:szCs w:val="21"/>
              </w:rPr>
            </w:pPr>
          </w:p>
        </w:tc>
        <w:tc>
          <w:tcPr>
            <w:tcW w:w="1129" w:type="dxa"/>
            <w:vMerge w:val="continue"/>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olor w:val="000000"/>
                <w:kern w:val="0"/>
                <w:szCs w:val="21"/>
              </w:rPr>
            </w:pPr>
          </w:p>
        </w:tc>
        <w:tc>
          <w:tcPr>
            <w:tcW w:w="1545" w:type="dxa"/>
            <w:vMerge w:val="continue"/>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olor w:val="000000"/>
                <w:kern w:val="0"/>
                <w:szCs w:val="21"/>
              </w:rPr>
            </w:pPr>
          </w:p>
        </w:tc>
        <w:tc>
          <w:tcPr>
            <w:tcW w:w="2263" w:type="dxa"/>
            <w:vAlign w:val="center"/>
          </w:tcPr>
          <w:p>
            <w:pPr>
              <w:keepNext w:val="0"/>
              <w:keepLines w:val="0"/>
              <w:widowControl/>
              <w:suppressLineNumbers w:val="0"/>
              <w:spacing w:before="0" w:beforeAutospacing="0" w:after="0" w:afterAutospacing="0" w:line="300" w:lineRule="exact"/>
              <w:ind w:left="0" w:right="0"/>
              <w:jc w:val="center"/>
              <w:rPr>
                <w:rFonts w:hint="default" w:ascii="Times New Roman" w:hAnsi="Times New Roman" w:eastAsia="仿宋_GB2312"/>
                <w:color w:val="000000"/>
                <w:kern w:val="0"/>
                <w:szCs w:val="21"/>
              </w:rPr>
            </w:pPr>
            <w:r>
              <w:rPr>
                <w:rFonts w:hint="default" w:ascii="Times New Roman" w:hAnsi="Times New Roman" w:eastAsia="仿宋_GB2312"/>
                <w:color w:val="000000"/>
                <w:kern w:val="0"/>
                <w:szCs w:val="21"/>
              </w:rPr>
              <w:t>其他饮料（自制）</w:t>
            </w:r>
          </w:p>
        </w:tc>
        <w:tc>
          <w:tcPr>
            <w:tcW w:w="835" w:type="dxa"/>
            <w:vAlign w:val="center"/>
          </w:tcPr>
          <w:p>
            <w:pPr>
              <w:keepNext w:val="0"/>
              <w:keepLines w:val="0"/>
              <w:widowControl/>
              <w:suppressLineNumbers w:val="0"/>
              <w:spacing w:before="0" w:beforeAutospacing="0" w:after="0" w:afterAutospacing="0" w:line="300" w:lineRule="exact"/>
              <w:ind w:left="0" w:right="0"/>
              <w:jc w:val="center"/>
              <w:rPr>
                <w:rFonts w:hint="default" w:ascii="Times New Roman" w:hAnsi="Times New Roman" w:eastAsia="仿宋_GB2312"/>
                <w:color w:val="000000"/>
                <w:kern w:val="0"/>
                <w:szCs w:val="21"/>
              </w:rPr>
            </w:pPr>
            <w:r>
              <w:rPr>
                <w:rFonts w:hint="default" w:ascii="Times New Roman" w:hAnsi="Times New Roman" w:eastAsia="仿宋_GB2312"/>
                <w:color w:val="000000"/>
                <w:kern w:val="0"/>
                <w:szCs w:val="21"/>
              </w:rPr>
              <w:t>较高</w:t>
            </w:r>
          </w:p>
        </w:tc>
        <w:tc>
          <w:tcPr>
            <w:tcW w:w="6529" w:type="dxa"/>
            <w:vAlign w:val="center"/>
          </w:tcPr>
          <w:p>
            <w:pPr>
              <w:keepNext w:val="0"/>
              <w:keepLines w:val="0"/>
              <w:widowControl/>
              <w:suppressLineNumbers w:val="0"/>
              <w:spacing w:before="0" w:beforeAutospacing="0" w:after="0" w:afterAutospacing="0" w:line="300" w:lineRule="exact"/>
              <w:ind w:left="0" w:right="0"/>
              <w:rPr>
                <w:rFonts w:hint="default" w:ascii="Times New Roman" w:hAnsi="Times New Roman" w:eastAsia="仿宋_GB2312"/>
                <w:color w:val="000000"/>
                <w:kern w:val="0"/>
                <w:szCs w:val="21"/>
              </w:rPr>
            </w:pPr>
            <w:r>
              <w:rPr>
                <w:rFonts w:hint="default" w:ascii="Times New Roman" w:hAnsi="Times New Roman" w:eastAsia="仿宋_GB2312"/>
                <w:color w:val="000000"/>
                <w:kern w:val="0"/>
                <w:szCs w:val="21"/>
              </w:rPr>
              <w:t>苯甲酸及其钠盐（以苯甲酸计）、山梨酸及其钾盐（以山梨酸计）、甜蜜素（以环己基氨基磺酸计）、合成着色剂（苋菜红、胭脂红、柠檬黄、日落黄、亮蓝，视产品具体色泽而定）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562" w:type="dxa"/>
            <w:vMerge w:val="continue"/>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olor w:val="000000"/>
                <w:kern w:val="0"/>
                <w:szCs w:val="21"/>
              </w:rPr>
            </w:pPr>
          </w:p>
        </w:tc>
        <w:tc>
          <w:tcPr>
            <w:tcW w:w="1325" w:type="dxa"/>
            <w:vMerge w:val="continue"/>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olor w:val="000000"/>
                <w:kern w:val="0"/>
                <w:szCs w:val="21"/>
              </w:rPr>
            </w:pPr>
          </w:p>
        </w:tc>
        <w:tc>
          <w:tcPr>
            <w:tcW w:w="1129" w:type="dxa"/>
            <w:vAlign w:val="center"/>
          </w:tcPr>
          <w:p>
            <w:pPr>
              <w:keepNext w:val="0"/>
              <w:keepLines w:val="0"/>
              <w:widowControl/>
              <w:suppressLineNumbers w:val="0"/>
              <w:spacing w:before="0" w:beforeAutospacing="0" w:after="0" w:afterAutospacing="0" w:line="300" w:lineRule="exact"/>
              <w:ind w:left="0" w:right="0"/>
              <w:jc w:val="center"/>
              <w:rPr>
                <w:rFonts w:hint="default" w:ascii="Times New Roman" w:hAnsi="Times New Roman" w:eastAsia="仿宋_GB2312"/>
                <w:color w:val="000000"/>
                <w:kern w:val="0"/>
                <w:szCs w:val="21"/>
              </w:rPr>
            </w:pPr>
            <w:r>
              <w:rPr>
                <w:rFonts w:hint="default" w:ascii="Times New Roman" w:hAnsi="Times New Roman" w:eastAsia="仿宋_GB2312"/>
                <w:color w:val="000000"/>
                <w:kern w:val="0"/>
                <w:szCs w:val="21"/>
              </w:rPr>
              <w:t>其他餐饮食品</w:t>
            </w:r>
          </w:p>
        </w:tc>
        <w:tc>
          <w:tcPr>
            <w:tcW w:w="1545" w:type="dxa"/>
            <w:vAlign w:val="center"/>
          </w:tcPr>
          <w:p>
            <w:pPr>
              <w:keepNext w:val="0"/>
              <w:keepLines w:val="0"/>
              <w:widowControl/>
              <w:suppressLineNumbers w:val="0"/>
              <w:spacing w:before="0" w:beforeAutospacing="0" w:after="0" w:afterAutospacing="0" w:line="300" w:lineRule="exact"/>
              <w:ind w:left="0" w:right="0"/>
              <w:jc w:val="center"/>
              <w:rPr>
                <w:rFonts w:hint="default" w:ascii="Times New Roman" w:hAnsi="Times New Roman" w:eastAsia="仿宋_GB2312"/>
                <w:color w:val="000000"/>
                <w:kern w:val="0"/>
                <w:szCs w:val="21"/>
              </w:rPr>
            </w:pPr>
            <w:r>
              <w:rPr>
                <w:rFonts w:hint="default" w:ascii="Times New Roman" w:hAnsi="Times New Roman" w:eastAsia="仿宋_GB2312"/>
                <w:color w:val="000000"/>
                <w:kern w:val="0"/>
                <w:szCs w:val="21"/>
              </w:rPr>
              <w:t>焙烤食品（餐饮）</w:t>
            </w:r>
          </w:p>
        </w:tc>
        <w:tc>
          <w:tcPr>
            <w:tcW w:w="2263" w:type="dxa"/>
            <w:vAlign w:val="center"/>
          </w:tcPr>
          <w:p>
            <w:pPr>
              <w:keepNext w:val="0"/>
              <w:keepLines w:val="0"/>
              <w:widowControl/>
              <w:suppressLineNumbers w:val="0"/>
              <w:spacing w:before="0" w:beforeAutospacing="0" w:after="0" w:afterAutospacing="0" w:line="300" w:lineRule="exact"/>
              <w:ind w:left="0" w:right="0"/>
              <w:jc w:val="center"/>
              <w:rPr>
                <w:rFonts w:hint="default" w:ascii="Times New Roman" w:hAnsi="Times New Roman" w:eastAsia="仿宋_GB2312"/>
                <w:color w:val="000000"/>
                <w:kern w:val="0"/>
                <w:szCs w:val="21"/>
              </w:rPr>
            </w:pPr>
            <w:r>
              <w:rPr>
                <w:rFonts w:hint="default" w:ascii="Times New Roman" w:hAnsi="Times New Roman" w:eastAsia="仿宋_GB2312"/>
                <w:color w:val="000000"/>
                <w:kern w:val="0"/>
                <w:szCs w:val="21"/>
              </w:rPr>
              <w:t>糕点（餐饮单位自制）</w:t>
            </w:r>
          </w:p>
        </w:tc>
        <w:tc>
          <w:tcPr>
            <w:tcW w:w="835" w:type="dxa"/>
            <w:vAlign w:val="center"/>
          </w:tcPr>
          <w:p>
            <w:pPr>
              <w:keepNext w:val="0"/>
              <w:keepLines w:val="0"/>
              <w:widowControl/>
              <w:suppressLineNumbers w:val="0"/>
              <w:spacing w:before="0" w:beforeAutospacing="0" w:after="0" w:afterAutospacing="0" w:line="300" w:lineRule="exact"/>
              <w:ind w:left="0" w:right="0"/>
              <w:jc w:val="center"/>
              <w:rPr>
                <w:rFonts w:hint="default" w:ascii="Times New Roman" w:hAnsi="Times New Roman" w:eastAsia="仿宋_GB2312"/>
                <w:color w:val="000000"/>
                <w:kern w:val="0"/>
                <w:szCs w:val="21"/>
              </w:rPr>
            </w:pPr>
            <w:r>
              <w:rPr>
                <w:rFonts w:hint="default" w:ascii="Times New Roman" w:hAnsi="Times New Roman" w:eastAsia="仿宋_GB2312"/>
                <w:color w:val="000000"/>
                <w:kern w:val="0"/>
                <w:szCs w:val="21"/>
              </w:rPr>
              <w:t>较高</w:t>
            </w:r>
          </w:p>
        </w:tc>
        <w:tc>
          <w:tcPr>
            <w:tcW w:w="6529" w:type="dxa"/>
            <w:vAlign w:val="center"/>
          </w:tcPr>
          <w:p>
            <w:pPr>
              <w:keepNext w:val="0"/>
              <w:keepLines w:val="0"/>
              <w:widowControl/>
              <w:suppressLineNumbers w:val="0"/>
              <w:spacing w:before="0" w:beforeAutospacing="0" w:after="0" w:afterAutospacing="0" w:line="300" w:lineRule="exact"/>
              <w:ind w:left="0" w:right="0"/>
              <w:rPr>
                <w:rFonts w:hint="default" w:ascii="Times New Roman" w:hAnsi="Times New Roman" w:eastAsia="仿宋_GB2312"/>
                <w:color w:val="000000"/>
                <w:kern w:val="0"/>
                <w:szCs w:val="21"/>
              </w:rPr>
            </w:pPr>
            <w:r>
              <w:rPr>
                <w:rFonts w:hint="default" w:ascii="Times New Roman" w:hAnsi="Times New Roman" w:eastAsia="仿宋_GB2312"/>
                <w:color w:val="000000"/>
                <w:kern w:val="0"/>
                <w:szCs w:val="21"/>
              </w:rPr>
              <w:t>苯甲酸及其钠盐（以苯甲酸计）、山梨酸及其钾盐（以山梨酸计）、脱氢乙酸及其钠盐（以脱氢乙酸计）、安赛蜜、甜蜜素（以环己基氨基磺酸计）、糖精钠（以糖精计）、铝的残留量（干样品，以Al计）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562" w:type="dxa"/>
            <w:vMerge w:val="continue"/>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olor w:val="000000"/>
                <w:kern w:val="0"/>
                <w:szCs w:val="21"/>
              </w:rPr>
            </w:pPr>
          </w:p>
        </w:tc>
        <w:tc>
          <w:tcPr>
            <w:tcW w:w="1325" w:type="dxa"/>
            <w:vMerge w:val="continue"/>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仿宋_GB2312"/>
                <w:color w:val="000000"/>
                <w:kern w:val="0"/>
                <w:szCs w:val="21"/>
              </w:rPr>
            </w:pPr>
          </w:p>
        </w:tc>
        <w:tc>
          <w:tcPr>
            <w:tcW w:w="1129" w:type="dxa"/>
            <w:vAlign w:val="center"/>
          </w:tcPr>
          <w:p>
            <w:pPr>
              <w:keepNext w:val="0"/>
              <w:keepLines w:val="0"/>
              <w:widowControl/>
              <w:suppressLineNumbers w:val="0"/>
              <w:spacing w:before="0" w:beforeAutospacing="0" w:after="0" w:afterAutospacing="0" w:line="300" w:lineRule="exact"/>
              <w:ind w:left="0" w:right="0"/>
              <w:jc w:val="center"/>
              <w:rPr>
                <w:rFonts w:hint="default" w:ascii="Times New Roman" w:hAnsi="Times New Roman" w:eastAsia="仿宋_GB2312"/>
                <w:color w:val="000000"/>
                <w:kern w:val="0"/>
                <w:szCs w:val="21"/>
              </w:rPr>
            </w:pPr>
            <w:r>
              <w:rPr>
                <w:rFonts w:hint="default" w:ascii="Times New Roman" w:hAnsi="Times New Roman" w:eastAsia="仿宋_GB2312"/>
                <w:color w:val="000000"/>
                <w:kern w:val="0"/>
                <w:szCs w:val="21"/>
              </w:rPr>
              <w:t>其他餐饮食品</w:t>
            </w:r>
          </w:p>
        </w:tc>
        <w:tc>
          <w:tcPr>
            <w:tcW w:w="1545" w:type="dxa"/>
            <w:vAlign w:val="center"/>
          </w:tcPr>
          <w:p>
            <w:pPr>
              <w:keepNext w:val="0"/>
              <w:keepLines w:val="0"/>
              <w:widowControl/>
              <w:suppressLineNumbers w:val="0"/>
              <w:spacing w:before="0" w:beforeAutospacing="0" w:after="0" w:afterAutospacing="0" w:line="300" w:lineRule="exact"/>
              <w:ind w:left="0" w:right="0"/>
              <w:jc w:val="center"/>
              <w:rPr>
                <w:rFonts w:hint="default" w:ascii="Times New Roman" w:hAnsi="Times New Roman" w:eastAsia="仿宋_GB2312"/>
                <w:color w:val="000000"/>
                <w:kern w:val="0"/>
                <w:szCs w:val="21"/>
              </w:rPr>
            </w:pPr>
            <w:r>
              <w:rPr>
                <w:rFonts w:hint="default" w:ascii="Times New Roman" w:hAnsi="Times New Roman" w:eastAsia="仿宋_GB2312"/>
                <w:color w:val="000000"/>
                <w:kern w:val="0"/>
                <w:szCs w:val="21"/>
              </w:rPr>
              <w:t>凉菜类（餐饮）</w:t>
            </w:r>
          </w:p>
        </w:tc>
        <w:tc>
          <w:tcPr>
            <w:tcW w:w="2263" w:type="dxa"/>
            <w:vAlign w:val="center"/>
          </w:tcPr>
          <w:p>
            <w:pPr>
              <w:keepNext w:val="0"/>
              <w:keepLines w:val="0"/>
              <w:widowControl/>
              <w:suppressLineNumbers w:val="0"/>
              <w:spacing w:before="0" w:beforeAutospacing="0" w:after="0" w:afterAutospacing="0" w:line="300" w:lineRule="exact"/>
              <w:ind w:left="0" w:right="0"/>
              <w:jc w:val="center"/>
              <w:rPr>
                <w:rFonts w:hint="default" w:ascii="Times New Roman" w:hAnsi="Times New Roman" w:eastAsia="仿宋_GB2312"/>
                <w:color w:val="000000"/>
                <w:kern w:val="0"/>
                <w:szCs w:val="21"/>
              </w:rPr>
            </w:pPr>
            <w:r>
              <w:rPr>
                <w:rFonts w:hint="default" w:ascii="Times New Roman" w:hAnsi="Times New Roman" w:eastAsia="仿宋_GB2312"/>
                <w:color w:val="000000"/>
                <w:kern w:val="0"/>
                <w:szCs w:val="21"/>
              </w:rPr>
              <w:t>酱腌菜（餐饮）</w:t>
            </w:r>
          </w:p>
        </w:tc>
        <w:tc>
          <w:tcPr>
            <w:tcW w:w="835" w:type="dxa"/>
            <w:vAlign w:val="center"/>
          </w:tcPr>
          <w:p>
            <w:pPr>
              <w:keepNext w:val="0"/>
              <w:keepLines w:val="0"/>
              <w:widowControl/>
              <w:suppressLineNumbers w:val="0"/>
              <w:spacing w:before="0" w:beforeAutospacing="0" w:after="0" w:afterAutospacing="0" w:line="300" w:lineRule="exact"/>
              <w:ind w:left="0" w:right="0"/>
              <w:jc w:val="center"/>
              <w:rPr>
                <w:rFonts w:hint="default" w:ascii="Times New Roman" w:hAnsi="Times New Roman" w:eastAsia="仿宋_GB2312"/>
                <w:color w:val="000000"/>
                <w:kern w:val="0"/>
                <w:szCs w:val="21"/>
              </w:rPr>
            </w:pPr>
            <w:r>
              <w:rPr>
                <w:rFonts w:hint="default" w:ascii="Times New Roman" w:hAnsi="Times New Roman" w:eastAsia="仿宋_GB2312"/>
                <w:color w:val="000000"/>
                <w:kern w:val="0"/>
                <w:szCs w:val="21"/>
              </w:rPr>
              <w:t>较高</w:t>
            </w:r>
          </w:p>
        </w:tc>
        <w:tc>
          <w:tcPr>
            <w:tcW w:w="6529" w:type="dxa"/>
            <w:vAlign w:val="center"/>
          </w:tcPr>
          <w:p>
            <w:pPr>
              <w:keepNext w:val="0"/>
              <w:keepLines w:val="0"/>
              <w:widowControl/>
              <w:suppressLineNumbers w:val="0"/>
              <w:spacing w:before="0" w:beforeAutospacing="0" w:after="0" w:afterAutospacing="0" w:line="300" w:lineRule="exact"/>
              <w:ind w:left="0" w:right="0"/>
              <w:rPr>
                <w:rFonts w:hint="default" w:ascii="Times New Roman" w:hAnsi="Times New Roman" w:eastAsia="仿宋_GB2312"/>
                <w:color w:val="000000"/>
                <w:kern w:val="0"/>
                <w:szCs w:val="21"/>
              </w:rPr>
            </w:pPr>
            <w:r>
              <w:rPr>
                <w:rFonts w:hint="default" w:ascii="Times New Roman" w:hAnsi="Times New Roman" w:eastAsia="仿宋_GB2312"/>
                <w:color w:val="000000"/>
                <w:kern w:val="0"/>
                <w:szCs w:val="21"/>
              </w:rPr>
              <w:t>苯甲酸及其钠盐（以苯甲酸计）、山梨酸及其钾盐（以山梨酸计）、糖精钠（以糖精计）、阿斯巴甜、甜蜜素（以环己基氨基磺酸计）、脱氢乙酸及其钠盐（以脱氢乙酸计）、铅（以Pb 计）、三氯蔗糖、纽甜、防腐剂混合使用时各自用量占其最大使用量的比例之和</w:t>
            </w:r>
          </w:p>
        </w:tc>
      </w:tr>
    </w:tbl>
    <w:p>
      <w:pPr>
        <w:suppressAutoHyphens/>
        <w:rPr>
          <w:rFonts w:hint="eastAsia" w:ascii="黑体" w:hAnsi="黑体" w:eastAsia="黑体"/>
          <w:sz w:val="32"/>
          <w:szCs w:val="32"/>
          <w:lang w:val="en-US" w:eastAsia="zh-CN"/>
        </w:rPr>
      </w:pPr>
    </w:p>
    <w:p>
      <w:pPr>
        <w:pStyle w:val="2"/>
        <w:rPr>
          <w:rFonts w:hint="eastAsia" w:ascii="黑体" w:hAnsi="黑体" w:eastAsia="黑体"/>
          <w:sz w:val="32"/>
          <w:szCs w:val="32"/>
          <w:lang w:val="en-US" w:eastAsia="zh-CN"/>
        </w:rPr>
      </w:pPr>
    </w:p>
    <w:p>
      <w:pPr>
        <w:rPr>
          <w:rFonts w:hint="eastAsia" w:ascii="黑体" w:hAnsi="黑体" w:eastAsia="黑体"/>
          <w:sz w:val="32"/>
          <w:szCs w:val="32"/>
          <w:lang w:val="en-US" w:eastAsia="zh-CN"/>
        </w:rPr>
      </w:pPr>
    </w:p>
    <w:p>
      <w:pPr>
        <w:pStyle w:val="2"/>
        <w:rPr>
          <w:rFonts w:hint="eastAsia" w:ascii="黑体" w:hAnsi="黑体" w:eastAsia="黑体"/>
          <w:sz w:val="32"/>
          <w:szCs w:val="32"/>
          <w:lang w:val="en-US" w:eastAsia="zh-CN"/>
        </w:rPr>
      </w:pPr>
    </w:p>
    <w:p>
      <w:pPr>
        <w:rPr>
          <w:rFonts w:hint="eastAsia" w:ascii="黑体" w:hAnsi="黑体" w:eastAsia="黑体"/>
          <w:sz w:val="32"/>
          <w:szCs w:val="32"/>
          <w:lang w:val="en-US" w:eastAsia="zh-CN"/>
        </w:rPr>
      </w:pPr>
    </w:p>
    <w:p>
      <w:pPr>
        <w:pStyle w:val="2"/>
        <w:rPr>
          <w:rFonts w:hint="eastAsia" w:ascii="黑体" w:hAnsi="黑体" w:eastAsia="黑体"/>
          <w:sz w:val="32"/>
          <w:szCs w:val="32"/>
          <w:lang w:val="en-US" w:eastAsia="zh-CN"/>
        </w:rPr>
      </w:pPr>
    </w:p>
    <w:p>
      <w:pPr>
        <w:rPr>
          <w:rFonts w:hint="eastAsia" w:ascii="黑体" w:hAnsi="黑体" w:eastAsia="黑体"/>
          <w:sz w:val="32"/>
          <w:szCs w:val="32"/>
          <w:lang w:val="en-US" w:eastAsia="zh-CN"/>
        </w:rPr>
      </w:pPr>
    </w:p>
    <w:p>
      <w:pPr>
        <w:pStyle w:val="2"/>
        <w:rPr>
          <w:rFonts w:hint="eastAsia" w:ascii="黑体" w:hAnsi="黑体" w:eastAsia="黑体"/>
          <w:sz w:val="32"/>
          <w:szCs w:val="32"/>
          <w:lang w:val="en-US" w:eastAsia="zh-CN"/>
        </w:rPr>
      </w:pPr>
    </w:p>
    <w:p>
      <w:pPr>
        <w:rPr>
          <w:rFonts w:hint="eastAsia" w:ascii="黑体" w:hAnsi="黑体" w:eastAsia="黑体"/>
          <w:sz w:val="32"/>
          <w:szCs w:val="32"/>
          <w:lang w:val="en-US" w:eastAsia="zh-CN"/>
        </w:rPr>
      </w:pPr>
    </w:p>
    <w:p>
      <w:pPr>
        <w:pStyle w:val="2"/>
        <w:rPr>
          <w:rFonts w:hint="eastAsia" w:ascii="黑体" w:hAnsi="黑体" w:eastAsia="黑体"/>
          <w:sz w:val="32"/>
          <w:szCs w:val="32"/>
          <w:lang w:val="en-US" w:eastAsia="zh-CN"/>
        </w:rPr>
      </w:pPr>
    </w:p>
    <w:p>
      <w:pPr>
        <w:rPr>
          <w:rFonts w:hint="eastAsia"/>
          <w:lang w:val="en-US" w:eastAsia="zh-CN"/>
        </w:rPr>
      </w:pPr>
    </w:p>
    <w:p>
      <w:pPr>
        <w:keepNext w:val="0"/>
        <w:keepLines w:val="0"/>
        <w:widowControl w:val="0"/>
        <w:suppressLineNumbers w:val="0"/>
        <w:spacing w:before="0" w:beforeAutospacing="0" w:after="120" w:afterLines="50" w:afterAutospacing="0" w:line="640" w:lineRule="exact"/>
        <w:ind w:left="0" w:right="0" w:firstLine="880" w:firstLineChars="200"/>
        <w:jc w:val="center"/>
        <w:rPr>
          <w:rFonts w:hint="eastAsia" w:ascii="Times New Roman" w:hAnsi="Times New Roman" w:eastAsia="方正小标宋简体" w:cs="方正小标宋简体"/>
          <w:kern w:val="0"/>
          <w:sz w:val="44"/>
          <w:szCs w:val="44"/>
          <w:lang w:val="en-US" w:eastAsia="zh-CN" w:bidi="ar"/>
        </w:rPr>
      </w:pPr>
      <w:r>
        <w:rPr>
          <w:rFonts w:hint="eastAsia" w:ascii="Times New Roman" w:hAnsi="Times New Roman" w:eastAsia="方正小标宋简体" w:cs="方正小标宋简体"/>
          <w:kern w:val="0"/>
          <w:sz w:val="44"/>
          <w:szCs w:val="44"/>
          <w:lang w:val="en-US" w:eastAsia="zh-CN" w:bidi="ar"/>
        </w:rPr>
        <w:t>校园食品安全专项抽检监测品种及项目表</w:t>
      </w:r>
    </w:p>
    <w:tbl>
      <w:tblPr>
        <w:tblStyle w:val="8"/>
        <w:tblW w:w="4997"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56"/>
        <w:gridCol w:w="751"/>
        <w:gridCol w:w="848"/>
        <w:gridCol w:w="1117"/>
        <w:gridCol w:w="2450"/>
        <w:gridCol w:w="2305"/>
        <w:gridCol w:w="2968"/>
        <w:gridCol w:w="32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29" w:hRule="atLeast"/>
          <w:jc w:val="center"/>
        </w:trPr>
        <w:tc>
          <w:tcPr>
            <w:tcW w:w="161"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80" w:lineRule="exact"/>
              <w:ind w:left="0" w:right="0"/>
              <w:jc w:val="center"/>
              <w:rPr>
                <w:rFonts w:hint="default" w:ascii="Times New Roman" w:hAnsi="Times New Roman" w:eastAsia="仿宋_GB2312" w:cs="Times New Roman"/>
                <w:kern w:val="0"/>
                <w:sz w:val="24"/>
                <w:szCs w:val="24"/>
                <w:lang w:val="en-US"/>
              </w:rPr>
            </w:pPr>
            <w:r>
              <w:rPr>
                <w:rFonts w:hint="default" w:ascii="Times New Roman" w:hAnsi="Times New Roman" w:eastAsia="仿宋_GB2312" w:cs="Times New Roman"/>
                <w:kern w:val="0"/>
                <w:sz w:val="24"/>
                <w:szCs w:val="24"/>
                <w:lang w:val="en-US" w:eastAsia="zh-CN" w:bidi="ar"/>
              </w:rPr>
              <w:t>7</w:t>
            </w:r>
          </w:p>
        </w:tc>
        <w:tc>
          <w:tcPr>
            <w:tcW w:w="265"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80" w:lineRule="exact"/>
              <w:ind w:left="0" w:right="0"/>
              <w:jc w:val="center"/>
              <w:rPr>
                <w:rFonts w:hint="default" w:ascii="Times New Roman" w:hAnsi="Times New Roman" w:eastAsia="仿宋_GB2312" w:cs="Times New Roman"/>
                <w:kern w:val="0"/>
                <w:sz w:val="24"/>
                <w:szCs w:val="24"/>
                <w:lang w:val="en-US"/>
              </w:rPr>
            </w:pPr>
            <w:r>
              <w:rPr>
                <w:rFonts w:hint="eastAsia" w:ascii="Times New Roman" w:hAnsi="Times New Roman" w:eastAsia="仿宋_GB2312" w:cs="仿宋_GB2312"/>
                <w:kern w:val="0"/>
                <w:sz w:val="24"/>
                <w:szCs w:val="24"/>
                <w:lang w:val="en-US" w:eastAsia="zh-CN" w:bidi="ar"/>
              </w:rPr>
              <w:t>餐饮食品</w:t>
            </w:r>
          </w:p>
        </w:tc>
        <w:tc>
          <w:tcPr>
            <w:tcW w:w="29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80" w:lineRule="exact"/>
              <w:ind w:left="0" w:right="0"/>
              <w:jc w:val="center"/>
              <w:rPr>
                <w:rFonts w:hint="default" w:ascii="Times New Roman" w:hAnsi="Times New Roman" w:eastAsia="仿宋_GB2312" w:cs="Times New Roman"/>
                <w:kern w:val="0"/>
                <w:sz w:val="24"/>
                <w:szCs w:val="24"/>
                <w:lang w:val="en-US"/>
              </w:rPr>
            </w:pPr>
            <w:r>
              <w:rPr>
                <w:rFonts w:hint="eastAsia" w:ascii="Times New Roman" w:hAnsi="Times New Roman" w:eastAsia="仿宋_GB2312" w:cs="仿宋_GB2312"/>
                <w:kern w:val="0"/>
                <w:sz w:val="24"/>
                <w:szCs w:val="24"/>
                <w:lang w:val="en-US" w:eastAsia="zh-CN" w:bidi="ar"/>
              </w:rPr>
              <w:t>小麦粉制品（自制）</w:t>
            </w:r>
          </w:p>
        </w:tc>
        <w:tc>
          <w:tcPr>
            <w:tcW w:w="39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80" w:lineRule="exact"/>
              <w:ind w:left="0" w:right="0"/>
              <w:jc w:val="center"/>
              <w:rPr>
                <w:rFonts w:hint="default" w:ascii="Times New Roman" w:hAnsi="Times New Roman" w:eastAsia="仿宋_GB2312" w:cs="Times New Roman"/>
                <w:kern w:val="0"/>
                <w:sz w:val="24"/>
                <w:szCs w:val="24"/>
                <w:lang w:val="en-US"/>
              </w:rPr>
            </w:pPr>
            <w:r>
              <w:rPr>
                <w:rFonts w:hint="eastAsia" w:ascii="Times New Roman" w:hAnsi="Times New Roman" w:eastAsia="仿宋_GB2312" w:cs="仿宋_GB2312"/>
                <w:kern w:val="0"/>
                <w:sz w:val="24"/>
                <w:szCs w:val="24"/>
                <w:lang w:val="en-US" w:eastAsia="zh-CN" w:bidi="ar"/>
              </w:rPr>
              <w:t>油饼油条（自制）</w:t>
            </w:r>
          </w:p>
        </w:tc>
        <w:tc>
          <w:tcPr>
            <w:tcW w:w="86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80" w:lineRule="exact"/>
              <w:ind w:left="0" w:right="0"/>
              <w:jc w:val="left"/>
              <w:rPr>
                <w:rFonts w:hint="default" w:ascii="Times New Roman" w:hAnsi="Times New Roman" w:eastAsia="仿宋_GB2312" w:cs="Times New Roman"/>
                <w:kern w:val="0"/>
                <w:sz w:val="24"/>
                <w:szCs w:val="24"/>
                <w:lang w:val="en-US"/>
              </w:rPr>
            </w:pPr>
            <w:r>
              <w:rPr>
                <w:rFonts w:hint="eastAsia" w:ascii="Times New Roman" w:hAnsi="Times New Roman" w:eastAsia="仿宋_GB2312" w:cs="仿宋_GB2312"/>
                <w:kern w:val="0"/>
                <w:sz w:val="24"/>
                <w:szCs w:val="24"/>
                <w:lang w:val="en-US" w:eastAsia="zh-CN" w:bidi="ar"/>
              </w:rPr>
              <w:t>铝的残留量（干样品，以</w:t>
            </w:r>
            <w:r>
              <w:rPr>
                <w:rFonts w:hint="default" w:ascii="Times New Roman" w:hAnsi="Times New Roman" w:eastAsia="仿宋_GB2312" w:cs="Times New Roman"/>
                <w:kern w:val="0"/>
                <w:sz w:val="24"/>
                <w:szCs w:val="24"/>
                <w:lang w:val="en-US" w:eastAsia="zh-CN" w:bidi="ar"/>
              </w:rPr>
              <w:t>Al</w:t>
            </w:r>
            <w:r>
              <w:rPr>
                <w:rFonts w:hint="eastAsia" w:ascii="Times New Roman" w:hAnsi="Times New Roman" w:eastAsia="仿宋_GB2312" w:cs="仿宋_GB2312"/>
                <w:kern w:val="0"/>
                <w:sz w:val="24"/>
                <w:szCs w:val="24"/>
                <w:lang w:val="en-US" w:eastAsia="zh-CN" w:bidi="ar"/>
              </w:rPr>
              <w:t>计）</w:t>
            </w:r>
          </w:p>
        </w:tc>
        <w:tc>
          <w:tcPr>
            <w:tcW w:w="8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80" w:lineRule="exact"/>
              <w:ind w:left="0" w:right="0"/>
              <w:jc w:val="center"/>
              <w:rPr>
                <w:rFonts w:hint="default" w:ascii="Times New Roman" w:hAnsi="Times New Roman" w:eastAsia="仿宋_GB2312" w:cs="Times New Roman"/>
                <w:kern w:val="0"/>
                <w:sz w:val="24"/>
                <w:szCs w:val="24"/>
                <w:lang w:val="en-US"/>
              </w:rPr>
            </w:pPr>
            <w:r>
              <w:rPr>
                <w:rFonts w:hint="default" w:ascii="Times New Roman" w:hAnsi="Times New Roman" w:eastAsia="仿宋_GB2312" w:cs="Times New Roman"/>
                <w:kern w:val="0"/>
                <w:sz w:val="24"/>
                <w:szCs w:val="24"/>
                <w:lang w:val="en-US" w:eastAsia="zh-CN" w:bidi="ar"/>
              </w:rPr>
              <w:t>/</w:t>
            </w:r>
          </w:p>
        </w:tc>
        <w:tc>
          <w:tcPr>
            <w:tcW w:w="10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80" w:lineRule="exact"/>
              <w:ind w:left="0" w:right="0"/>
              <w:jc w:val="center"/>
              <w:rPr>
                <w:rFonts w:hint="default" w:ascii="Times New Roman" w:hAnsi="Times New Roman" w:eastAsia="仿宋_GB2312" w:cs="Times New Roman"/>
                <w:kern w:val="0"/>
                <w:sz w:val="24"/>
                <w:szCs w:val="24"/>
                <w:lang w:val="en-US"/>
              </w:rPr>
            </w:pPr>
            <w:r>
              <w:rPr>
                <w:rFonts w:hint="default" w:ascii="Times New Roman" w:hAnsi="Times New Roman" w:eastAsia="仿宋_GB2312" w:cs="Times New Roman"/>
                <w:kern w:val="0"/>
                <w:sz w:val="24"/>
                <w:szCs w:val="24"/>
                <w:lang w:val="en-US" w:eastAsia="zh-CN" w:bidi="ar"/>
              </w:rPr>
              <w:t>/</w:t>
            </w:r>
          </w:p>
        </w:tc>
        <w:tc>
          <w:tcPr>
            <w:tcW w:w="115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80" w:lineRule="exact"/>
              <w:ind w:left="0" w:right="0"/>
              <w:jc w:val="left"/>
              <w:rPr>
                <w:rFonts w:hint="default" w:ascii="Times New Roman" w:hAnsi="Times New Roman" w:eastAsia="仿宋_GB2312" w:cs="Times New Roman"/>
                <w:kern w:val="0"/>
                <w:sz w:val="24"/>
                <w:szCs w:val="24"/>
                <w:lang w:val="en-US"/>
              </w:rPr>
            </w:pPr>
            <w:r>
              <w:rPr>
                <w:rFonts w:hint="eastAsia" w:ascii="Times New Roman" w:hAnsi="Times New Roman" w:eastAsia="仿宋_GB2312" w:cs="仿宋_GB2312"/>
                <w:kern w:val="0"/>
                <w:sz w:val="24"/>
                <w:szCs w:val="24"/>
                <w:lang w:val="en-US" w:eastAsia="zh-CN" w:bidi="ar"/>
              </w:rPr>
              <w:t>抽样量不低于</w:t>
            </w:r>
            <w:r>
              <w:rPr>
                <w:rFonts w:hint="default" w:ascii="Times New Roman" w:hAnsi="Times New Roman" w:eastAsia="仿宋_GB2312" w:cs="Times New Roman"/>
                <w:kern w:val="0"/>
                <w:sz w:val="24"/>
                <w:szCs w:val="24"/>
                <w:lang w:val="en-US" w:eastAsia="zh-CN" w:bidi="ar"/>
              </w:rPr>
              <w:t>600g</w:t>
            </w:r>
            <w:r>
              <w:rPr>
                <w:rFonts w:hint="eastAsia" w:ascii="Times New Roman" w:hAnsi="Times New Roman" w:eastAsia="仿宋_GB2312" w:cs="仿宋_GB2312"/>
                <w:kern w:val="0"/>
                <w:sz w:val="24"/>
                <w:szCs w:val="24"/>
                <w:lang w:val="en-US" w:eastAsia="zh-CN" w:bidi="ar"/>
              </w:rPr>
              <w:t>，其中检样</w:t>
            </w:r>
            <w:r>
              <w:rPr>
                <w:rFonts w:hint="default" w:ascii="Times New Roman" w:hAnsi="Times New Roman" w:eastAsia="仿宋_GB2312" w:cs="Times New Roman"/>
                <w:kern w:val="0"/>
                <w:sz w:val="24"/>
                <w:szCs w:val="24"/>
                <w:lang w:val="en-US" w:eastAsia="zh-CN" w:bidi="ar"/>
              </w:rPr>
              <w:t>400g</w:t>
            </w:r>
            <w:r>
              <w:rPr>
                <w:rFonts w:hint="eastAsia" w:ascii="Times New Roman" w:hAnsi="Times New Roman" w:eastAsia="仿宋_GB2312" w:cs="仿宋_GB2312"/>
                <w:kern w:val="0"/>
                <w:sz w:val="24"/>
                <w:szCs w:val="24"/>
                <w:lang w:val="en-US" w:eastAsia="zh-CN" w:bidi="ar"/>
              </w:rPr>
              <w:t>，备样</w:t>
            </w:r>
            <w:r>
              <w:rPr>
                <w:rFonts w:hint="default" w:ascii="Times New Roman" w:hAnsi="Times New Roman" w:eastAsia="仿宋_GB2312" w:cs="Times New Roman"/>
                <w:kern w:val="0"/>
                <w:sz w:val="24"/>
                <w:szCs w:val="24"/>
                <w:lang w:val="en-US" w:eastAsia="zh-CN" w:bidi="ar"/>
              </w:rPr>
              <w:t>200g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568" w:hRule="atLeast"/>
          <w:jc w:val="center"/>
        </w:trPr>
        <w:tc>
          <w:tcPr>
            <w:tcW w:w="161"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Calibri" w:hAnsi="Calibri" w:eastAsia="宋体" w:cs="Times New Roman"/>
                <w:kern w:val="2"/>
                <w:sz w:val="21"/>
                <w:szCs w:val="22"/>
              </w:rPr>
            </w:pPr>
          </w:p>
        </w:tc>
        <w:tc>
          <w:tcPr>
            <w:tcW w:w="265"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Calibri" w:hAnsi="Calibri" w:eastAsia="宋体" w:cs="Times New Roman"/>
                <w:kern w:val="2"/>
                <w:sz w:val="21"/>
                <w:szCs w:val="22"/>
              </w:rPr>
            </w:pPr>
          </w:p>
        </w:tc>
        <w:tc>
          <w:tcPr>
            <w:tcW w:w="299"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Calibri" w:hAnsi="Calibri" w:eastAsia="宋体" w:cs="Times New Roman"/>
                <w:kern w:val="2"/>
                <w:sz w:val="21"/>
                <w:szCs w:val="22"/>
              </w:rPr>
            </w:pPr>
          </w:p>
        </w:tc>
        <w:tc>
          <w:tcPr>
            <w:tcW w:w="394" w:type="pc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80" w:lineRule="exact"/>
              <w:ind w:left="0" w:right="0"/>
              <w:jc w:val="center"/>
              <w:rPr>
                <w:rFonts w:hint="default" w:ascii="Times New Roman" w:hAnsi="Times New Roman" w:eastAsia="仿宋_GB2312" w:cs="Times New Roman"/>
                <w:kern w:val="0"/>
                <w:sz w:val="24"/>
                <w:szCs w:val="24"/>
                <w:lang w:val="en-US"/>
              </w:rPr>
            </w:pPr>
            <w:r>
              <w:rPr>
                <w:rFonts w:hint="eastAsia" w:ascii="Times New Roman" w:hAnsi="Times New Roman" w:eastAsia="仿宋_GB2312" w:cs="仿宋_GB2312"/>
                <w:kern w:val="2"/>
                <w:sz w:val="24"/>
                <w:szCs w:val="24"/>
                <w:lang w:val="en-US" w:eastAsia="zh-CN" w:bidi="ar"/>
              </w:rPr>
              <w:t>馒头花卷（自制）</w:t>
            </w:r>
          </w:p>
        </w:tc>
        <w:tc>
          <w:tcPr>
            <w:tcW w:w="864" w:type="pc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80" w:lineRule="exact"/>
              <w:ind w:left="0" w:right="0"/>
              <w:jc w:val="left"/>
              <w:rPr>
                <w:rFonts w:hint="default" w:ascii="Times New Roman" w:hAnsi="Times New Roman" w:eastAsia="仿宋_GB2312" w:cs="Times New Roman"/>
                <w:kern w:val="0"/>
                <w:sz w:val="24"/>
                <w:szCs w:val="24"/>
                <w:lang w:val="en-US"/>
              </w:rPr>
            </w:pPr>
            <w:r>
              <w:rPr>
                <w:rFonts w:hint="default" w:ascii="Times New Roman" w:hAnsi="Times New Roman" w:eastAsia="仿宋_GB2312" w:cs="Times New Roman"/>
                <w:kern w:val="0"/>
                <w:sz w:val="24"/>
                <w:szCs w:val="24"/>
                <w:lang w:val="en-US" w:eastAsia="zh-CN" w:bidi="ar"/>
              </w:rPr>
              <w:t>/</w:t>
            </w:r>
            <w:bookmarkStart w:id="2" w:name="_GoBack"/>
            <w:bookmarkEnd w:id="2"/>
          </w:p>
        </w:tc>
        <w:tc>
          <w:tcPr>
            <w:tcW w:w="813" w:type="pc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80" w:lineRule="exact"/>
              <w:ind w:left="0" w:right="0"/>
              <w:jc w:val="center"/>
              <w:rPr>
                <w:rFonts w:hint="default" w:ascii="Times New Roman" w:hAnsi="Times New Roman" w:eastAsia="仿宋_GB2312" w:cs="Times New Roman"/>
                <w:kern w:val="0"/>
                <w:sz w:val="24"/>
                <w:szCs w:val="24"/>
                <w:lang w:val="en-US"/>
              </w:rPr>
            </w:pPr>
            <w:r>
              <w:rPr>
                <w:rFonts w:hint="eastAsia" w:ascii="Times New Roman" w:hAnsi="Times New Roman" w:eastAsia="仿宋_GB2312" w:cs="仿宋_GB2312"/>
                <w:kern w:val="0"/>
                <w:sz w:val="24"/>
                <w:szCs w:val="24"/>
                <w:lang w:val="en-US" w:eastAsia="zh-CN" w:bidi="ar"/>
              </w:rPr>
              <w:t>铝的残留量（干样品，以</w:t>
            </w:r>
            <w:r>
              <w:rPr>
                <w:rFonts w:hint="default" w:ascii="Times New Roman" w:hAnsi="Times New Roman" w:eastAsia="仿宋_GB2312" w:cs="Times New Roman"/>
                <w:kern w:val="0"/>
                <w:sz w:val="24"/>
                <w:szCs w:val="24"/>
                <w:lang w:val="en-US" w:eastAsia="zh-CN" w:bidi="ar"/>
              </w:rPr>
              <w:t>Al</w:t>
            </w:r>
            <w:r>
              <w:rPr>
                <w:rFonts w:hint="eastAsia" w:ascii="Times New Roman" w:hAnsi="Times New Roman" w:eastAsia="仿宋_GB2312" w:cs="仿宋_GB2312"/>
                <w:kern w:val="0"/>
                <w:sz w:val="24"/>
                <w:szCs w:val="24"/>
                <w:lang w:val="en-US" w:eastAsia="zh-CN" w:bidi="ar"/>
              </w:rPr>
              <w:t>计）、甜蜜素（以环己基氨基磺酸计）</w:t>
            </w:r>
          </w:p>
        </w:tc>
        <w:tc>
          <w:tcPr>
            <w:tcW w:w="1047" w:type="pc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80" w:lineRule="exact"/>
              <w:ind w:left="0" w:right="0"/>
              <w:jc w:val="center"/>
              <w:rPr>
                <w:rFonts w:hint="default" w:ascii="Times New Roman" w:hAnsi="Times New Roman" w:eastAsia="仿宋_GB2312" w:cs="Times New Roman"/>
                <w:kern w:val="0"/>
                <w:sz w:val="24"/>
                <w:szCs w:val="24"/>
                <w:lang w:val="en-US"/>
              </w:rPr>
            </w:pPr>
            <w:r>
              <w:rPr>
                <w:rFonts w:hint="default" w:ascii="Times New Roman" w:hAnsi="Times New Roman" w:eastAsia="仿宋_GB2312" w:cs="Times New Roman"/>
                <w:kern w:val="0"/>
                <w:sz w:val="24"/>
                <w:szCs w:val="24"/>
                <w:lang w:val="en-US" w:eastAsia="zh-CN" w:bidi="ar"/>
              </w:rPr>
              <w:t>/</w:t>
            </w:r>
          </w:p>
        </w:tc>
        <w:tc>
          <w:tcPr>
            <w:tcW w:w="1153" w:type="pc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80" w:lineRule="exact"/>
              <w:ind w:left="0" w:right="0"/>
              <w:jc w:val="left"/>
              <w:rPr>
                <w:rFonts w:hint="default" w:ascii="Times New Roman" w:hAnsi="Times New Roman" w:eastAsia="仿宋_GB2312" w:cs="Times New Roman"/>
                <w:kern w:val="0"/>
                <w:sz w:val="24"/>
                <w:szCs w:val="24"/>
                <w:lang w:val="en-US"/>
              </w:rPr>
            </w:pPr>
            <w:r>
              <w:rPr>
                <w:rFonts w:hint="eastAsia" w:ascii="Times New Roman" w:hAnsi="Times New Roman" w:eastAsia="仿宋_GB2312" w:cs="仿宋_GB2312"/>
                <w:kern w:val="0"/>
                <w:sz w:val="24"/>
                <w:szCs w:val="24"/>
                <w:lang w:val="en-US" w:eastAsia="zh-CN" w:bidi="ar"/>
              </w:rPr>
              <w:t>抽样量不低于</w:t>
            </w:r>
            <w:r>
              <w:rPr>
                <w:rFonts w:hint="default" w:ascii="Times New Roman" w:hAnsi="Times New Roman" w:eastAsia="仿宋_GB2312" w:cs="Times New Roman"/>
                <w:kern w:val="0"/>
                <w:sz w:val="24"/>
                <w:szCs w:val="24"/>
                <w:lang w:val="en-US" w:eastAsia="zh-CN" w:bidi="ar"/>
              </w:rPr>
              <w:t>600g</w:t>
            </w:r>
            <w:r>
              <w:rPr>
                <w:rFonts w:hint="eastAsia" w:ascii="Times New Roman" w:hAnsi="Times New Roman" w:eastAsia="仿宋_GB2312" w:cs="仿宋_GB2312"/>
                <w:kern w:val="0"/>
                <w:sz w:val="24"/>
                <w:szCs w:val="24"/>
                <w:lang w:val="en-US" w:eastAsia="zh-CN" w:bidi="ar"/>
              </w:rPr>
              <w:t>，其中检样</w:t>
            </w:r>
            <w:r>
              <w:rPr>
                <w:rFonts w:hint="default" w:ascii="Times New Roman" w:hAnsi="Times New Roman" w:eastAsia="仿宋_GB2312" w:cs="Times New Roman"/>
                <w:kern w:val="0"/>
                <w:sz w:val="24"/>
                <w:szCs w:val="24"/>
                <w:lang w:val="en-US" w:eastAsia="zh-CN" w:bidi="ar"/>
              </w:rPr>
              <w:t>400g</w:t>
            </w:r>
            <w:r>
              <w:rPr>
                <w:rFonts w:hint="eastAsia" w:ascii="Times New Roman" w:hAnsi="Times New Roman" w:eastAsia="仿宋_GB2312" w:cs="仿宋_GB2312"/>
                <w:kern w:val="0"/>
                <w:sz w:val="24"/>
                <w:szCs w:val="24"/>
                <w:lang w:val="en-US" w:eastAsia="zh-CN" w:bidi="ar"/>
              </w:rPr>
              <w:t>，备样</w:t>
            </w:r>
            <w:r>
              <w:rPr>
                <w:rFonts w:hint="default" w:ascii="Times New Roman" w:hAnsi="Times New Roman" w:eastAsia="仿宋_GB2312" w:cs="Times New Roman"/>
                <w:kern w:val="0"/>
                <w:sz w:val="24"/>
                <w:szCs w:val="24"/>
                <w:lang w:val="en-US" w:eastAsia="zh-CN" w:bidi="ar"/>
              </w:rPr>
              <w:t>200g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568" w:hRule="atLeast"/>
          <w:jc w:val="center"/>
        </w:trPr>
        <w:tc>
          <w:tcPr>
            <w:tcW w:w="16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Calibri" w:hAnsi="Calibri" w:eastAsia="宋体" w:cs="Times New Roman"/>
                <w:kern w:val="2"/>
                <w:sz w:val="21"/>
                <w:szCs w:val="22"/>
              </w:rPr>
            </w:pPr>
          </w:p>
        </w:tc>
        <w:tc>
          <w:tcPr>
            <w:tcW w:w="26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Calibri" w:hAnsi="Calibri" w:eastAsia="宋体" w:cs="Times New Roman"/>
                <w:kern w:val="2"/>
                <w:sz w:val="21"/>
                <w:szCs w:val="22"/>
              </w:rPr>
            </w:pPr>
          </w:p>
        </w:tc>
        <w:tc>
          <w:tcPr>
            <w:tcW w:w="299"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Calibri" w:hAnsi="Calibri" w:eastAsia="宋体" w:cs="Times New Roman"/>
                <w:kern w:val="2"/>
                <w:sz w:val="21"/>
                <w:szCs w:val="22"/>
              </w:rPr>
            </w:pPr>
          </w:p>
        </w:tc>
        <w:tc>
          <w:tcPr>
            <w:tcW w:w="394" w:type="pc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80" w:lineRule="exact"/>
              <w:ind w:left="0" w:right="0"/>
              <w:jc w:val="center"/>
              <w:rPr>
                <w:rFonts w:hint="default" w:ascii="Times New Roman" w:hAnsi="Times New Roman" w:eastAsia="仿宋_GB2312" w:cs="Times New Roman"/>
                <w:kern w:val="0"/>
                <w:sz w:val="24"/>
                <w:szCs w:val="24"/>
                <w:lang w:val="en-US"/>
              </w:rPr>
            </w:pPr>
            <w:r>
              <w:rPr>
                <w:rFonts w:hint="eastAsia" w:ascii="Times New Roman" w:hAnsi="Times New Roman" w:eastAsia="仿宋_GB2312" w:cs="仿宋_GB2312"/>
                <w:kern w:val="0"/>
                <w:sz w:val="24"/>
                <w:szCs w:val="24"/>
                <w:lang w:val="en-US" w:eastAsia="zh-CN" w:bidi="ar"/>
              </w:rPr>
              <w:t>包子（自制）</w:t>
            </w:r>
          </w:p>
        </w:tc>
        <w:tc>
          <w:tcPr>
            <w:tcW w:w="864" w:type="pc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80" w:lineRule="exact"/>
              <w:ind w:left="0" w:right="0"/>
              <w:jc w:val="left"/>
              <w:rPr>
                <w:rFonts w:hint="default" w:ascii="Times New Roman" w:hAnsi="Times New Roman" w:eastAsia="仿宋_GB2312" w:cs="Times New Roman"/>
                <w:kern w:val="0"/>
                <w:sz w:val="24"/>
                <w:szCs w:val="24"/>
                <w:lang w:val="en-US"/>
              </w:rPr>
            </w:pPr>
            <w:r>
              <w:rPr>
                <w:rFonts w:hint="default" w:ascii="Times New Roman" w:hAnsi="Times New Roman" w:eastAsia="仿宋_GB2312" w:cs="Times New Roman"/>
                <w:kern w:val="0"/>
                <w:sz w:val="24"/>
                <w:szCs w:val="24"/>
                <w:lang w:val="en-US" w:eastAsia="zh-CN" w:bidi="ar"/>
              </w:rPr>
              <w:t>/</w:t>
            </w:r>
          </w:p>
        </w:tc>
        <w:tc>
          <w:tcPr>
            <w:tcW w:w="813" w:type="pc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80" w:lineRule="exact"/>
              <w:ind w:left="0" w:right="0"/>
              <w:jc w:val="center"/>
              <w:rPr>
                <w:rFonts w:hint="default" w:ascii="Times New Roman" w:hAnsi="Times New Roman" w:eastAsia="仿宋_GB2312" w:cs="Times New Roman"/>
                <w:kern w:val="0"/>
                <w:sz w:val="24"/>
                <w:szCs w:val="24"/>
                <w:lang w:val="en-US"/>
              </w:rPr>
            </w:pPr>
            <w:r>
              <w:rPr>
                <w:rFonts w:hint="eastAsia" w:ascii="Times New Roman" w:hAnsi="Times New Roman" w:eastAsia="仿宋_GB2312" w:cs="仿宋_GB2312"/>
                <w:kern w:val="0"/>
                <w:sz w:val="24"/>
                <w:szCs w:val="24"/>
                <w:lang w:val="en-US" w:eastAsia="zh-CN" w:bidi="ar"/>
              </w:rPr>
              <w:t>铝的残留量（干样品，以</w:t>
            </w:r>
            <w:r>
              <w:rPr>
                <w:rFonts w:hint="default" w:ascii="Times New Roman" w:hAnsi="Times New Roman" w:eastAsia="仿宋_GB2312" w:cs="Times New Roman"/>
                <w:kern w:val="0"/>
                <w:sz w:val="24"/>
                <w:szCs w:val="24"/>
                <w:lang w:val="en-US" w:eastAsia="zh-CN" w:bidi="ar"/>
              </w:rPr>
              <w:t>Al</w:t>
            </w:r>
            <w:r>
              <w:rPr>
                <w:rFonts w:hint="eastAsia" w:ascii="Times New Roman" w:hAnsi="Times New Roman" w:eastAsia="仿宋_GB2312" w:cs="仿宋_GB2312"/>
                <w:kern w:val="0"/>
                <w:sz w:val="24"/>
                <w:szCs w:val="24"/>
                <w:lang w:val="en-US" w:eastAsia="zh-CN" w:bidi="ar"/>
              </w:rPr>
              <w:t>计）、甜蜜素（以环己基氨基磺酸计）</w:t>
            </w:r>
          </w:p>
        </w:tc>
        <w:tc>
          <w:tcPr>
            <w:tcW w:w="1047" w:type="pc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80" w:lineRule="exact"/>
              <w:ind w:left="0" w:right="0"/>
              <w:jc w:val="center"/>
              <w:rPr>
                <w:rFonts w:hint="default" w:ascii="Times New Roman" w:hAnsi="Times New Roman" w:eastAsia="仿宋_GB2312" w:cs="Times New Roman"/>
                <w:kern w:val="0"/>
                <w:sz w:val="24"/>
                <w:szCs w:val="24"/>
                <w:lang w:val="en-US"/>
              </w:rPr>
            </w:pPr>
            <w:r>
              <w:rPr>
                <w:rFonts w:hint="default" w:ascii="Times New Roman" w:hAnsi="Times New Roman" w:eastAsia="仿宋_GB2312" w:cs="Times New Roman"/>
                <w:kern w:val="0"/>
                <w:sz w:val="24"/>
                <w:szCs w:val="24"/>
                <w:lang w:val="en-US" w:eastAsia="zh-CN" w:bidi="ar"/>
              </w:rPr>
              <w:t>/</w:t>
            </w:r>
          </w:p>
        </w:tc>
        <w:tc>
          <w:tcPr>
            <w:tcW w:w="1153" w:type="pc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80" w:lineRule="exact"/>
              <w:ind w:left="0" w:right="0"/>
              <w:jc w:val="left"/>
              <w:rPr>
                <w:rFonts w:hint="default" w:ascii="Times New Roman" w:hAnsi="Times New Roman" w:eastAsia="仿宋_GB2312" w:cs="Times New Roman"/>
                <w:kern w:val="0"/>
                <w:sz w:val="24"/>
                <w:szCs w:val="24"/>
                <w:lang w:val="en-US"/>
              </w:rPr>
            </w:pPr>
            <w:r>
              <w:rPr>
                <w:rFonts w:hint="eastAsia" w:ascii="Times New Roman" w:hAnsi="Times New Roman" w:eastAsia="仿宋_GB2312" w:cs="仿宋_GB2312"/>
                <w:kern w:val="0"/>
                <w:sz w:val="24"/>
                <w:szCs w:val="24"/>
                <w:lang w:val="en-US" w:eastAsia="zh-CN" w:bidi="ar"/>
              </w:rPr>
              <w:t>抽样量不低于</w:t>
            </w:r>
            <w:r>
              <w:rPr>
                <w:rFonts w:hint="default" w:ascii="Times New Roman" w:hAnsi="Times New Roman" w:eastAsia="仿宋_GB2312" w:cs="Times New Roman"/>
                <w:kern w:val="0"/>
                <w:sz w:val="24"/>
                <w:szCs w:val="24"/>
                <w:lang w:val="en-US" w:eastAsia="zh-CN" w:bidi="ar"/>
              </w:rPr>
              <w:t>600g</w:t>
            </w:r>
            <w:r>
              <w:rPr>
                <w:rFonts w:hint="eastAsia" w:ascii="Times New Roman" w:hAnsi="Times New Roman" w:eastAsia="仿宋_GB2312" w:cs="仿宋_GB2312"/>
                <w:kern w:val="0"/>
                <w:sz w:val="24"/>
                <w:szCs w:val="24"/>
                <w:lang w:val="en-US" w:eastAsia="zh-CN" w:bidi="ar"/>
              </w:rPr>
              <w:t>，其中检样</w:t>
            </w:r>
            <w:r>
              <w:rPr>
                <w:rFonts w:hint="default" w:ascii="Times New Roman" w:hAnsi="Times New Roman" w:eastAsia="仿宋_GB2312" w:cs="Times New Roman"/>
                <w:kern w:val="0"/>
                <w:sz w:val="24"/>
                <w:szCs w:val="24"/>
                <w:lang w:val="en-US" w:eastAsia="zh-CN" w:bidi="ar"/>
              </w:rPr>
              <w:t>400g</w:t>
            </w:r>
            <w:r>
              <w:rPr>
                <w:rFonts w:hint="eastAsia" w:ascii="Times New Roman" w:hAnsi="Times New Roman" w:eastAsia="仿宋_GB2312" w:cs="仿宋_GB2312"/>
                <w:kern w:val="0"/>
                <w:sz w:val="24"/>
                <w:szCs w:val="24"/>
                <w:lang w:val="en-US" w:eastAsia="zh-CN" w:bidi="ar"/>
              </w:rPr>
              <w:t>，备样</w:t>
            </w:r>
            <w:r>
              <w:rPr>
                <w:rFonts w:hint="default" w:ascii="Times New Roman" w:hAnsi="Times New Roman" w:eastAsia="仿宋_GB2312" w:cs="Times New Roman"/>
                <w:kern w:val="0"/>
                <w:sz w:val="24"/>
                <w:szCs w:val="24"/>
                <w:lang w:val="en-US" w:eastAsia="zh-CN" w:bidi="ar"/>
              </w:rPr>
              <w:t>200g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1570" w:hRule="atLeast"/>
          <w:jc w:val="center"/>
        </w:trPr>
        <w:tc>
          <w:tcPr>
            <w:tcW w:w="16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Calibri" w:hAnsi="Calibri" w:eastAsia="宋体" w:cs="Times New Roman"/>
                <w:kern w:val="2"/>
                <w:sz w:val="21"/>
                <w:szCs w:val="22"/>
              </w:rPr>
            </w:pPr>
          </w:p>
        </w:tc>
        <w:tc>
          <w:tcPr>
            <w:tcW w:w="265"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Calibri" w:hAnsi="Calibri" w:eastAsia="宋体" w:cs="Times New Roman"/>
                <w:kern w:val="2"/>
                <w:sz w:val="21"/>
                <w:szCs w:val="22"/>
              </w:rPr>
            </w:pPr>
          </w:p>
        </w:tc>
        <w:tc>
          <w:tcPr>
            <w:tcW w:w="299" w:type="pc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80" w:lineRule="exact"/>
              <w:ind w:left="0" w:right="0"/>
              <w:jc w:val="center"/>
              <w:rPr>
                <w:rFonts w:hint="default" w:ascii="Times New Roman" w:hAnsi="Times New Roman" w:eastAsia="仿宋_GB2312" w:cs="Times New Roman"/>
                <w:kern w:val="0"/>
                <w:sz w:val="24"/>
                <w:szCs w:val="24"/>
                <w:lang w:val="en-US"/>
              </w:rPr>
            </w:pPr>
            <w:r>
              <w:rPr>
                <w:rFonts w:hint="eastAsia" w:ascii="Times New Roman" w:hAnsi="Times New Roman" w:eastAsia="仿宋_GB2312" w:cs="仿宋_GB2312"/>
                <w:kern w:val="0"/>
                <w:sz w:val="24"/>
                <w:szCs w:val="24"/>
                <w:lang w:val="en-US" w:eastAsia="zh-CN" w:bidi="ar"/>
              </w:rPr>
              <w:t>复用餐饮具</w:t>
            </w:r>
          </w:p>
        </w:tc>
        <w:tc>
          <w:tcPr>
            <w:tcW w:w="394" w:type="pc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80" w:lineRule="exact"/>
              <w:ind w:left="0" w:right="0"/>
              <w:jc w:val="center"/>
              <w:rPr>
                <w:rFonts w:hint="default" w:ascii="Times New Roman" w:hAnsi="Times New Roman" w:eastAsia="仿宋_GB2312" w:cs="Times New Roman"/>
                <w:kern w:val="0"/>
                <w:sz w:val="24"/>
                <w:szCs w:val="24"/>
                <w:lang w:val="en-US"/>
              </w:rPr>
            </w:pPr>
            <w:r>
              <w:rPr>
                <w:rFonts w:hint="eastAsia" w:ascii="Times New Roman" w:hAnsi="Times New Roman" w:eastAsia="仿宋_GB2312" w:cs="仿宋_GB2312"/>
                <w:kern w:val="0"/>
                <w:sz w:val="24"/>
                <w:szCs w:val="24"/>
                <w:lang w:val="en-US" w:eastAsia="zh-CN" w:bidi="ar"/>
              </w:rPr>
              <w:t>复用餐饮具（餐馆自行消毒）</w:t>
            </w:r>
          </w:p>
        </w:tc>
        <w:tc>
          <w:tcPr>
            <w:tcW w:w="864" w:type="pc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80" w:lineRule="exact"/>
              <w:ind w:left="0" w:right="0"/>
              <w:jc w:val="left"/>
              <w:rPr>
                <w:rFonts w:hint="default" w:ascii="Times New Roman" w:hAnsi="Times New Roman" w:eastAsia="仿宋_GB2312" w:cs="Times New Roman"/>
                <w:kern w:val="0"/>
                <w:sz w:val="24"/>
                <w:szCs w:val="24"/>
                <w:lang w:val="en-US"/>
              </w:rPr>
            </w:pPr>
            <w:r>
              <w:rPr>
                <w:rFonts w:hint="eastAsia" w:ascii="Times New Roman" w:hAnsi="Times New Roman" w:eastAsia="仿宋_GB2312" w:cs="仿宋_GB2312"/>
                <w:kern w:val="0"/>
                <w:sz w:val="24"/>
                <w:szCs w:val="24"/>
                <w:lang w:val="en-US" w:eastAsia="zh-CN" w:bidi="ar"/>
              </w:rPr>
              <w:t>阴离子合成洗涤剂、大肠菌群</w:t>
            </w:r>
          </w:p>
        </w:tc>
        <w:tc>
          <w:tcPr>
            <w:tcW w:w="813" w:type="pc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80" w:lineRule="exact"/>
              <w:ind w:left="0" w:right="0"/>
              <w:jc w:val="center"/>
              <w:rPr>
                <w:rFonts w:hint="default" w:ascii="Times New Roman" w:hAnsi="Times New Roman" w:eastAsia="仿宋_GB2312" w:cs="Times New Roman"/>
                <w:kern w:val="0"/>
                <w:sz w:val="24"/>
                <w:szCs w:val="24"/>
                <w:lang w:val="en-US"/>
              </w:rPr>
            </w:pPr>
            <w:r>
              <w:rPr>
                <w:rFonts w:hint="default" w:ascii="Times New Roman" w:hAnsi="Times New Roman" w:eastAsia="仿宋_GB2312" w:cs="Times New Roman"/>
                <w:kern w:val="0"/>
                <w:sz w:val="24"/>
                <w:szCs w:val="24"/>
                <w:lang w:val="en-US" w:eastAsia="zh-CN" w:bidi="ar"/>
              </w:rPr>
              <w:t>/</w:t>
            </w:r>
          </w:p>
        </w:tc>
        <w:tc>
          <w:tcPr>
            <w:tcW w:w="1047" w:type="pc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80" w:lineRule="exact"/>
              <w:ind w:left="0" w:right="0"/>
              <w:jc w:val="center"/>
              <w:rPr>
                <w:rFonts w:hint="default" w:ascii="Times New Roman" w:hAnsi="Times New Roman" w:eastAsia="仿宋_GB2312" w:cs="Times New Roman"/>
                <w:kern w:val="0"/>
                <w:sz w:val="24"/>
                <w:szCs w:val="24"/>
                <w:lang w:val="en-US"/>
              </w:rPr>
            </w:pPr>
            <w:r>
              <w:rPr>
                <w:rFonts w:hint="eastAsia" w:ascii="Times New Roman" w:hAnsi="Times New Roman" w:eastAsia="仿宋_GB2312" w:cs="仿宋_GB2312"/>
                <w:kern w:val="0"/>
                <w:sz w:val="24"/>
                <w:szCs w:val="24"/>
                <w:lang w:val="en-US" w:eastAsia="zh-CN" w:bidi="ar"/>
              </w:rPr>
              <w:t>所有使用过化学洗涤剂进行清洗消毒的复用餐饮具均视为使用了化学消毒法，并需进行阴离子合成洗涤剂项目的检验。原则上该食品类别应现场取样并尽快送达实验室</w:t>
            </w:r>
          </w:p>
        </w:tc>
        <w:tc>
          <w:tcPr>
            <w:tcW w:w="1153" w:type="pc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80" w:lineRule="exact"/>
              <w:ind w:left="0" w:right="0"/>
              <w:jc w:val="left"/>
              <w:rPr>
                <w:rFonts w:hint="default" w:ascii="Times New Roman" w:hAnsi="Times New Roman" w:eastAsia="仿宋_GB2312" w:cs="Times New Roman"/>
                <w:kern w:val="0"/>
                <w:sz w:val="24"/>
                <w:szCs w:val="24"/>
                <w:lang w:val="en-US"/>
              </w:rPr>
            </w:pPr>
            <w:r>
              <w:rPr>
                <w:rFonts w:hint="eastAsia" w:ascii="Times New Roman" w:hAnsi="Times New Roman" w:eastAsia="仿宋_GB2312" w:cs="仿宋_GB2312"/>
                <w:kern w:val="0"/>
                <w:sz w:val="24"/>
                <w:szCs w:val="24"/>
                <w:lang w:val="en-US" w:eastAsia="zh-CN" w:bidi="ar"/>
              </w:rPr>
              <w:t>检验样液和备份样液均不低于</w:t>
            </w:r>
            <w:r>
              <w:rPr>
                <w:rFonts w:hint="default" w:ascii="Times New Roman" w:hAnsi="Times New Roman" w:eastAsia="仿宋_GB2312" w:cs="Times New Roman"/>
                <w:kern w:val="0"/>
                <w:sz w:val="24"/>
                <w:szCs w:val="24"/>
                <w:lang w:val="en-US" w:eastAsia="zh-CN" w:bidi="ar"/>
              </w:rPr>
              <w:t>200ml</w:t>
            </w:r>
          </w:p>
        </w:tc>
      </w:tr>
    </w:tbl>
    <w:p>
      <w:pPr>
        <w:pStyle w:val="2"/>
        <w:rPr>
          <w:rFonts w:hint="default"/>
          <w:lang w:val="en-US"/>
        </w:rPr>
      </w:pPr>
    </w:p>
    <w:p>
      <w:pPr>
        <w:suppressAutoHyphens/>
        <w:spacing w:line="640" w:lineRule="exact"/>
        <w:jc w:val="center"/>
      </w:pPr>
    </w:p>
    <w:sectPr>
      <w:footerReference r:id="rId3" w:type="default"/>
      <w:pgSz w:w="16838" w:h="11906" w:orient="landscape"/>
      <w:pgMar w:top="138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Y1MmYwZTY2MjEyN2Q4MjkxOWM0NmMzNzUyNjJlNmQifQ=="/>
  </w:docVars>
  <w:rsids>
    <w:rsidRoot w:val="1A9D4A9C"/>
    <w:rsid w:val="00004A80"/>
    <w:rsid w:val="000059B2"/>
    <w:rsid w:val="00062190"/>
    <w:rsid w:val="0020598D"/>
    <w:rsid w:val="002061E8"/>
    <w:rsid w:val="00212058"/>
    <w:rsid w:val="002D55A5"/>
    <w:rsid w:val="00313060"/>
    <w:rsid w:val="003A215B"/>
    <w:rsid w:val="00403375"/>
    <w:rsid w:val="007B26AB"/>
    <w:rsid w:val="00850CD3"/>
    <w:rsid w:val="008D3553"/>
    <w:rsid w:val="0097533C"/>
    <w:rsid w:val="00A43600"/>
    <w:rsid w:val="00A51798"/>
    <w:rsid w:val="00AF136A"/>
    <w:rsid w:val="00AF3992"/>
    <w:rsid w:val="00C671E5"/>
    <w:rsid w:val="00CF6796"/>
    <w:rsid w:val="00E2108C"/>
    <w:rsid w:val="1A9D4A9C"/>
    <w:rsid w:val="1CED606A"/>
    <w:rsid w:val="57B67107"/>
    <w:rsid w:val="6FC776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Calibri" w:hAnsi="Calibri" w:eastAsia="宋体" w:cs="Times New Roman"/>
      <w:kern w:val="2"/>
      <w:sz w:val="21"/>
      <w:szCs w:val="22"/>
    </w:rPr>
    <w:tblPr>
      <w:tblCellMar>
        <w:top w:w="0" w:type="dxa"/>
        <w:left w:w="108" w:type="dxa"/>
        <w:bottom w:w="0" w:type="dxa"/>
        <w:right w:w="108" w:type="dxa"/>
      </w:tblCellMar>
    </w:tblPr>
  </w:style>
  <w:style w:type="paragraph" w:customStyle="1" w:styleId="2">
    <w:name w:val="Default"/>
    <w:next w:val="1"/>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styleId="3">
    <w:name w:val="Body Text"/>
    <w:basedOn w:val="1"/>
    <w:link w:val="12"/>
    <w:qFormat/>
    <w:uiPriority w:val="0"/>
    <w:pPr>
      <w:jc w:val="center"/>
    </w:pPr>
    <w:rPr>
      <w:rFonts w:ascii="Times New Roman" w:hAnsi="Times New Roman" w:eastAsia="华文中宋"/>
      <w:b/>
      <w:bCs/>
      <w:color w:val="FF0000"/>
      <w:spacing w:val="52"/>
      <w:w w:val="80"/>
      <w:kern w:val="0"/>
      <w:sz w:val="72"/>
      <w:szCs w:val="20"/>
    </w:rPr>
  </w:style>
  <w:style w:type="paragraph" w:styleId="4">
    <w:name w:val="Body Text Indent"/>
    <w:basedOn w:val="1"/>
    <w:link w:val="11"/>
    <w:qFormat/>
    <w:uiPriority w:val="0"/>
    <w:pPr>
      <w:ind w:firstLine="627" w:firstLineChars="196"/>
    </w:pPr>
    <w:rPr>
      <w:rFonts w:eastAsia="仿宋_GB2312"/>
      <w:sz w:val="32"/>
      <w:szCs w:val="24"/>
    </w:rPr>
  </w:style>
  <w:style w:type="paragraph" w:styleId="5">
    <w:name w:val="footer"/>
    <w:basedOn w:val="1"/>
    <w:link w:val="16"/>
    <w:qFormat/>
    <w:uiPriority w:val="0"/>
    <w:pPr>
      <w:tabs>
        <w:tab w:val="center" w:pos="4153"/>
        <w:tab w:val="right" w:pos="8306"/>
      </w:tabs>
      <w:suppressAutoHyphens/>
      <w:snapToGrid w:val="0"/>
      <w:jc w:val="left"/>
    </w:pPr>
    <w:rPr>
      <w:kern w:val="1"/>
      <w:sz w:val="18"/>
      <w:szCs w:val="18"/>
      <w:lang w:eastAsia="ar-SA"/>
    </w:rPr>
  </w:style>
  <w:style w:type="paragraph" w:styleId="6">
    <w:name w:val="header"/>
    <w:basedOn w:val="1"/>
    <w:link w:val="15"/>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Normal (Web)"/>
    <w:basedOn w:val="1"/>
    <w:qFormat/>
    <w:uiPriority w:val="0"/>
    <w:pPr>
      <w:spacing w:before="100" w:beforeAutospacing="1" w:after="100" w:afterAutospacing="1"/>
      <w:jc w:val="left"/>
    </w:pPr>
    <w:rPr>
      <w:rFonts w:ascii="Times New Roman" w:hAnsi="Times New Roman"/>
      <w:kern w:val="0"/>
      <w:sz w:val="24"/>
      <w:szCs w:val="24"/>
    </w:rPr>
  </w:style>
  <w:style w:type="character" w:styleId="10">
    <w:name w:val="page number"/>
    <w:qFormat/>
    <w:uiPriority w:val="0"/>
  </w:style>
  <w:style w:type="character" w:customStyle="1" w:styleId="11">
    <w:name w:val="正文文本缩进 Char"/>
    <w:basedOn w:val="9"/>
    <w:link w:val="4"/>
    <w:qFormat/>
    <w:uiPriority w:val="0"/>
    <w:rPr>
      <w:rFonts w:eastAsia="仿宋_GB2312"/>
      <w:kern w:val="2"/>
      <w:sz w:val="32"/>
      <w:szCs w:val="24"/>
    </w:rPr>
  </w:style>
  <w:style w:type="character" w:customStyle="1" w:styleId="12">
    <w:name w:val="正文文本 Char"/>
    <w:basedOn w:val="9"/>
    <w:link w:val="3"/>
    <w:qFormat/>
    <w:uiPriority w:val="0"/>
    <w:rPr>
      <w:rFonts w:ascii="Times New Roman" w:hAnsi="Times New Roman" w:eastAsia="华文中宋"/>
      <w:b/>
      <w:bCs/>
      <w:color w:val="FF0000"/>
      <w:spacing w:val="52"/>
      <w:w w:val="80"/>
      <w:sz w:val="72"/>
    </w:rPr>
  </w:style>
  <w:style w:type="paragraph" w:customStyle="1" w:styleId="13">
    <w:name w:val="列出段落1"/>
    <w:basedOn w:val="1"/>
    <w:qFormat/>
    <w:uiPriority w:val="0"/>
    <w:pPr>
      <w:autoSpaceDE w:val="0"/>
      <w:autoSpaceDN w:val="0"/>
      <w:spacing w:before="1" w:after="100" w:afterAutospacing="1"/>
      <w:ind w:left="928" w:firstLine="480"/>
      <w:jc w:val="left"/>
    </w:pPr>
    <w:rPr>
      <w:rFonts w:ascii="宋体" w:hAnsi="宋体" w:cs="宋体"/>
      <w:kern w:val="0"/>
      <w:sz w:val="22"/>
    </w:rPr>
  </w:style>
  <w:style w:type="paragraph" w:customStyle="1" w:styleId="14">
    <w:name w:val="列表段落"/>
    <w:basedOn w:val="1"/>
    <w:qFormat/>
    <w:uiPriority w:val="0"/>
    <w:pPr>
      <w:ind w:firstLine="420" w:firstLineChars="200"/>
    </w:pPr>
    <w:rPr>
      <w:rFonts w:ascii="Times New Roman" w:hAnsi="Times New Roman"/>
      <w:szCs w:val="21"/>
    </w:rPr>
  </w:style>
  <w:style w:type="character" w:customStyle="1" w:styleId="15">
    <w:name w:val="页眉 Char"/>
    <w:basedOn w:val="9"/>
    <w:link w:val="6"/>
    <w:qFormat/>
    <w:uiPriority w:val="0"/>
    <w:rPr>
      <w:kern w:val="2"/>
      <w:sz w:val="18"/>
      <w:szCs w:val="22"/>
    </w:rPr>
  </w:style>
  <w:style w:type="character" w:customStyle="1" w:styleId="16">
    <w:name w:val="页脚 Char"/>
    <w:basedOn w:val="9"/>
    <w:link w:val="5"/>
    <w:qFormat/>
    <w:uiPriority w:val="0"/>
    <w:rPr>
      <w:kern w:val="1"/>
      <w:sz w:val="18"/>
      <w:szCs w:val="18"/>
      <w:lang w:eastAsia="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920</Words>
  <Characters>928</Characters>
  <Lines>20</Lines>
  <Paragraphs>5</Paragraphs>
  <TotalTime>1</TotalTime>
  <ScaleCrop>false</ScaleCrop>
  <LinksUpToDate>false</LinksUpToDate>
  <CharactersWithSpaces>929</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2019-10-18T07:13:00Z</dcterms:created>
  <dc:creator>Administrator</dc:creator>
  <cp:lastModifiedBy>来宾市工商局</cp:lastModifiedBy>
  <dcterms:modified xsi:type="dcterms:W3CDTF">2022-10-27T03:29:07Z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y fmtid="{D5CDD505-2E9C-101B-9397-08002B2CF9AE}" pid="3" name="ICV">
    <vt:lpwstr>AE85F09053294E7CAA0E7EEA5FEE460A</vt:lpwstr>
  </property>
</Properties>
</file>